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2026年文化执法及区属大型公共文体场馆安全生产技术咨询服务项目需求书</w:t>
      </w:r>
    </w:p>
    <w:p>
      <w:pPr>
        <w:pStyle w:val="8"/>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highlight w:val="none"/>
        </w:rPr>
      </w:pPr>
      <w:r>
        <w:rPr>
          <w:rFonts w:hint="eastAsia" w:ascii="黑体" w:hAnsi="黑体" w:eastAsia="黑体" w:cs="黑体"/>
          <w:bCs/>
          <w:sz w:val="32"/>
          <w:szCs w:val="32"/>
          <w:highlight w:val="none"/>
        </w:rPr>
        <w:t>项目目标</w:t>
      </w:r>
    </w:p>
    <w:p>
      <w:pPr>
        <w:tabs>
          <w:tab w:val="left" w:pos="1820"/>
        </w:tabs>
        <w:snapToGrid w:val="0"/>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为贯彻落实市、区关于安全生产工作的部署和要求，针对我局监管对象涵盖面广、文化市场经营场所及区属大型公共文体场馆数量众多，但执法人员数量少、安全相关专业人才紧缺，难以高效指导场所落实安全生产相关工作的实际困境，需强化安全生产专家力量对我局安全生产工作的技术支撑和指导作用，有效防范化解各类安全风险隐患，实现我区文体旅游行业高质量发展与高水平安全的良性互动，切实筑牢辖区群众生命财产安全的防线，拟开展2026年文化执法及区属公共文体场馆安全生产技术咨询服务项目。</w:t>
      </w:r>
    </w:p>
    <w:p>
      <w:pPr>
        <w:tabs>
          <w:tab w:val="left" w:pos="1820"/>
        </w:tabs>
        <w:snapToGrid w:val="0"/>
        <w:spacing w:line="560" w:lineRule="exact"/>
        <w:ind w:firstLine="640" w:firstLineChars="200"/>
        <w:jc w:val="lef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rPr>
        <w:t>二、</w:t>
      </w:r>
      <w:r>
        <w:rPr>
          <w:rFonts w:hint="eastAsia" w:ascii="黑体" w:hAnsi="黑体" w:eastAsia="黑体" w:cs="黑体"/>
          <w:bCs/>
          <w:sz w:val="32"/>
          <w:szCs w:val="32"/>
          <w:highlight w:val="none"/>
          <w:lang w:eastAsia="zh-CN"/>
        </w:rPr>
        <w:t>服务时间</w:t>
      </w:r>
    </w:p>
    <w:p>
      <w:pPr>
        <w:widowControl/>
        <w:numPr>
          <w:ilvl w:val="0"/>
          <w:numId w:val="0"/>
        </w:numPr>
        <w:tabs>
          <w:tab w:val="left" w:pos="1820"/>
        </w:tabs>
        <w:adjustRightInd w:val="0"/>
        <w:snapToGrid w:val="0"/>
        <w:spacing w:line="560" w:lineRule="exact"/>
        <w:ind w:firstLine="640" w:firstLineChars="200"/>
        <w:jc w:val="left"/>
        <w:rPr>
          <w:rFonts w:ascii="仿宋_GB2312" w:hAnsi="仿宋_GB2312" w:eastAsia="仿宋_GB2312" w:cs="仿宋_GB2312"/>
          <w:sz w:val="32"/>
          <w:szCs w:val="36"/>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月-202</w:t>
      </w:r>
      <w:r>
        <w:rPr>
          <w:rFonts w:hint="eastAsia" w:ascii="仿宋_GB2312" w:eastAsia="仿宋_GB2312"/>
          <w:sz w:val="32"/>
          <w:szCs w:val="32"/>
          <w:lang w:val="en-US" w:eastAsia="zh-CN"/>
        </w:rPr>
        <w:t>7</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月（暂定）</w:t>
      </w:r>
    </w:p>
    <w:p>
      <w:pPr>
        <w:tabs>
          <w:tab w:val="left" w:pos="1820"/>
        </w:tabs>
        <w:snapToGrid w:val="0"/>
        <w:spacing w:line="560" w:lineRule="exact"/>
        <w:ind w:firstLine="640" w:firstLineChars="200"/>
        <w:jc w:val="left"/>
        <w:rPr>
          <w:rFonts w:ascii="黑体" w:hAnsi="黑体" w:eastAsia="黑体" w:cs="黑体"/>
          <w:bCs/>
          <w:sz w:val="32"/>
          <w:szCs w:val="32"/>
          <w:highlight w:val="none"/>
        </w:rPr>
      </w:pPr>
      <w:r>
        <w:rPr>
          <w:rFonts w:hint="eastAsia" w:ascii="黑体" w:hAnsi="黑体" w:eastAsia="黑体" w:cs="黑体"/>
          <w:bCs/>
          <w:sz w:val="32"/>
          <w:szCs w:val="32"/>
          <w:highlight w:val="none"/>
        </w:rPr>
        <w:t>三、</w:t>
      </w:r>
      <w:bookmarkStart w:id="0" w:name="OLE_LINK2"/>
      <w:r>
        <w:rPr>
          <w:rFonts w:hint="eastAsia" w:ascii="黑体" w:hAnsi="黑体" w:eastAsia="黑体" w:cs="黑体"/>
          <w:bCs/>
          <w:sz w:val="32"/>
          <w:szCs w:val="32"/>
          <w:highlight w:val="none"/>
        </w:rPr>
        <w:t>项目内容及要求</w:t>
      </w:r>
      <w:bookmarkEnd w:id="0"/>
    </w:p>
    <w:p>
      <w:pPr>
        <w:keepNext w:val="0"/>
        <w:keepLines w:val="0"/>
        <w:pageBreakBefore w:val="0"/>
        <w:widowControl/>
        <w:tabs>
          <w:tab w:val="left" w:pos="1820"/>
        </w:tabs>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val="0"/>
          <w:bCs w:val="0"/>
          <w:color w:val="auto"/>
          <w:sz w:val="32"/>
          <w:szCs w:val="32"/>
          <w:highlight w:val="none"/>
          <w:lang w:val="en-US" w:eastAsia="zh-CN"/>
        </w:rPr>
        <w:t>由中标供应商选派两名中级安全工程师资质安全专家开展文化执法及区属大型公共文体场馆安全生产技术咨询服务，要求功底扎实，熟悉政府业务。</w:t>
      </w:r>
      <w:r>
        <w:rPr>
          <w:rFonts w:hint="eastAsia" w:ascii="仿宋_GB2312" w:hAnsi="仿宋_GB2312" w:eastAsia="仿宋_GB2312" w:cs="仿宋_GB2312"/>
          <w:sz w:val="32"/>
          <w:szCs w:val="36"/>
        </w:rPr>
        <w:t>具体要求</w:t>
      </w:r>
      <w:r>
        <w:rPr>
          <w:rFonts w:hint="eastAsia" w:ascii="仿宋_GB2312" w:hAnsi="仿宋_GB2312" w:eastAsia="仿宋_GB2312" w:cs="仿宋_GB2312"/>
          <w:sz w:val="32"/>
          <w:szCs w:val="36"/>
          <w:lang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1.协助参与文化市场经营场所安全生产、消防安全等</w:t>
      </w:r>
      <w:r>
        <w:rPr>
          <w:rFonts w:hint="eastAsia" w:ascii="仿宋_GB2312" w:hAnsi="仿宋_GB2312" w:eastAsia="仿宋_GB2312" w:cs="仿宋_GB2312"/>
          <w:sz w:val="32"/>
          <w:szCs w:val="32"/>
          <w:highlight w:val="none"/>
          <w:lang w:val="en-US" w:eastAsia="zh-CN"/>
        </w:rPr>
        <w:t>抽查</w:t>
      </w:r>
      <w:r>
        <w:rPr>
          <w:rFonts w:hint="eastAsia" w:ascii="仿宋_GB2312" w:hAnsi="仿宋_GB2312" w:eastAsia="仿宋_GB2312" w:cs="仿宋_GB2312"/>
          <w:b w:val="0"/>
          <w:bCs w:val="0"/>
          <w:color w:val="auto"/>
          <w:sz w:val="32"/>
          <w:szCs w:val="32"/>
          <w:lang w:val="en-US" w:eastAsia="zh-CN"/>
        </w:rPr>
        <w:t>检查工作，全年不少于600家次，排查场所安全隐患，提出整改处理意见，指导闭环整改。</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2.协助区属大型公共文体场馆安全生产检查不少于180家次。包括常态化检查144家次；对内设高危险性体育项目的在营场馆在运营旺季5月至9月开展专项检查20家次；重点时段专项抽查+隐患回头看16家次。</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协助治本攻坚、联合检查、燃气、特种设备等区安委办要求的专项检查，开展现场指导、台账创建、闭环整改等工作，指导督促场所完善安全管理体系机制；协助夜间、节假日等临时性文化执法安全生产工作事项，保障服务全面覆盖。</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4.依托线上或线下渠道，采取集中指导模式，协助为生产经营单位安全负责人及员工提供安全技术指导与合规建议，服务期内统筹组织不少于4次。</w:t>
      </w:r>
    </w:p>
    <w:p>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5.协助对最新安全生产工作方案等安全生产指导文件提供专业意见和指导；</w:t>
      </w:r>
      <w:r>
        <w:rPr>
          <w:rFonts w:hint="eastAsia" w:ascii="仿宋_GB2312" w:hAnsi="仿宋_GB2312" w:eastAsia="仿宋_GB2312" w:cs="仿宋_GB2312"/>
          <w:sz w:val="32"/>
          <w:szCs w:val="32"/>
          <w:highlight w:val="none"/>
          <w:lang w:val="en-US" w:eastAsia="zh-CN"/>
        </w:rPr>
        <w:t>协助文化市场执法及区属大型公共文体场馆监管工作，对文化执法检查和区属大型公共文体场馆的安全性提供专业意见和指导</w:t>
      </w:r>
      <w:r>
        <w:rPr>
          <w:rFonts w:hint="eastAsia" w:ascii="仿宋_GB2312" w:hAnsi="仿宋_GB2312" w:eastAsia="仿宋_GB2312" w:cs="仿宋_GB2312"/>
          <w:b w:val="0"/>
          <w:bCs w:val="0"/>
          <w:color w:val="auto"/>
          <w:sz w:val="32"/>
          <w:szCs w:val="32"/>
          <w:lang w:val="en-US" w:eastAsia="zh-CN"/>
        </w:rPr>
        <w:t>。</w:t>
      </w:r>
    </w:p>
    <w:p>
      <w:pPr>
        <w:tabs>
          <w:tab w:val="left" w:pos="1820"/>
        </w:tabs>
        <w:snapToGrid w:val="0"/>
        <w:spacing w:line="560" w:lineRule="exact"/>
        <w:ind w:firstLine="640" w:firstLineChars="200"/>
        <w:jc w:val="lef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四、报价限额</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b w:val="0"/>
          <w:i w:val="0"/>
          <w:caps w:val="0"/>
          <w:color w:val="000000"/>
          <w:spacing w:val="0"/>
          <w:sz w:val="32"/>
          <w:szCs w:val="32"/>
          <w:lang w:val="en-US" w:eastAsia="zh-CN"/>
        </w:rPr>
      </w:pPr>
      <w:r>
        <w:rPr>
          <w:rFonts w:hint="eastAsia" w:ascii="仿宋_GB2312" w:hAnsi="仿宋" w:eastAsia="仿宋_GB2312" w:cs="仿宋"/>
          <w:sz w:val="32"/>
          <w:szCs w:val="32"/>
          <w:lang w:val="en-US" w:eastAsia="zh-CN"/>
        </w:rPr>
        <w:t>38.2万元，</w:t>
      </w:r>
      <w:r>
        <w:rPr>
          <w:rFonts w:hint="eastAsia" w:ascii="仿宋_GB2312" w:hAnsi="仿宋" w:eastAsia="仿宋_GB2312" w:cs="仿宋"/>
          <w:b/>
          <w:bCs/>
          <w:sz w:val="32"/>
          <w:szCs w:val="32"/>
          <w:lang w:val="en-US" w:eastAsia="zh-CN"/>
        </w:rPr>
        <w:t>项目报价表</w:t>
      </w:r>
      <w:r>
        <w:rPr>
          <w:rFonts w:hint="eastAsia" w:ascii="仿宋_GB2312" w:hAnsi="仿宋" w:eastAsia="仿宋_GB2312" w:cs="仿宋"/>
          <w:sz w:val="32"/>
          <w:szCs w:val="32"/>
          <w:lang w:val="en-US" w:eastAsia="zh-CN"/>
        </w:rPr>
        <w:t>需与下表保持一致：</w:t>
      </w:r>
    </w:p>
    <w:tbl>
      <w:tblPr>
        <w:tblStyle w:val="15"/>
        <w:tblW w:w="52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6"/>
        <w:gridCol w:w="1754"/>
        <w:gridCol w:w="893"/>
        <w:gridCol w:w="734"/>
        <w:gridCol w:w="5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2026年文化执法及区属大型公共文体场馆安全生产技术咨询服务项目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jc w:val="center"/>
        </w:trPr>
        <w:tc>
          <w:tcPr>
            <w:tcW w:w="52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lang w:eastAsia="zh-CN"/>
              </w:rPr>
            </w:pPr>
            <w:r>
              <w:rPr>
                <w:rFonts w:hint="eastAsia" w:ascii="仿宋_GB2312" w:hAnsi="仿宋_GB2312" w:eastAsia="仿宋_GB2312" w:cs="仿宋_GB2312"/>
                <w:b w:val="0"/>
                <w:bCs/>
                <w:i w:val="0"/>
                <w:color w:val="000000"/>
                <w:sz w:val="24"/>
                <w:szCs w:val="24"/>
                <w:u w:val="none"/>
                <w:lang w:eastAsia="zh-CN"/>
              </w:rPr>
              <w:t>序号</w:t>
            </w:r>
          </w:p>
        </w:tc>
        <w:tc>
          <w:tcPr>
            <w:tcW w:w="9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lang w:eastAsia="zh-CN"/>
              </w:rPr>
            </w:pPr>
            <w:r>
              <w:rPr>
                <w:rFonts w:hint="eastAsia" w:ascii="仿宋_GB2312" w:hAnsi="仿宋_GB2312" w:eastAsia="仿宋_GB2312" w:cs="仿宋_GB2312"/>
                <w:b w:val="0"/>
                <w:bCs/>
                <w:i w:val="0"/>
                <w:color w:val="000000"/>
                <w:sz w:val="24"/>
                <w:szCs w:val="24"/>
                <w:u w:val="none"/>
                <w:lang w:eastAsia="zh-CN"/>
              </w:rPr>
              <w:t>项目内容</w:t>
            </w:r>
          </w:p>
        </w:tc>
        <w:tc>
          <w:tcPr>
            <w:tcW w:w="47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数量</w:t>
            </w:r>
          </w:p>
        </w:tc>
        <w:tc>
          <w:tcPr>
            <w:tcW w:w="38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单位</w:t>
            </w:r>
          </w:p>
        </w:tc>
        <w:tc>
          <w:tcPr>
            <w:tcW w:w="267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文化市场经营场所抽查检查服务</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600</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家次</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color w:val="242424"/>
                <w:sz w:val="24"/>
                <w:u w:val="none"/>
              </w:rPr>
              <w:t>选派安全专家协助参与文化市场经营场所安全生产、消防安全等抽查检查工作，全年不少600家次，指导场所对安全隐患进行闭环整改。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区属大型公共文体场馆检查</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180</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家次</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协助区属大型公共文体场馆安全生产检查不少于180家次。包括常态化检查144家次；对内设高危险性体育项目的在营场馆在运营旺季5月至9月开展专项检查20家次；重点时段专项抽查+隐患回头看16家次。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专项检查与体系辅导</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治本攻坚、联合检查、燃气、特种设备等区安委办要求的专项检查，开展现场指导、台账创建、闭环整改等工作，指导督促场所完善安全管理体系机制；协助夜间、节假日等临时性文化执法安全生产工作事项，保障服务全面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指导教育</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场</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依托线上或线下渠道，采取集中指导教育模式，协助为生产经营单位安全负责人、员工提供安全技术指导与合规建议，服务期内统筹组织不少于4次。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安全专业指导</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协助对最新安全生产工作方案等安全生产指导文件提供专业意见和指导；协助对文化执法检查的安全性提供专业意见和指导。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5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6</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台账</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3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汇总整理检查和隐患整改工作台账。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color w:val="242424"/>
                <w:sz w:val="24"/>
                <w:szCs w:val="24"/>
                <w:u w:val="none"/>
                <w:lang w:val="en-US" w:eastAsia="zh-CN"/>
              </w:rPr>
            </w:pPr>
            <w:r>
              <w:rPr>
                <w:rFonts w:hint="eastAsia" w:ascii="仿宋_GB2312" w:hAnsi="仿宋_GB2312" w:eastAsia="仿宋_GB2312" w:cs="仿宋_GB2312"/>
                <w:i w:val="0"/>
                <w:color w:val="242424"/>
                <w:sz w:val="24"/>
                <w:szCs w:val="24"/>
                <w:u w:val="none"/>
                <w:lang w:val="en-US" w:eastAsia="zh-CN"/>
              </w:rPr>
              <w:t>投标价格（万元）：______（以万元为单位，最多保留两位小数）</w:t>
            </w:r>
          </w:p>
        </w:tc>
      </w:tr>
    </w:tbl>
    <w:p>
      <w:pPr>
        <w:spacing w:line="560" w:lineRule="exact"/>
        <w:ind w:firstLine="640" w:firstLineChars="200"/>
        <w:jc w:val="left"/>
        <w:rPr>
          <w:rFonts w:ascii="仿宋_GB2312" w:hAnsi="仿宋_GB2312" w:eastAsia="仿宋_GB2312" w:cs="仿宋_GB2312"/>
          <w:sz w:val="32"/>
          <w:szCs w:val="32"/>
          <w:highlight w:val="none"/>
        </w:rPr>
      </w:pPr>
      <w:r>
        <w:rPr>
          <w:rFonts w:hint="eastAsia" w:ascii="黑体" w:hAnsi="黑体" w:eastAsia="黑体" w:cs="黑体"/>
          <w:bCs/>
          <w:sz w:val="32"/>
          <w:szCs w:val="32"/>
          <w:highlight w:val="none"/>
        </w:rPr>
        <w:t>五、</w:t>
      </w:r>
      <w:r>
        <w:rPr>
          <w:rFonts w:hint="eastAsia" w:ascii="黑体" w:hAnsi="黑体" w:eastAsia="黑体" w:cs="黑体"/>
          <w:sz w:val="32"/>
          <w:szCs w:val="32"/>
          <w:highlight w:val="none"/>
        </w:rPr>
        <w:t>供应商的资质要求</w:t>
      </w:r>
    </w:p>
    <w:p>
      <w:pPr>
        <w:widowControl/>
        <w:spacing w:line="56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一）在中国境内注册的独立法人或其他组织（提供营业执照、事业法人证书、社会团体法人登记证书等扫描件），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widowControl/>
        <w:spacing w:line="560" w:lineRule="exact"/>
        <w:ind w:firstLine="640" w:firstLineChars="20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highlight w:val="none"/>
          <w:lang w:eastAsia="zh-CN"/>
        </w:rPr>
        <w:t>；</w:t>
      </w:r>
    </w:p>
    <w:p>
      <w:pPr>
        <w:spacing w:line="560" w:lineRule="exact"/>
        <w:ind w:firstLine="640" w:firstLineChars="200"/>
        <w:jc w:val="left"/>
        <w:rPr>
          <w:rFonts w:hint="eastAsia" w:ascii="黑体" w:hAnsi="黑体" w:eastAsia="黑体" w:cs="黑体"/>
          <w:sz w:val="32"/>
          <w:szCs w:val="32"/>
          <w:highlight w:val="none"/>
        </w:rPr>
      </w:pPr>
      <w:r>
        <w:rPr>
          <w:rFonts w:hint="eastAsia" w:ascii="仿宋_GB2312" w:hAnsi="仿宋" w:eastAsia="仿宋_GB2312" w:cs="仿宋"/>
          <w:sz w:val="32"/>
          <w:szCs w:val="32"/>
          <w:highlight w:val="none"/>
        </w:rPr>
        <w:t>（三）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同时参加本项目的采购活动。</w:t>
      </w:r>
    </w:p>
    <w:p>
      <w:pPr>
        <w:spacing w:line="56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highlight w:val="none"/>
        </w:rPr>
        <w:t>六、选定供应商方法</w:t>
      </w:r>
    </w:p>
    <w:p>
      <w:pPr>
        <w:spacing w:line="560" w:lineRule="exact"/>
        <w:ind w:firstLine="640" w:firstLineChars="200"/>
        <w:jc w:val="left"/>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jc w:val="left"/>
        <w:rPr>
          <w:rFonts w:hint="eastAsia" w:ascii="仿宋_GB2312" w:hAnsi="仿宋_GB2312" w:eastAsia="仿宋_GB2312" w:cs="仿宋_GB2312"/>
          <w:b/>
          <w:bCs/>
          <w:color w:val="FF0000"/>
          <w:sz w:val="30"/>
          <w:szCs w:val="30"/>
          <w:highlight w:val="yellow"/>
          <w:lang w:eastAsia="zh-CN"/>
        </w:rPr>
      </w:pPr>
      <w:r>
        <w:rPr>
          <w:rFonts w:hint="eastAsia" w:ascii="黑体" w:hAnsi="黑体" w:eastAsia="黑体" w:cs="黑体"/>
          <w:sz w:val="32"/>
          <w:szCs w:val="32"/>
          <w:highlight w:val="none"/>
        </w:rPr>
        <w:t>七、评分要求</w:t>
      </w:r>
    </w:p>
    <w:p>
      <w:pPr>
        <w:pStyle w:val="20"/>
        <w:spacing w:line="560" w:lineRule="exact"/>
        <w:ind w:firstLine="640" w:firstLineChars="200"/>
        <w:rPr>
          <w:rFonts w:ascii="楷体_GB2312" w:hAnsi="楷体_GB2312" w:eastAsia="楷体_GB2312" w:cs="楷体_GB2312"/>
          <w:b w:val="0"/>
          <w:bCs/>
          <w:color w:val="000000"/>
          <w:sz w:val="32"/>
          <w:szCs w:val="32"/>
          <w:highlight w:val="none"/>
        </w:rPr>
      </w:pPr>
      <w:r>
        <w:rPr>
          <w:rFonts w:hint="eastAsia" w:ascii="楷体_GB2312" w:hAnsi="楷体_GB2312" w:eastAsia="楷体_GB2312" w:cs="楷体_GB2312"/>
          <w:b w:val="0"/>
          <w:bCs/>
          <w:color w:val="000000"/>
          <w:sz w:val="32"/>
          <w:szCs w:val="32"/>
          <w:highlight w:val="none"/>
        </w:rPr>
        <w:t>（一）评分规则</w:t>
      </w:r>
    </w:p>
    <w:p>
      <w:pPr>
        <w:spacing w:line="560" w:lineRule="exact"/>
        <w:ind w:firstLine="640" w:firstLineChars="200"/>
        <w:jc w:val="left"/>
        <w:rPr>
          <w:rFonts w:ascii="楷体_GB2312" w:hAnsi="楷体_GB2312" w:eastAsia="楷体_GB2312" w:cs="楷体_GB2312"/>
          <w:bCs/>
          <w:color w:val="000000"/>
          <w:sz w:val="32"/>
          <w:szCs w:val="32"/>
          <w:highlight w:val="none"/>
        </w:rPr>
      </w:pPr>
      <w:r>
        <w:rPr>
          <w:rFonts w:hint="eastAsia" w:ascii="仿宋_GB2312" w:eastAsia="仿宋_GB2312"/>
          <w:color w:val="000000"/>
          <w:sz w:val="32"/>
          <w:szCs w:val="32"/>
          <w:highlight w:val="none"/>
        </w:rPr>
        <w:t>采取综合评分标准，平均分最高的投标人为本项目中标人。</w:t>
      </w:r>
    </w:p>
    <w:p>
      <w:pPr>
        <w:pStyle w:val="20"/>
        <w:spacing w:line="560" w:lineRule="exact"/>
        <w:ind w:firstLine="640" w:firstLineChars="200"/>
        <w:rPr>
          <w:rFonts w:hint="eastAsia" w:ascii="楷体_GB2312" w:hAnsi="楷体_GB2312" w:eastAsia="楷体_GB2312" w:cs="楷体_GB2312"/>
          <w:b w:val="0"/>
          <w:bCs/>
          <w:color w:val="000000"/>
          <w:sz w:val="32"/>
          <w:szCs w:val="32"/>
          <w:highlight w:val="none"/>
          <w:lang w:eastAsia="zh-CN"/>
        </w:rPr>
      </w:pPr>
      <w:r>
        <w:rPr>
          <w:rFonts w:hint="eastAsia" w:ascii="楷体_GB2312" w:hAnsi="楷体_GB2312" w:eastAsia="楷体_GB2312" w:cs="楷体_GB2312"/>
          <w:b w:val="0"/>
          <w:bCs/>
          <w:color w:val="000000"/>
          <w:sz w:val="32"/>
          <w:szCs w:val="32"/>
          <w:highlight w:val="none"/>
        </w:rPr>
        <w:t>（二）评分权重</w:t>
      </w:r>
    </w:p>
    <w:tbl>
      <w:tblPr>
        <w:tblStyle w:val="15"/>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hint="eastAsia" w:ascii="仿宋_GB2312" w:hAnsi="仿宋_GB2312" w:eastAsia="仿宋_GB2312" w:cs="仿宋_GB2312"/>
                <w:b w:val="0"/>
                <w:bCs/>
                <w:szCs w:val="24"/>
                <w:highlight w:val="none"/>
                <w:lang w:eastAsia="zh-CN"/>
              </w:rPr>
            </w:pPr>
            <w:r>
              <w:rPr>
                <w:rFonts w:hint="eastAsia" w:ascii="仿宋_GB2312" w:hAnsi="仿宋_GB2312" w:eastAsia="仿宋_GB2312" w:cs="仿宋_GB2312"/>
                <w:b w:val="0"/>
                <w:bCs/>
                <w:szCs w:val="24"/>
                <w:highlight w:val="none"/>
                <w:lang w:eastAsia="zh-CN"/>
              </w:rPr>
              <w:t>商务部分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lang w:eastAsia="zh-CN"/>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b w:val="0"/>
                <w:bCs/>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30</w:t>
            </w:r>
            <w:r>
              <w:rPr>
                <w:rFonts w:hint="eastAsia" w:ascii="仿宋_GB2312" w:hAnsi="仿宋_GB2312" w:eastAsia="仿宋_GB2312" w:cs="仿宋_GB2312"/>
                <w:b w:val="0"/>
                <w:bCs/>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25</w:t>
            </w:r>
            <w:r>
              <w:rPr>
                <w:rFonts w:hint="eastAsia" w:ascii="仿宋_GB2312" w:hAnsi="仿宋_GB2312" w:eastAsia="仿宋_GB2312" w:cs="仿宋_GB2312"/>
                <w:b w:val="0"/>
                <w:bCs/>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20"/>
              <w:spacing w:line="560" w:lineRule="exact"/>
              <w:jc w:val="left"/>
              <w:rPr>
                <w:rFonts w:ascii="仿宋_GB2312" w:hAnsi="仿宋_GB2312" w:eastAsia="仿宋_GB2312" w:cs="仿宋_GB2312"/>
                <w:b w:val="0"/>
                <w:bCs/>
                <w:szCs w:val="24"/>
                <w:highlight w:val="none"/>
              </w:rPr>
            </w:pPr>
            <w:r>
              <w:rPr>
                <w:rFonts w:hint="eastAsia" w:ascii="仿宋_GB2312" w:hAnsi="仿宋_GB2312" w:eastAsia="仿宋_GB2312" w:cs="仿宋_GB2312"/>
                <w:sz w:val="24"/>
                <w:szCs w:val="24"/>
                <w:highlight w:val="none"/>
                <w:lang w:val="en-US" w:eastAsia="zh-CN"/>
              </w:rPr>
              <w:t>45</w:t>
            </w:r>
            <w:r>
              <w:rPr>
                <w:rFonts w:hint="eastAsia" w:ascii="仿宋_GB2312" w:hAnsi="仿宋_GB2312" w:eastAsia="仿宋_GB2312" w:cs="仿宋_GB2312"/>
                <w:b w:val="0"/>
                <w:bCs/>
                <w:szCs w:val="24"/>
                <w:highlight w:val="none"/>
              </w:rPr>
              <w:t>分</w:t>
            </w:r>
          </w:p>
        </w:tc>
      </w:tr>
    </w:tbl>
    <w:p>
      <w:pPr>
        <w:pStyle w:val="20"/>
        <w:spacing w:line="560" w:lineRule="exact"/>
        <w:ind w:firstLine="640" w:firstLineChars="200"/>
        <w:rPr>
          <w:rFonts w:ascii="仿宋_GB2312" w:eastAsia="仿宋_GB2312"/>
          <w:sz w:val="32"/>
          <w:szCs w:val="32"/>
          <w:highlight w:val="none"/>
        </w:rPr>
      </w:pPr>
      <w:r>
        <w:rPr>
          <w:rFonts w:hint="eastAsia" w:ascii="楷体_GB2312" w:hAnsi="楷体_GB2312" w:eastAsia="楷体_GB2312" w:cs="楷体_GB2312"/>
          <w:b w:val="0"/>
          <w:bCs/>
          <w:color w:val="000000"/>
          <w:sz w:val="32"/>
          <w:szCs w:val="32"/>
          <w:highlight w:val="none"/>
        </w:rPr>
        <w:t>（三）评分标准</w:t>
      </w:r>
    </w:p>
    <w:tbl>
      <w:tblPr>
        <w:tblStyle w:val="16"/>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30分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keepNext w:val="0"/>
              <w:keepLines w:val="0"/>
              <w:widowControl w:val="0"/>
              <w:suppressLineNumbers w:val="0"/>
              <w:spacing w:before="0" w:beforeAutospacing="0" w:after="120" w:afterAutospacing="0" w:line="240" w:lineRule="auto"/>
              <w:ind w:left="0" w:right="0"/>
              <w:jc w:val="left"/>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部分</w:t>
            </w:r>
          </w:p>
          <w:p>
            <w:pPr>
              <w:keepNext w:val="0"/>
              <w:keepLines w:val="0"/>
              <w:widowControl w:val="0"/>
              <w:suppressLineNumbers w:val="0"/>
              <w:spacing w:before="0" w:beforeAutospacing="0" w:after="120" w:afterAutospacing="0" w:line="240" w:lineRule="auto"/>
              <w:ind w:left="0" w:right="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25</w:t>
            </w:r>
            <w:r>
              <w:rPr>
                <w:rFonts w:hint="eastAsia" w:ascii="仿宋_GB2312" w:hAnsi="仿宋_GB2312" w:eastAsia="仿宋_GB2312" w:cs="仿宋_GB2312"/>
                <w:color w:val="auto"/>
                <w:kern w:val="2"/>
                <w:sz w:val="24"/>
                <w:szCs w:val="24"/>
                <w:highlight w:val="none"/>
                <w:vertAlign w:val="baseline"/>
                <w:lang w:val="en-US" w:eastAsia="zh-CN" w:bidi="ar-SA"/>
              </w:rPr>
              <w:t>分）</w:t>
            </w:r>
          </w:p>
        </w:tc>
        <w:tc>
          <w:tcPr>
            <w:tcW w:w="1170" w:type="dxa"/>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kern w:val="2"/>
                <w:sz w:val="24"/>
                <w:szCs w:val="24"/>
                <w:highlight w:val="none"/>
                <w:lang w:val="en-US" w:eastAsia="zh-CN" w:bidi="ar-SA"/>
              </w:rPr>
              <w:t>（</w:t>
            </w:r>
            <w:r>
              <w:rPr>
                <w:rFonts w:hint="eastAsia" w:ascii="仿宋_GB2312" w:hAnsi="仿宋_GB2312" w:eastAsia="仿宋_GB2312" w:cs="仿宋_GB2312"/>
                <w:b/>
                <w:bCs/>
                <w:color w:val="auto"/>
                <w:sz w:val="24"/>
                <w:szCs w:val="24"/>
                <w:highlight w:val="none"/>
                <w:lang w:eastAsia="zh-CN"/>
              </w:rPr>
              <w:t>一）评审内容：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投标人自2023年1月1日至本项目投标截止日（以合同签订日期为准），每提供一项安全服务类同类业绩得5分，最高得10分。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1.每项业绩按以下要求提供完整准确的证明文件，一个合同计算一个业绩，一年一签的续签合同只计算一个业绩：</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合同关键页（关键信息包括但不仅限于合同的项目名称、服务内容、合同服务的起止时间、合同双方的盖章、签订日期等）；</w:t>
            </w:r>
          </w:p>
          <w:p>
            <w:pPr>
              <w:keepNext w:val="0"/>
              <w:keepLines w:val="0"/>
              <w:suppressLineNumbers w:val="0"/>
              <w:topLinePunct/>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2"/>
                <w:sz w:val="24"/>
                <w:szCs w:val="24"/>
                <w:highlight w:val="none"/>
                <w:lang w:val="en-US" w:eastAsia="zh-CN" w:bidi="ar-SA"/>
              </w:rPr>
              <w:t>2.未提供证明材料或者提供的证明材料不符合要求或提供的证明材料不清晰导致采购小组无法辨认的，不得分。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拟安排项目团队成员（12分）</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w:t>
            </w:r>
            <w:r>
              <w:rPr>
                <w:rFonts w:hint="eastAsia" w:ascii="仿宋_GB2312" w:hAnsi="仿宋_GB2312" w:eastAsia="仿宋_GB2312" w:cs="仿宋_GB2312"/>
                <w:color w:val="auto"/>
                <w:sz w:val="24"/>
                <w:szCs w:val="24"/>
                <w:highlight w:val="none"/>
                <w:lang w:val="en-US" w:eastAsia="zh-CN"/>
              </w:rPr>
              <w:t>团队成员（不包含</w:t>
            </w:r>
            <w:r>
              <w:rPr>
                <w:rFonts w:hint="eastAsia" w:ascii="仿宋_GB2312" w:hAnsi="仿宋_GB2312" w:eastAsia="仿宋_GB2312" w:cs="仿宋_GB2312"/>
                <w:color w:val="auto"/>
                <w:sz w:val="24"/>
                <w:szCs w:val="24"/>
                <w:highlight w:val="none"/>
                <w:lang w:eastAsia="zh-CN"/>
              </w:rPr>
              <w:t>团队</w:t>
            </w:r>
            <w:r>
              <w:rPr>
                <w:rFonts w:hint="eastAsia" w:ascii="仿宋_GB2312" w:hAnsi="仿宋_GB2312" w:eastAsia="仿宋_GB2312" w:cs="仿宋_GB2312"/>
                <w:color w:val="auto"/>
                <w:sz w:val="24"/>
                <w:szCs w:val="24"/>
                <w:highlight w:val="none"/>
                <w:lang w:val="en-US" w:eastAsia="zh-CN"/>
              </w:rPr>
              <w:t>负责人）</w:t>
            </w:r>
            <w:r>
              <w:rPr>
                <w:rFonts w:hint="eastAsia" w:ascii="仿宋_GB2312" w:hAnsi="仿宋_GB2312" w:eastAsia="仿宋_GB2312" w:cs="仿宋_GB2312"/>
                <w:color w:val="auto"/>
                <w:sz w:val="24"/>
                <w:szCs w:val="24"/>
                <w:highlight w:val="none"/>
                <w:lang w:eastAsia="zh-CN"/>
              </w:rPr>
              <w:t>情况：</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w:t>
            </w:r>
            <w:r>
              <w:rPr>
                <w:rFonts w:hint="eastAsia" w:ascii="仿宋_GB2312" w:hAnsi="仿宋_GB2312" w:eastAsia="仿宋_GB2312" w:cs="仿宋_GB2312"/>
                <w:color w:val="auto"/>
                <w:sz w:val="24"/>
                <w:szCs w:val="24"/>
                <w:highlight w:val="none"/>
                <w:lang w:val="en-US" w:eastAsia="zh-CN"/>
              </w:rPr>
              <w:t>安全工程、应急技术与管理、消防工程等任一</w:t>
            </w:r>
            <w:r>
              <w:rPr>
                <w:rFonts w:hint="eastAsia" w:ascii="仿宋_GB2312" w:hAnsi="仿宋_GB2312" w:eastAsia="仿宋_GB2312" w:cs="仿宋_GB2312"/>
                <w:color w:val="auto"/>
                <w:sz w:val="24"/>
                <w:szCs w:val="24"/>
                <w:highlight w:val="none"/>
                <w:lang w:eastAsia="zh-CN"/>
              </w:rPr>
              <w:t>专业本科（或以上）学历，每提供一人的得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分（注：同一人不同学历不累计分值）；</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具有中级（或以上）安全工程师（非网络信息类），每提供一人得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w:t>
            </w:r>
            <w:r>
              <w:rPr>
                <w:rFonts w:hint="eastAsia" w:ascii="仿宋_GB2312" w:hAnsi="仿宋_GB2312" w:eastAsia="仿宋_GB2312" w:cs="仿宋_GB2312"/>
                <w:color w:val="auto"/>
                <w:sz w:val="24"/>
                <w:szCs w:val="24"/>
                <w:highlight w:val="none"/>
                <w:lang w:val="en-US" w:eastAsia="zh-CN"/>
              </w:rPr>
              <w:t>安全服务</w:t>
            </w:r>
            <w:r>
              <w:rPr>
                <w:rFonts w:hint="eastAsia" w:ascii="仿宋_GB2312" w:hAnsi="仿宋_GB2312" w:eastAsia="仿宋_GB2312" w:cs="仿宋_GB2312"/>
                <w:color w:val="auto"/>
                <w:sz w:val="24"/>
                <w:szCs w:val="24"/>
                <w:highlight w:val="none"/>
                <w:lang w:eastAsia="zh-CN"/>
              </w:rPr>
              <w:t>有关工作经验，每提供一人得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同一人具备1至3项情况的可</w:t>
            </w:r>
            <w:r>
              <w:rPr>
                <w:rFonts w:hint="eastAsia" w:ascii="仿宋_GB2312" w:hAnsi="仿宋_GB2312" w:eastAsia="仿宋_GB2312" w:cs="仿宋_GB2312"/>
                <w:color w:val="auto"/>
                <w:sz w:val="24"/>
                <w:szCs w:val="24"/>
                <w:highlight w:val="none"/>
                <w:lang w:val="en-US" w:eastAsia="zh-CN"/>
              </w:rPr>
              <w:t>重复得</w:t>
            </w:r>
            <w:r>
              <w:rPr>
                <w:rFonts w:hint="eastAsia" w:ascii="仿宋_GB2312" w:hAnsi="仿宋_GB2312" w:eastAsia="仿宋_GB2312" w:cs="仿宋_GB2312"/>
                <w:color w:val="auto"/>
                <w:sz w:val="24"/>
                <w:szCs w:val="24"/>
                <w:highlight w:val="none"/>
                <w:lang w:eastAsia="zh-CN"/>
              </w:rPr>
              <w:t>分，本项最高得</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lang w:eastAsia="zh-CN"/>
              </w:rPr>
              <w:t>分。</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sz w:val="24"/>
                <w:szCs w:val="24"/>
                <w:highlight w:val="none"/>
              </w:rPr>
              <w:t>提供毕业证书</w:t>
            </w:r>
            <w:r>
              <w:rPr>
                <w:rFonts w:hint="eastAsia" w:ascii="仿宋_GB2312" w:hAnsi="仿宋_GB2312" w:eastAsia="仿宋_GB2312" w:cs="仿宋_GB2312"/>
                <w:sz w:val="24"/>
                <w:szCs w:val="24"/>
                <w:highlight w:val="none"/>
                <w:lang w:eastAsia="zh-CN"/>
              </w:rPr>
              <w:t>或学位证书</w:t>
            </w:r>
            <w:r>
              <w:rPr>
                <w:rFonts w:hint="eastAsia" w:ascii="仿宋_GB2312" w:hAnsi="仿宋_GB2312" w:eastAsia="仿宋_GB2312" w:cs="仿宋_GB2312"/>
                <w:sz w:val="24"/>
                <w:szCs w:val="24"/>
                <w:highlight w:val="none"/>
              </w:rPr>
              <w:t>扫描件</w:t>
            </w:r>
            <w:r>
              <w:rPr>
                <w:rFonts w:hint="eastAsia" w:ascii="仿宋_GB2312" w:hAnsi="仿宋_GB2312" w:eastAsia="仿宋_GB2312" w:cs="仿宋_GB2312"/>
                <w:sz w:val="24"/>
                <w:szCs w:val="24"/>
                <w:highlight w:val="none"/>
                <w:lang w:eastAsia="zh-CN"/>
              </w:rPr>
              <w:t>，及</w:t>
            </w:r>
            <w:r>
              <w:rPr>
                <w:rFonts w:hint="eastAsia" w:ascii="仿宋_GB2312" w:hAnsi="仿宋_GB2312" w:eastAsia="仿宋_GB2312" w:cs="仿宋_GB2312"/>
                <w:sz w:val="24"/>
                <w:szCs w:val="24"/>
                <w:highlight w:val="none"/>
              </w:rPr>
              <w:t>学历信息在学信网查询结果截图，原件备查</w:t>
            </w:r>
            <w:r>
              <w:rPr>
                <w:rFonts w:hint="eastAsia" w:ascii="仿宋_GB2312" w:hAnsi="仿宋_GB2312" w:eastAsia="仿宋_GB2312" w:cs="仿宋_GB2312"/>
                <w:color w:val="auto"/>
                <w:sz w:val="24"/>
                <w:szCs w:val="24"/>
                <w:highlight w:val="none"/>
              </w:rPr>
              <w:t>。</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提供相关证书</w:t>
            </w:r>
            <w:r>
              <w:rPr>
                <w:rFonts w:hint="eastAsia" w:ascii="仿宋_GB2312" w:hAnsi="仿宋_GB2312" w:eastAsia="仿宋_GB2312" w:cs="仿宋_GB2312"/>
                <w:color w:val="auto"/>
                <w:sz w:val="24"/>
                <w:szCs w:val="24"/>
                <w:highlight w:val="none"/>
                <w:lang w:eastAsia="zh-CN"/>
              </w:rPr>
              <w:t>扫描件</w:t>
            </w:r>
            <w:r>
              <w:rPr>
                <w:rFonts w:hint="eastAsia" w:ascii="仿宋_GB2312" w:hAnsi="仿宋_GB2312" w:eastAsia="仿宋_GB2312" w:cs="仿宋_GB2312"/>
                <w:sz w:val="24"/>
                <w:szCs w:val="24"/>
                <w:lang w:eastAsia="zh-CN"/>
              </w:rPr>
              <w:t>及</w:t>
            </w:r>
            <w:r>
              <w:rPr>
                <w:rFonts w:hint="eastAsia" w:ascii="仿宋_GB2312" w:hAnsi="仿宋_GB2312" w:eastAsia="仿宋_GB2312" w:cs="仿宋_GB2312"/>
                <w:sz w:val="24"/>
                <w:szCs w:val="24"/>
                <w:lang w:val="en-US" w:eastAsia="zh-CN"/>
              </w:rPr>
              <w:t>2026年7月后</w:t>
            </w:r>
            <w:r>
              <w:rPr>
                <w:rFonts w:hint="eastAsia" w:ascii="仿宋_GB2312" w:hAnsi="仿宋_GB2312" w:eastAsia="仿宋_GB2312" w:cs="仿宋_GB2312"/>
                <w:sz w:val="24"/>
                <w:szCs w:val="24"/>
                <w:lang w:eastAsia="zh-CN"/>
              </w:rPr>
              <w:t>线上查询验证材料</w:t>
            </w:r>
            <w:r>
              <w:rPr>
                <w:rFonts w:hint="eastAsia" w:ascii="仿宋_GB2312" w:hAnsi="仿宋_GB2312" w:eastAsia="仿宋_GB2312" w:cs="仿宋_GB2312"/>
                <w:color w:val="auto"/>
                <w:sz w:val="24"/>
                <w:szCs w:val="24"/>
                <w:highlight w:val="none"/>
              </w:rPr>
              <w:t>。</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项目负责人/团队成员名字、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4.以上人员近三月社保缴纳记录。</w:t>
            </w:r>
          </w:p>
          <w:p>
            <w:pPr>
              <w:keepNext w:val="0"/>
              <w:keepLines w:val="0"/>
              <w:suppressLineNumbers w:val="0"/>
              <w:topLinePunct/>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highlight w:val="none"/>
                <w:lang w:val="en-US" w:eastAsia="zh-CN"/>
              </w:rPr>
              <w:t>5.以上证明文件原件备查，</w:t>
            </w:r>
            <w:r>
              <w:rPr>
                <w:rFonts w:hint="eastAsia" w:ascii="仿宋_GB2312" w:hAnsi="仿宋_GB2312" w:eastAsia="仿宋_GB2312" w:cs="仿宋_GB2312"/>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lang w:val="en-US" w:eastAsia="zh-CN"/>
              </w:rPr>
              <w:t>后的服务承诺（3分）</w:t>
            </w:r>
          </w:p>
        </w:tc>
        <w:tc>
          <w:tcPr>
            <w:tcW w:w="6143" w:type="dxa"/>
            <w:noWrap w:val="0"/>
            <w:vAlign w:val="center"/>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suppressLineNumbers w:val="0"/>
              <w:topLinePunct/>
              <w:adjustRightInd/>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p>
          <w:p>
            <w:pPr>
              <w:keepNext w:val="0"/>
              <w:keepLines w:val="0"/>
              <w:suppressLineNumbers w:val="0"/>
              <w:topLinePunct/>
              <w:adjustRightInd/>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numPr>
                <w:ilvl w:val="0"/>
                <w:numId w:val="0"/>
              </w:numPr>
              <w:suppressLineNumbers w:val="0"/>
              <w:topLinePunct/>
              <w:adjustRightInd/>
              <w:snapToGrid w:val="0"/>
              <w:spacing w:before="0" w:beforeAutospacing="0" w:after="0" w:afterAutospacing="0" w:line="240" w:lineRule="auto"/>
              <w:ind w:left="0" w:right="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lang w:val="en-US" w:eastAsia="zh-CN"/>
              </w:rPr>
              <w:t>（30分）</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1.项目整体规划；</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2.项目管理目标；</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3.项目的安全保障；</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4.应急处置预案。</w:t>
            </w:r>
          </w:p>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1.优：项目实施方案内容全面、具体、针对性强、科学合理、可操作性强得14分；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2.良：项目实施方案内容较丰富、较具体、针对性较强、较科学合理、可操作性较强得10分；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项目重点难点分析、应对措施及相关的合理化建议</w:t>
            </w:r>
          </w:p>
          <w:p>
            <w:pPr>
              <w:keepNext w:val="0"/>
              <w:keepLines w:val="0"/>
              <w:suppressLineNumbers w:val="0"/>
              <w:spacing w:before="0" w:beforeAutospacing="0" w:after="0" w:afterAutospacing="0" w:line="240" w:lineRule="auto"/>
              <w:ind w:left="0" w:right="0"/>
              <w:jc w:val="left"/>
              <w:rPr>
                <w:rFonts w:hint="eastAsia" w:ascii="Calibri" w:hAnsi="Calibri" w:eastAsia="宋体" w:cs="Times New Roman"/>
                <w:color w:val="auto"/>
                <w:szCs w:val="24"/>
                <w:highlight w:val="none"/>
                <w:lang w:eastAsia="zh-CN"/>
              </w:rPr>
            </w:pPr>
            <w:r>
              <w:rPr>
                <w:rFonts w:hint="eastAsia" w:ascii="仿宋_GB2312" w:hAnsi="仿宋_GB2312" w:eastAsia="仿宋_GB2312" w:cs="仿宋_GB2312"/>
                <w:color w:val="auto"/>
                <w:sz w:val="24"/>
                <w:szCs w:val="24"/>
                <w:highlight w:val="none"/>
                <w:vertAlign w:val="baseline"/>
                <w:lang w:val="en-US" w:eastAsia="zh-CN"/>
              </w:rPr>
              <w:t>（15分）</w:t>
            </w:r>
          </w:p>
        </w:tc>
        <w:tc>
          <w:tcPr>
            <w:tcW w:w="6143" w:type="dxa"/>
            <w:noWrap w:val="0"/>
            <w:vAlign w:val="top"/>
          </w:tcPr>
          <w:p>
            <w:pPr>
              <w:keepNext w:val="0"/>
              <w:keepLines w:val="0"/>
              <w:suppressLineNumbers w:val="0"/>
              <w:topLinePunct/>
              <w:snapToGrid w:val="0"/>
              <w:spacing w:before="0" w:beforeAutospacing="0" w:after="0" w:afterAutospacing="0" w:line="240" w:lineRule="auto"/>
              <w:ind w:left="0" w:right="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考察对项目工作量、可完成度等重点难点问题的识别和分析能力，并就识别出的重点难点提出可行的应对措施及合理化建议。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包括但不限于以下内容：</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1.详细阐述本项目存在的重难点问题；</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2.根据项目重难点，详细阐述对应的应对措施；</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3.向招标方提出项目实施具体建议。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满足以上任意一项要求得3分，最高得9分，在此基础上，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良：以上项目重点难点分析、应对措施及相关的合理化建议的三点内容较</w:t>
            </w:r>
            <w:r>
              <w:rPr>
                <w:rFonts w:hint="eastAsia" w:ascii="仿宋_GB2312" w:hAnsi="仿宋_GB2312" w:eastAsia="仿宋_GB2312" w:cs="仿宋_GB2312"/>
                <w:color w:val="auto"/>
                <w:sz w:val="24"/>
                <w:szCs w:val="24"/>
                <w:highlight w:val="none"/>
                <w:lang w:eastAsia="zh-CN"/>
              </w:rPr>
              <w:t>丰富</w:t>
            </w:r>
            <w:r>
              <w:rPr>
                <w:rFonts w:hint="eastAsia" w:ascii="仿宋_GB2312" w:hAnsi="仿宋_GB2312" w:eastAsia="仿宋_GB2312" w:cs="仿宋_GB2312"/>
                <w:color w:val="auto"/>
                <w:sz w:val="24"/>
                <w:szCs w:val="24"/>
                <w:highlight w:val="none"/>
              </w:rPr>
              <w:t>、针对性较强、可操作性较强，加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分；</w:t>
            </w:r>
          </w:p>
          <w:p>
            <w:pPr>
              <w:keepNext w:val="0"/>
              <w:keepLines w:val="0"/>
              <w:suppressLineNumbers w:val="0"/>
              <w:spacing w:before="0" w:beforeAutospacing="0" w:after="0" w:afterAutospacing="0" w:line="240" w:lineRule="auto"/>
              <w:ind w:left="0" w:right="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w:t>
            </w:r>
          </w:p>
          <w:p>
            <w:pPr>
              <w:keepNext w:val="0"/>
              <w:keepLines w:val="0"/>
              <w:pageBreakBefore w:val="0"/>
              <w:widowControl w:val="0"/>
              <w:suppressLineNumbers w:val="0"/>
              <w:snapToGrid/>
              <w:spacing w:before="0" w:beforeAutospacing="0" w:after="0" w:afterAutospacing="0" w:line="240" w:lineRule="auto"/>
              <w:ind w:left="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20"/>
        <w:spacing w:line="560" w:lineRule="exact"/>
        <w:ind w:firstLine="640" w:firstLineChars="200"/>
        <w:jc w:val="both"/>
        <w:rPr>
          <w:rFonts w:hint="eastAsia" w:ascii="方正黑体_GBK" w:hAnsi="方正黑体_GBK" w:eastAsia="方正黑体_GBK" w:cs="方正黑体_GBK"/>
          <w:b w:val="0"/>
          <w:bCs/>
          <w:color w:val="000000"/>
          <w:sz w:val="32"/>
          <w:szCs w:val="32"/>
          <w:highlight w:val="none"/>
          <w:lang w:eastAsia="zh-CN"/>
        </w:rPr>
      </w:pPr>
      <w:r>
        <w:rPr>
          <w:rFonts w:hint="eastAsia" w:ascii="方正黑体_GBK" w:hAnsi="方正黑体_GBK" w:eastAsia="方正黑体_GBK" w:cs="方正黑体_GBK"/>
          <w:b w:val="0"/>
          <w:bCs/>
          <w:color w:val="000000"/>
          <w:sz w:val="32"/>
          <w:szCs w:val="32"/>
          <w:highlight w:val="none"/>
          <w:lang w:eastAsia="zh-CN"/>
        </w:rPr>
        <w:t>八、</w:t>
      </w:r>
      <w:r>
        <w:rPr>
          <w:rFonts w:hint="eastAsia" w:ascii="方正黑体_GBK" w:hAnsi="方正黑体_GBK" w:eastAsia="方正黑体_GBK" w:cs="方正黑体_GBK"/>
          <w:b w:val="0"/>
          <w:bCs/>
          <w:color w:val="000000"/>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b/>
          <w:bCs/>
          <w:color w:val="FF0000"/>
          <w:sz w:val="32"/>
          <w:highlight w:val="none"/>
        </w:rPr>
      </w:pPr>
      <w:r>
        <w:rPr>
          <w:rFonts w:hint="eastAsia" w:ascii="仿宋_GB2312" w:hAnsi="仿宋" w:eastAsia="仿宋_GB2312" w:cs="Times New Roman"/>
          <w:b/>
          <w:bCs/>
          <w:color w:val="FF0000"/>
          <w:sz w:val="32"/>
          <w:highlight w:val="none"/>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1.营业执照、事业法人证书、社会团体法人登记证书、相关许可证书；</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2.法定代表人身份证复印件；</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3.项目报价表（需按格式提供）；</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4.诚信承诺书（详见附件1）；</w:t>
      </w:r>
    </w:p>
    <w:p>
      <w:pPr>
        <w:pStyle w:val="7"/>
        <w:spacing w:after="0" w:line="560" w:lineRule="exact"/>
        <w:ind w:left="0" w:leftChars="0" w:right="0" w:rightChars="0" w:firstLine="640" w:firstLineChars="200"/>
        <w:jc w:val="both"/>
        <w:rPr>
          <w:rFonts w:hint="eastAsia" w:ascii="仿宋_GB2312" w:hAnsi="仿宋" w:eastAsia="仿宋_GB2312" w:cs="Times New Roman"/>
          <w:sz w:val="32"/>
          <w:highlight w:val="none"/>
        </w:rPr>
      </w:pPr>
      <w:r>
        <w:rPr>
          <w:rFonts w:hint="eastAsia" w:ascii="仿宋_GB2312" w:hAnsi="仿宋" w:eastAsia="仿宋_GB2312" w:cs="Times New Roman"/>
          <w:sz w:val="32"/>
          <w:highlight w:val="none"/>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highlight w:val="none"/>
        </w:rPr>
        <w:t>投标人未按要求完整提供对应人员社保材料的，按无效投标处理。</w:t>
      </w:r>
    </w:p>
    <w:p>
      <w:pPr>
        <w:pStyle w:val="7"/>
        <w:spacing w:after="0" w:line="560" w:lineRule="exact"/>
        <w:ind w:left="0" w:leftChars="0" w:right="0" w:rightChars="0" w:firstLine="640" w:firstLineChars="200"/>
        <w:jc w:val="both"/>
        <w:rPr>
          <w:rFonts w:hint="eastAsia" w:ascii="仿宋_GB2312" w:hAnsi="仿宋" w:eastAsia="仿宋_GB2312" w:cs="Times New Roman"/>
          <w:sz w:val="32"/>
          <w:lang w:eastAsia="zh-CN"/>
        </w:rPr>
      </w:pPr>
      <w:r>
        <w:rPr>
          <w:rFonts w:hint="eastAsia" w:ascii="仿宋_GB2312" w:hAnsi="仿宋" w:eastAsia="仿宋_GB2312" w:cs="Times New Roman"/>
          <w:sz w:val="32"/>
          <w:highlight w:val="none"/>
        </w:rPr>
        <w:t>6.评分规则所需资料（同类业绩证明、方案等）</w:t>
      </w:r>
      <w:r>
        <w:rPr>
          <w:rFonts w:hint="eastAsia" w:ascii="仿宋_GB2312" w:hAnsi="仿宋" w:eastAsia="仿宋_GB2312" w:cs="Times New Roman"/>
          <w:sz w:val="32"/>
          <w:highlight w:val="none"/>
          <w:lang w:eastAsia="zh-CN"/>
        </w:rPr>
        <w:t>。</w:t>
      </w:r>
    </w:p>
    <w:p>
      <w:pPr>
        <w:pStyle w:val="7"/>
        <w:spacing w:after="0" w:line="560" w:lineRule="exact"/>
        <w:ind w:left="0" w:leftChars="0" w:right="0" w:rightChars="0" w:firstLine="640" w:firstLineChars="200"/>
        <w:jc w:val="both"/>
        <w:rPr>
          <w:rFonts w:hint="eastAsia" w:ascii="方正黑体_GBK" w:hAnsi="方正黑体_GBK" w:eastAsia="方正黑体_GBK" w:cs="方正黑体_GBK"/>
          <w:sz w:val="32"/>
          <w:highlight w:val="none"/>
          <w:lang w:val="en-US" w:eastAsia="zh-CN"/>
        </w:rPr>
      </w:pPr>
      <w:r>
        <w:rPr>
          <w:rFonts w:hint="eastAsia" w:ascii="方正黑体_GBK" w:hAnsi="方正黑体_GBK" w:eastAsia="方正黑体_GBK" w:cs="方正黑体_GBK"/>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kern w:val="2"/>
          <w:sz w:val="32"/>
          <w:szCs w:val="24"/>
          <w:highlight w:val="none"/>
          <w:lang w:val="en-US" w:eastAsia="zh-CN" w:bidi="ar-SA"/>
        </w:rPr>
      </w:pPr>
      <w:r>
        <w:rPr>
          <w:rFonts w:hint="eastAsia" w:ascii="仿宋_GB2312" w:hAnsi="仿宋" w:eastAsia="仿宋_GB2312" w:cs="Times New Roman"/>
          <w:sz w:val="32"/>
          <w:highlight w:val="none"/>
          <w:lang w:val="en-US" w:eastAsia="zh-CN"/>
        </w:rPr>
        <w:t>1.供应商须在</w:t>
      </w:r>
      <w:r>
        <w:rPr>
          <w:rFonts w:hint="default" w:ascii="仿宋_GB2312" w:hAnsi="仿宋" w:eastAsia="仿宋_GB2312" w:cs="Times New Roman"/>
          <w:sz w:val="32"/>
          <w:highlight w:val="none"/>
          <w:lang w:val="en-US" w:eastAsia="zh-CN"/>
        </w:rPr>
        <w:t>深圳政府采购自行采购系统</w:t>
      </w:r>
      <w:r>
        <w:rPr>
          <w:rFonts w:hint="eastAsia" w:ascii="仿宋_GB2312" w:hAnsi="仿宋" w:eastAsia="仿宋_GB2312" w:cs="Times New Roman"/>
          <w:sz w:val="32"/>
          <w:highlight w:val="none"/>
          <w:lang w:val="en-US" w:eastAsia="zh-CN"/>
        </w:rPr>
        <w:t>完成</w:t>
      </w:r>
      <w:r>
        <w:rPr>
          <w:rFonts w:hint="eastAsia" w:ascii="仿宋_GB2312" w:hAnsi="仿宋" w:eastAsia="仿宋_GB2312" w:cs="Times New Roman"/>
          <w:kern w:val="2"/>
          <w:sz w:val="32"/>
          <w:szCs w:val="24"/>
          <w:highlight w:val="none"/>
          <w:lang w:val="en-US" w:eastAsia="zh-CN" w:bidi="ar-SA"/>
        </w:rPr>
        <w:t>注册（网址：https://zxcg.szggzy.com/home/index.html），请于本项目投标截止时间前完成注册，否则如中标/成交，可能影响采购结果的发布。</w:t>
      </w:r>
    </w:p>
    <w:p>
      <w:pPr>
        <w:widowControl w:val="0"/>
        <w:spacing w:after="0" w:line="560" w:lineRule="exact"/>
        <w:ind w:left="0" w:leftChars="0" w:right="0" w:rightChars="0" w:firstLine="640" w:firstLineChars="200"/>
        <w:jc w:val="both"/>
        <w:rPr>
          <w:rFonts w:hint="default"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2.供应商需以邮寄方式提</w:t>
      </w:r>
      <w:r>
        <w:rPr>
          <w:rFonts w:hint="eastAsia" w:ascii="仿宋_GB2312" w:hAnsi="仿宋" w:eastAsia="仿宋_GB2312" w:cs="Times New Roman"/>
          <w:color w:val="auto"/>
          <w:kern w:val="2"/>
          <w:sz w:val="32"/>
          <w:szCs w:val="24"/>
          <w:lang w:val="en-US" w:eastAsia="zh-CN" w:bidi="ar-SA"/>
        </w:rPr>
        <w:t>供</w:t>
      </w:r>
      <w:r>
        <w:rPr>
          <w:rFonts w:hint="eastAsia" w:ascii="仿宋_GB2312" w:hAnsi="仿宋" w:eastAsia="仿宋_GB2312" w:cs="Times New Roman"/>
          <w:color w:val="auto"/>
          <w:kern w:val="2"/>
          <w:sz w:val="32"/>
          <w:szCs w:val="24"/>
          <w:highlight w:val="none"/>
          <w:lang w:val="en-US" w:eastAsia="zh-CN" w:bidi="ar-SA"/>
        </w:rPr>
        <w:t>7份</w:t>
      </w:r>
      <w:r>
        <w:rPr>
          <w:rFonts w:hint="eastAsia" w:ascii="仿宋_GB2312" w:hAnsi="仿宋" w:eastAsia="仿宋_GB2312" w:cs="Times New Roman"/>
          <w:kern w:val="2"/>
          <w:sz w:val="32"/>
          <w:szCs w:val="24"/>
          <w:lang w:val="en-US" w:eastAsia="zh-CN" w:bidi="ar-SA"/>
        </w:rPr>
        <w:t>密封纸质版投标资料至本单位，并在封面备注“</w:t>
      </w:r>
      <w:r>
        <w:rPr>
          <w:rFonts w:hint="default" w:ascii="仿宋_GB2312" w:hAnsi="仿宋_GB2312" w:eastAsia="仿宋_GB2312" w:cs="仿宋_GB2312"/>
          <w:color w:val="000000"/>
          <w:kern w:val="0"/>
          <w:sz w:val="32"/>
          <w:szCs w:val="32"/>
          <w:lang w:val="en-US" w:eastAsia="zh-CN" w:bidi="ar-SA"/>
        </w:rPr>
        <w:t>2026年文化执法及区属大型公共文体场馆安全生产技术咨询服务项目</w:t>
      </w:r>
      <w:r>
        <w:rPr>
          <w:rFonts w:hint="eastAsia" w:ascii="仿宋_GB2312" w:hAnsi="仿宋_GB2312" w:eastAsia="仿宋_GB2312" w:cs="仿宋_GB2312"/>
          <w:color w:val="000000"/>
          <w:kern w:val="0"/>
          <w:sz w:val="32"/>
          <w:szCs w:val="32"/>
          <w:lang w:val="en-US" w:eastAsia="zh-CN" w:bidi="ar-SA"/>
        </w:rPr>
        <w:t>+公司全称+日期+联系人+联系方式”。</w:t>
      </w:r>
    </w:p>
    <w:p>
      <w:pPr>
        <w:widowControl w:val="0"/>
        <w:spacing w:after="0" w:line="560" w:lineRule="exact"/>
        <w:ind w:left="0" w:leftChars="0" w:right="0" w:rightChars="0" w:firstLine="640" w:firstLineChars="200"/>
        <w:jc w:val="both"/>
        <w:rPr>
          <w:rFonts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地址：深圳市龙华区龙华街道富康行政服务办公区</w:t>
      </w:r>
    </w:p>
    <w:p>
      <w:pPr>
        <w:widowControl w:val="0"/>
        <w:spacing w:line="560" w:lineRule="exact"/>
        <w:ind w:firstLine="640" w:firstLineChars="200"/>
        <w:jc w:val="both"/>
        <w:rPr>
          <w:rFonts w:ascii="仿宋_GB2312" w:hAnsi="仿宋" w:eastAsia="仿宋_GB2312" w:cs="Times New Roman"/>
          <w:kern w:val="2"/>
          <w:sz w:val="32"/>
          <w:szCs w:val="24"/>
          <w:lang w:val="en-US" w:eastAsia="zh-CN" w:bidi="ar-SA"/>
        </w:rPr>
      </w:pPr>
      <w:r>
        <w:rPr>
          <w:rFonts w:hint="eastAsia" w:ascii="仿宋_GB2312" w:hAnsi="仿宋" w:eastAsia="仿宋_GB2312" w:cs="Times New Roman"/>
          <w:kern w:val="2"/>
          <w:sz w:val="32"/>
          <w:szCs w:val="24"/>
          <w:lang w:val="en-US" w:eastAsia="zh-CN" w:bidi="ar-SA"/>
        </w:rPr>
        <w:t>收件人：吴先生</w:t>
      </w:r>
    </w:p>
    <w:p>
      <w:pPr>
        <w:spacing w:line="560" w:lineRule="exact"/>
        <w:ind w:firstLine="640" w:firstLineChars="200"/>
        <w:jc w:val="both"/>
        <w:rPr>
          <w:rFonts w:ascii="仿宋_GB2312" w:hAnsi="仿宋" w:eastAsia="仿宋_GB2312" w:cs="Times New Roman"/>
          <w:sz w:val="32"/>
          <w:szCs w:val="22"/>
        </w:rPr>
      </w:pPr>
      <w:r>
        <w:rPr>
          <w:rFonts w:hint="eastAsia" w:ascii="仿宋_GB2312" w:hAnsi="仿宋" w:eastAsia="仿宋_GB2312" w:cs="Times New Roman"/>
          <w:sz w:val="32"/>
          <w:szCs w:val="24"/>
        </w:rPr>
        <w:t>联系方式</w:t>
      </w:r>
      <w:r>
        <w:rPr>
          <w:rFonts w:hint="eastAsia" w:ascii="仿宋_GB2312" w:hAnsi="仿宋" w:eastAsia="仿宋_GB2312" w:cs="Times New Roman"/>
          <w:sz w:val="32"/>
          <w:szCs w:val="24"/>
          <w:lang w:eastAsia="zh-CN"/>
        </w:rPr>
        <w:t>：</w:t>
      </w:r>
      <w:r>
        <w:rPr>
          <w:rFonts w:hint="eastAsia" w:ascii="仿宋_GB2312" w:hAnsi="仿宋" w:eastAsia="仿宋_GB2312" w:cs="Times New Roman"/>
          <w:sz w:val="32"/>
          <w:szCs w:val="22"/>
        </w:rPr>
        <w:t>0755-23338032</w:t>
      </w:r>
    </w:p>
    <w:p>
      <w:pPr>
        <w:pStyle w:val="21"/>
        <w:spacing w:line="560" w:lineRule="exact"/>
        <w:ind w:firstLine="0" w:firstLineChars="0"/>
        <w:rPr>
          <w:rFonts w:hint="default" w:ascii="黑体" w:hAnsi="黑体" w:eastAsia="黑体" w:cs="黑体"/>
          <w:color w:val="000000"/>
          <w:sz w:val="32"/>
          <w:szCs w:val="32"/>
          <w:highlight w:val="none"/>
          <w:lang w:val="en-US" w:eastAsia="zh-CN"/>
        </w:rPr>
      </w:pPr>
      <w:r>
        <w:rPr>
          <w:rFonts w:ascii="仿宋_GB2312" w:hAnsi="仿宋" w:eastAsia="仿宋_GB2312" w:cs="Times New Roman"/>
          <w:sz w:val="32"/>
          <w:highlight w:val="none"/>
        </w:rPr>
        <w:br w:type="page"/>
      </w:r>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highlight w:val="none"/>
          <w:lang w:val="en-US" w:eastAsia="zh-CN"/>
        </w:rPr>
      </w:pPr>
    </w:p>
    <w:p>
      <w:pPr>
        <w:pStyle w:val="6"/>
        <w:rPr>
          <w:rFonts w:hint="default"/>
          <w:highlight w:val="none"/>
          <w:lang w:val="en-US" w:eastAsia="zh-CN"/>
        </w:rPr>
      </w:pPr>
    </w:p>
    <w:p>
      <w:pPr>
        <w:rPr>
          <w:rFonts w:hint="default"/>
          <w:highlight w:val="none"/>
          <w:lang w:val="en-US" w:eastAsia="zh-CN"/>
        </w:rPr>
      </w:pPr>
    </w:p>
    <w:p>
      <w:pPr>
        <w:pStyle w:val="21"/>
        <w:spacing w:line="560" w:lineRule="exact"/>
        <w:ind w:firstLine="0" w:firstLineChars="0"/>
        <w:rPr>
          <w:rFonts w:hint="eastAsia" w:ascii="黑体" w:hAnsi="黑体" w:eastAsia="黑体" w:cs="黑体"/>
          <w:color w:val="000000"/>
          <w:sz w:val="32"/>
          <w:szCs w:val="32"/>
          <w:highlight w:val="none"/>
          <w:lang w:val="en-US" w:eastAsia="zh-CN"/>
        </w:rPr>
      </w:pPr>
      <w:r>
        <w:rPr>
          <w:rFonts w:hint="eastAsia" w:ascii="黑体" w:hAnsi="黑体" w:eastAsia="黑体" w:cs="黑体"/>
          <w:color w:val="000000"/>
          <w:sz w:val="32"/>
          <w:szCs w:val="32"/>
          <w:highlight w:val="none"/>
        </w:rPr>
        <w:t>附件</w:t>
      </w:r>
      <w:r>
        <w:rPr>
          <w:rFonts w:hint="eastAsia" w:ascii="黑体" w:hAnsi="黑体" w:eastAsia="黑体" w:cs="黑体"/>
          <w:color w:val="000000"/>
          <w:sz w:val="32"/>
          <w:szCs w:val="32"/>
          <w:highlight w:val="none"/>
          <w:lang w:val="en-US" w:eastAsia="zh-CN"/>
        </w:rPr>
        <w:t>2</w:t>
      </w:r>
    </w:p>
    <w:p>
      <w:pPr>
        <w:pStyle w:val="14"/>
        <w:snapToGrid w:val="0"/>
        <w:spacing w:before="0" w:after="0" w:line="560" w:lineRule="exact"/>
        <w:rPr>
          <w:rFonts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供应商基本情况表</w:t>
      </w:r>
    </w:p>
    <w:p>
      <w:pPr>
        <w:spacing w:line="560" w:lineRule="exact"/>
        <w:jc w:val="left"/>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填表单位：（加盖单位公章）</w:t>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 xml:space="preserve">   填表日期：    年   月   日</w:t>
      </w:r>
    </w:p>
    <w:tbl>
      <w:tblPr>
        <w:tblStyle w:val="16"/>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采购人</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投标（响应）供应商</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供应商统一社会信用代码</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劳动合同</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缴纳社会</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4</w:t>
            </w:r>
          </w:p>
        </w:tc>
        <w:tc>
          <w:tcPr>
            <w:tcW w:w="2345"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主要技术人员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投标文件编制人员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说明：同一关联关系类型有多个主体的，应分行填写。</w:t>
            </w:r>
          </w:p>
        </w:tc>
      </w:tr>
    </w:tbl>
    <w:p>
      <w:pPr>
        <w:rPr>
          <w:rFonts w:hint="default"/>
          <w:highlight w:val="none"/>
          <w:lang w:val="en-US" w:eastAsia="zh-CN"/>
        </w:rPr>
      </w:pPr>
      <w:bookmarkStart w:id="1" w:name="_GoBack"/>
      <w:bookmarkEnd w:id="1"/>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FA458"/>
    <w:multiLevelType w:val="singleLevel"/>
    <w:tmpl w:val="97FFA45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16EB8C75"/>
    <w:rsid w:val="177F76CE"/>
    <w:rsid w:val="17AF3BC7"/>
    <w:rsid w:val="195A0181"/>
    <w:rsid w:val="1BFD8222"/>
    <w:rsid w:val="20B451EA"/>
    <w:rsid w:val="35FF737A"/>
    <w:rsid w:val="377757A3"/>
    <w:rsid w:val="3B7F6256"/>
    <w:rsid w:val="3D5FDCFC"/>
    <w:rsid w:val="3ED79A0D"/>
    <w:rsid w:val="3F7D16C5"/>
    <w:rsid w:val="4F4218AF"/>
    <w:rsid w:val="532E96C6"/>
    <w:rsid w:val="53B37108"/>
    <w:rsid w:val="56AB7232"/>
    <w:rsid w:val="57F689EF"/>
    <w:rsid w:val="5CBC8CB7"/>
    <w:rsid w:val="5F2BE56A"/>
    <w:rsid w:val="5FFFF5C8"/>
    <w:rsid w:val="60FDCBD4"/>
    <w:rsid w:val="69FDD0B7"/>
    <w:rsid w:val="6B3F8BB4"/>
    <w:rsid w:val="6B8F72D1"/>
    <w:rsid w:val="6CFFD566"/>
    <w:rsid w:val="6FAB2B66"/>
    <w:rsid w:val="6FC72380"/>
    <w:rsid w:val="6FFDAFFD"/>
    <w:rsid w:val="72504650"/>
    <w:rsid w:val="726A1299"/>
    <w:rsid w:val="73FB884D"/>
    <w:rsid w:val="74DC04CA"/>
    <w:rsid w:val="773E6F28"/>
    <w:rsid w:val="77CF25C5"/>
    <w:rsid w:val="77FABDDE"/>
    <w:rsid w:val="79DF4DFB"/>
    <w:rsid w:val="7AEFCCCB"/>
    <w:rsid w:val="7BB46B4C"/>
    <w:rsid w:val="7BD3E33C"/>
    <w:rsid w:val="7BF7E217"/>
    <w:rsid w:val="7BFE185C"/>
    <w:rsid w:val="7C7C8A29"/>
    <w:rsid w:val="7CFF63A5"/>
    <w:rsid w:val="7D5FAC45"/>
    <w:rsid w:val="7D9F3A20"/>
    <w:rsid w:val="7DD39989"/>
    <w:rsid w:val="7E7FE64A"/>
    <w:rsid w:val="7E9F479A"/>
    <w:rsid w:val="7EDC450B"/>
    <w:rsid w:val="7F46C659"/>
    <w:rsid w:val="7FBC9EFF"/>
    <w:rsid w:val="7FBED81A"/>
    <w:rsid w:val="7FD1A07F"/>
    <w:rsid w:val="7FDE65C0"/>
    <w:rsid w:val="7FE5DA00"/>
    <w:rsid w:val="7FFCE432"/>
    <w:rsid w:val="82BD591F"/>
    <w:rsid w:val="8FADC014"/>
    <w:rsid w:val="971FB0E8"/>
    <w:rsid w:val="9DFF753E"/>
    <w:rsid w:val="9EF7DD19"/>
    <w:rsid w:val="9EFFBBA7"/>
    <w:rsid w:val="9F5281F5"/>
    <w:rsid w:val="9FF753B3"/>
    <w:rsid w:val="ABBF3296"/>
    <w:rsid w:val="B3E3DBA6"/>
    <w:rsid w:val="B6FC8A08"/>
    <w:rsid w:val="BBFF548B"/>
    <w:rsid w:val="BDB810FC"/>
    <w:rsid w:val="BEF93675"/>
    <w:rsid w:val="BFFF178B"/>
    <w:rsid w:val="CD9D1C82"/>
    <w:rsid w:val="CEAEA899"/>
    <w:rsid w:val="DBBB1983"/>
    <w:rsid w:val="DC7E6CB0"/>
    <w:rsid w:val="DEB7FE68"/>
    <w:rsid w:val="DFFF69F1"/>
    <w:rsid w:val="E376E1AF"/>
    <w:rsid w:val="E77E6E49"/>
    <w:rsid w:val="EDD505AA"/>
    <w:rsid w:val="EFF64497"/>
    <w:rsid w:val="F37CF169"/>
    <w:rsid w:val="F573B260"/>
    <w:rsid w:val="F5BF5C54"/>
    <w:rsid w:val="F7EFF85E"/>
    <w:rsid w:val="F7FDA984"/>
    <w:rsid w:val="F96EC648"/>
    <w:rsid w:val="FA7C34DF"/>
    <w:rsid w:val="FC054E33"/>
    <w:rsid w:val="FDEE2AC6"/>
    <w:rsid w:val="FDFFDEC4"/>
    <w:rsid w:val="FE9FAB27"/>
    <w:rsid w:val="FEA60B98"/>
    <w:rsid w:val="FEDFC7A1"/>
    <w:rsid w:val="FEFBCF3E"/>
    <w:rsid w:val="FFBFB86A"/>
    <w:rsid w:val="FFEBD83F"/>
    <w:rsid w:val="FFEF2FC6"/>
    <w:rsid w:val="FFF57FFB"/>
    <w:rsid w:val="FFF7602D"/>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rPr>
      <w:rFonts w:ascii="Calibri" w:hAnsi="Calibri" w:eastAsia="宋体" w:cs="Times New Roman"/>
    </w:rPr>
  </w:style>
  <w:style w:type="paragraph" w:styleId="12">
    <w:name w:val="Body Text 2"/>
    <w:basedOn w:val="1"/>
    <w:qFormat/>
    <w:uiPriority w:val="0"/>
    <w:pPr>
      <w:spacing w:line="360" w:lineRule="auto"/>
    </w:pPr>
    <w:rPr>
      <w:sz w:val="24"/>
    </w:rPr>
  </w:style>
  <w:style w:type="paragraph" w:styleId="13">
    <w:name w:val="Normal (Web)"/>
    <w:basedOn w:val="1"/>
    <w:qFormat/>
    <w:uiPriority w:val="99"/>
    <w:rPr>
      <w:sz w:val="24"/>
    </w:rPr>
  </w:style>
  <w:style w:type="paragraph" w:styleId="14">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9"/>
    <w:qFormat/>
    <w:uiPriority w:val="34"/>
    <w:pPr>
      <w:ind w:firstLine="420" w:firstLineChars="200"/>
    </w:pPr>
  </w:style>
  <w:style w:type="paragraph" w:customStyle="1" w:styleId="19">
    <w:name w:val="星耀正文"/>
    <w:basedOn w:val="1"/>
    <w:qFormat/>
    <w:uiPriority w:val="3"/>
    <w:pPr>
      <w:ind w:firstLine="422" w:firstLineChars="200"/>
    </w:pPr>
    <w:rPr>
      <w:rFonts w:ascii="宋体" w:hAnsi="宋体" w:eastAsia="仿宋_GB2312"/>
      <w:bCs/>
    </w:rPr>
  </w:style>
  <w:style w:type="paragraph" w:customStyle="1" w:styleId="20">
    <w:name w:val="USE 1"/>
    <w:basedOn w:val="1"/>
    <w:qFormat/>
    <w:uiPriority w:val="0"/>
    <w:pPr>
      <w:spacing w:line="200" w:lineRule="atLeast"/>
      <w:jc w:val="left"/>
    </w:pPr>
    <w:rPr>
      <w:rFonts w:ascii="宋体" w:hAnsi="宋体"/>
      <w:b/>
      <w:sz w:val="24"/>
      <w:szCs w:val="28"/>
    </w:rPr>
  </w:style>
  <w:style w:type="paragraph" w:customStyle="1" w:styleId="21">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2">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3914</Words>
  <Characters>4074</Characters>
  <Lines>0</Lines>
  <Paragraphs>0</Paragraphs>
  <TotalTime>39</TotalTime>
  <ScaleCrop>false</ScaleCrop>
  <LinksUpToDate>false</LinksUpToDate>
  <CharactersWithSpaces>4197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2025-04-23T17:16:00Z</dcterms:created>
  <dc:creator>yang</dc:creator>
  <cp:lastModifiedBy>lxy</cp:lastModifiedBy>
  <dcterms:modified xsi:type="dcterms:W3CDTF">2026-07-29T17:25:03Z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4F0449F4BB1615C0F1DB5E6ABED6E61D</vt:lpwstr>
  </property>
  <property fmtid="{D5CDD505-2E9C-101B-9397-08002B2CF9AE}" pid="4" name="KSOTemplateDocerSaveRecord">
    <vt:lpwstr>eyJoZGlkIjoiYTA2ZTk1ZDM1MjNkZDVlZmJlYjkzNmY3YzM3MmZmM2YiLCJ1c2VySWQiOiIzNzQwODk5ODYifQ==</vt:lpwstr>
  </property>
</Properties>
</file>