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82B9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《深圳市龙华区工业经济“十五五”规划</w:t>
      </w:r>
    </w:p>
    <w:p w14:paraId="5724BF9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（征求意见稿）》编制说明</w:t>
      </w:r>
    </w:p>
    <w:p w14:paraId="072B2457">
      <w:pPr>
        <w:bidi w:val="0"/>
        <w:rPr>
          <w:rFonts w:hint="eastAsia"/>
          <w:lang w:val="en-US" w:eastAsia="zh-CN"/>
        </w:rPr>
      </w:pPr>
      <w:r>
        <w:rPr>
          <w:rFonts w:hint="eastAsia"/>
          <w:lang w:val="en-US" w:eastAsia="zh-CN"/>
        </w:rPr>
        <w:t>为全面贯彻落实国家和广东省、深圳市有关工业发展决策部署，系统谋划“十五五”阶段工业经济发展路径，起草《深圳市龙华区工业经济“十五五”规划》（以下简称《规划》），现就有关情况说明如下：</w:t>
      </w:r>
    </w:p>
    <w:p w14:paraId="4EBE82B1">
      <w:pPr>
        <w:pStyle w:val="4"/>
        <w:bidi w:val="0"/>
      </w:pPr>
      <w:r>
        <w:t>一、起草背景</w:t>
      </w:r>
    </w:p>
    <w:p w14:paraId="7DF0F7FC">
      <w:pPr>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十五五</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时期是中国迈向2035年基本实现社会主义现代化的关键五年，是承上启下、继往开来的战略阶段。全球新一轮科技革命和产业变革深入发展，国际产业分工格局深刻调整，全球产业链供应链加速重构，城市间工业经济竞争日趋白热化。在百年变局加速演进与新型工业化成为高质量发展核心引擎的双重背景下，编制工业经济</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十五五</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规划具有重大战略意义。党的二十大明确提出</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坚持把发展经济的着力点放在实体经济上，推进新型工业化，加快建设制造强国</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要求推动制造业高端化、智能化、绿色化发展。广东省、深圳市相继部署建设制造强省、全球领先的制造业创新中心，要求区级层面主动担当、率先突破，将国家战略转化为区域发展的生动实践。作为深圳的产业大区和制造业</w:t>
      </w:r>
      <w:r>
        <w:rPr>
          <w:rFonts w:hint="eastAsia" w:ascii="仿宋_GB2312" w:hAnsi="仿宋_GB2312" w:cs="仿宋_GB2312"/>
          <w:sz w:val="32"/>
          <w:szCs w:val="32"/>
          <w:lang w:val="en-US" w:eastAsia="zh-CN"/>
        </w:rPr>
        <w:t>重要</w:t>
      </w:r>
      <w:r>
        <w:rPr>
          <w:rFonts w:hint="eastAsia" w:ascii="仿宋_GB2312" w:hAnsi="仿宋_GB2312" w:eastAsia="仿宋_GB2312" w:cs="仿宋_GB2312"/>
          <w:sz w:val="32"/>
          <w:szCs w:val="32"/>
          <w:lang w:val="en-US" w:eastAsia="zh-CN"/>
        </w:rPr>
        <w:t>承载区</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十四五</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期间龙华区工业经济发展取得显著成效，工业规模持续壮大，产业结构不断优化，先进制造业占比稳步提升，数字经济与实体经济深度融合，工业发展质量和效益显著提高。但同时也面临传统产业转型升级步伐有待加快、战略性新兴产业集群能级有待提升、产业链供应链自主可控能力有待增强、工业空间保障不足等阶段性挑战。在此背景下，编制工业经济</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十五五</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规划，既是落实国家制造强国战略部署的必然要求，也是龙华区应对区域竞争、巩固产业优势、实现高质量发展的迫切需要。《规划》将系统谋划未来五年工业经济发展的总体思路、主要目标、重点任务和保障措施，为</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开创一个新龙华</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提供坚实的工业支撑，助力深圳打造具有全球影响力的制造业创新高地和全球先进制造业中心。</w:t>
      </w:r>
    </w:p>
    <w:p w14:paraId="0E1C7BF7">
      <w:pPr>
        <w:pStyle w:val="4"/>
        <w:bidi w:val="0"/>
        <w:rPr>
          <w:rFonts w:hint="eastAsia"/>
          <w:lang w:eastAsia="zh-CN"/>
        </w:rPr>
      </w:pPr>
      <w:r>
        <w:rPr>
          <w:rFonts w:hint="eastAsia"/>
          <w:lang w:val="en-US" w:eastAsia="zh-CN"/>
        </w:rPr>
        <w:t>二</w:t>
      </w:r>
      <w:r>
        <w:rPr>
          <w:rFonts w:hint="eastAsia"/>
          <w:lang w:eastAsia="zh-CN"/>
        </w:rPr>
        <w:t>、</w:t>
      </w:r>
      <w:r>
        <w:rPr>
          <w:rFonts w:hint="eastAsia"/>
          <w:lang w:val="en-US" w:eastAsia="zh-CN"/>
        </w:rPr>
        <w:t>起草主要依据</w:t>
      </w:r>
    </w:p>
    <w:p w14:paraId="439DBC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1.《中共中央关于进一步全面深化改革、推进中国式现代化的决定》《中共中央关于制定国民经济和社会发展第十五个五年规划的建议》《中华人民共和国国民经济和社会发展第十五个五年规划纲要》等规划和政策文件。</w:t>
      </w:r>
    </w:p>
    <w:p w14:paraId="35D56E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2.《中共广东省委关于制定广东省国民经济和社会发展第十五个五年规划的建议》《广东省国民经济和社会发展第十五个五年规划纲要》《广东省制造业高质量发展促进条例》《中共广东省委 广东省人民政府关于高质量建设制造强省的意见》等规划和政策文件。</w:t>
      </w:r>
    </w:p>
    <w:p w14:paraId="1A8835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3.《中共深圳市委关于制定深圳市国民经济和社会发展第十五个五年规划的建议》《深圳市人民政府关于发展壮大战略性新兴产业集群和培育发展未来产业的意见》《关于推动制造业高质量发展坚定不移打造制造强市的若干措施》等规划和政策文件。</w:t>
      </w:r>
    </w:p>
    <w:p w14:paraId="646D206B">
      <w:pPr>
        <w:pStyle w:val="4"/>
        <w:bidi w:val="0"/>
        <w:rPr>
          <w:rFonts w:hint="eastAsia"/>
          <w:lang w:eastAsia="zh-CN"/>
        </w:rPr>
      </w:pPr>
      <w:r>
        <w:rPr>
          <w:rFonts w:hint="eastAsia"/>
          <w:lang w:val="en-US" w:eastAsia="zh-CN"/>
        </w:rPr>
        <w:t>三</w:t>
      </w:r>
      <w:r>
        <w:rPr>
          <w:rFonts w:hint="eastAsia"/>
        </w:rPr>
        <w:t>、</w:t>
      </w:r>
      <w:r>
        <w:rPr>
          <w:rFonts w:hint="eastAsia"/>
          <w:lang w:val="en-US" w:eastAsia="zh-CN"/>
        </w:rPr>
        <w:t>起草</w:t>
      </w:r>
      <w:r>
        <w:rPr>
          <w:rFonts w:hint="eastAsia"/>
        </w:rPr>
        <w:t>过程</w:t>
      </w:r>
    </w:p>
    <w:p w14:paraId="1D42705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1.启动编制和前期研究。</w:t>
      </w:r>
      <w:r>
        <w:rPr>
          <w:rFonts w:hint="eastAsia" w:ascii="仿宋_GB2312" w:hAnsi="仿宋_GB2312" w:eastAsia="仿宋_GB2312" w:cs="仿宋_GB2312"/>
          <w:b w:val="0"/>
          <w:bCs w:val="0"/>
          <w:sz w:val="32"/>
          <w:szCs w:val="32"/>
          <w:lang w:val="en-US" w:eastAsia="zh-CN"/>
        </w:rPr>
        <w:t>2025年6月，</w:t>
      </w:r>
      <w:r>
        <w:rPr>
          <w:rFonts w:hint="eastAsia" w:ascii="仿宋_GB2312" w:hAnsi="仿宋_GB2312" w:eastAsia="仿宋_GB2312" w:cs="仿宋_GB2312"/>
          <w:sz w:val="32"/>
          <w:szCs w:val="32"/>
          <w:lang w:val="en-US" w:eastAsia="zh-CN"/>
        </w:rPr>
        <w:t>区工业和信息化局成立了“深圳市龙华区工业经济发展‘十五五’规划编制工作小组”，全面推进规划编制工作。随后编制小组开展前期研究工作，系统梳理国家、省、市最新产业发展战略导向，结合龙华工业发展的实际情况，对“十四五”时期我区工业经济发展成效和问题开展梳理分析，研判“十五五”时期面临的机遇与挑战，在此基础上拟定了规划框架，明确了规划的核心方向与重点内容。</w:t>
      </w:r>
    </w:p>
    <w:p w14:paraId="2F6CBA3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2.高频次开展调研工作。</w:t>
      </w:r>
      <w:r>
        <w:rPr>
          <w:rFonts w:hint="eastAsia" w:ascii="仿宋_GB2312" w:hAnsi="仿宋_GB2312" w:eastAsia="仿宋_GB2312" w:cs="仿宋_GB2312"/>
          <w:sz w:val="32"/>
          <w:szCs w:val="32"/>
          <w:lang w:val="en-US" w:eastAsia="zh-CN"/>
        </w:rPr>
        <w:t>自2025年6月启动《规划》编制工作以来，编制小组面向区发展改革局、区科技创新局、区重点区域发展建设中心等</w:t>
      </w:r>
      <w:r>
        <w:rPr>
          <w:rFonts w:hint="eastAsia" w:ascii="仿宋_GB2312" w:hAnsi="仿宋_GB2312" w:cs="仿宋_GB2312"/>
          <w:sz w:val="32"/>
          <w:szCs w:val="32"/>
          <w:lang w:val="en-US" w:eastAsia="zh-CN"/>
        </w:rPr>
        <w:t>行业主管部门，</w:t>
      </w:r>
      <w:r>
        <w:rPr>
          <w:rFonts w:hint="eastAsia" w:ascii="仿宋_GB2312" w:hAnsi="仿宋_GB2312" w:eastAsia="仿宋_GB2312" w:cs="仿宋_GB2312"/>
          <w:sz w:val="32"/>
          <w:szCs w:val="32"/>
          <w:lang w:val="en-US" w:eastAsia="zh-CN"/>
        </w:rPr>
        <w:t>了解工业经济相关行业发展状况，征询“十五五”规划思路。深入辖区内重点企业、产业园区开展实地走访调研，为规划编制提供详实依据。同时，组织召开多场专题研讨会，邀请行业协会、产业专家共同参与，广泛凝聚各方智慧和共识。</w:t>
      </w:r>
    </w:p>
    <w:p w14:paraId="115D565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sz w:val="32"/>
          <w:szCs w:val="32"/>
          <w:lang w:val="en-US" w:eastAsia="zh-CN"/>
        </w:rPr>
        <w:t>3.高质量推进规划初稿。</w:t>
      </w:r>
      <w:r>
        <w:rPr>
          <w:rFonts w:hint="eastAsia" w:ascii="仿宋_GB2312" w:hAnsi="仿宋_GB2312" w:eastAsia="仿宋_GB2312" w:cs="仿宋_GB2312"/>
          <w:b w:val="0"/>
          <w:bCs w:val="0"/>
          <w:sz w:val="32"/>
          <w:szCs w:val="32"/>
          <w:lang w:val="en-US" w:eastAsia="zh-CN"/>
        </w:rPr>
        <w:t>2025年10</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12月，编制小组</w:t>
      </w:r>
      <w:r>
        <w:rPr>
          <w:rFonts w:hint="eastAsia" w:ascii="仿宋_GB2312" w:hAnsi="仿宋_GB2312" w:eastAsia="仿宋_GB2312" w:cs="仿宋_GB2312"/>
          <w:sz w:val="32"/>
          <w:szCs w:val="32"/>
          <w:lang w:val="en-US" w:eastAsia="zh-CN"/>
        </w:rPr>
        <w:t>在充分调研和研讨的基础上，</w:t>
      </w:r>
      <w:r>
        <w:rPr>
          <w:rFonts w:hint="eastAsia" w:ascii="仿宋_GB2312" w:hAnsi="仿宋_GB2312" w:eastAsia="仿宋_GB2312" w:cs="仿宋_GB2312"/>
          <w:color w:val="000000"/>
          <w:kern w:val="0"/>
          <w:sz w:val="32"/>
          <w:szCs w:val="32"/>
          <w:lang w:val="en-US" w:eastAsia="zh-CN" w:bidi="ar"/>
        </w:rPr>
        <w:t>聚焦上位规划部署与龙华发展定位，重点明确了“十五五”时期工业经济的发展目标、重点方向、重点工程、空间布局和保障措施等核心板块，细化论证各大产业的重点企业、重点园区、重点项目等清单，并形成《规划（初稿）》。</w:t>
      </w:r>
    </w:p>
    <w:p w14:paraId="42A5FC4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0"/>
          <w:sz w:val="32"/>
          <w:szCs w:val="32"/>
          <w:lang w:val="en-US" w:eastAsia="zh-CN" w:bidi="ar"/>
        </w:rPr>
        <w:t>4.多轮征求意见修改完善。</w:t>
      </w:r>
      <w:r>
        <w:rPr>
          <w:rFonts w:hint="eastAsia" w:ascii="仿宋_GB2312" w:hAnsi="仿宋_GB2312" w:eastAsia="仿宋_GB2312" w:cs="仿宋_GB2312"/>
          <w:b w:val="0"/>
          <w:bCs w:val="0"/>
          <w:color w:val="000000"/>
          <w:kern w:val="0"/>
          <w:sz w:val="32"/>
          <w:szCs w:val="32"/>
          <w:lang w:val="en-US" w:eastAsia="zh-CN" w:bidi="ar"/>
        </w:rPr>
        <w:t>2026年1</w:t>
      </w:r>
      <w:r>
        <w:rPr>
          <w:rFonts w:hint="eastAsia" w:ascii="仿宋_GB2312" w:hAnsi="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t>3月，编制小组多次召开内部研讨会，对</w:t>
      </w:r>
      <w:r>
        <w:rPr>
          <w:rFonts w:hint="eastAsia" w:ascii="仿宋_GB2312" w:hAnsi="仿宋_GB2312" w:eastAsia="仿宋_GB2312" w:cs="仿宋_GB2312"/>
          <w:color w:val="000000"/>
          <w:kern w:val="0"/>
          <w:sz w:val="32"/>
          <w:szCs w:val="32"/>
          <w:lang w:val="en-US" w:eastAsia="zh-CN" w:bidi="ar"/>
        </w:rPr>
        <w:t>《规划（初稿）》内容进行优化完善，并面向</w:t>
      </w:r>
      <w:r>
        <w:rPr>
          <w:rFonts w:hint="eastAsia" w:ascii="仿宋_GB2312" w:hAnsi="仿宋_GB2312" w:eastAsia="仿宋_GB2312" w:cs="仿宋_GB2312"/>
          <w:sz w:val="32"/>
          <w:szCs w:val="32"/>
          <w:lang w:val="en-US" w:eastAsia="zh-CN"/>
        </w:rPr>
        <w:t>区发展改革局、区科技创新局等有关部门及区工业和信息化局内部各科室征求意见。其中，收到局内意见36条，均已采纳；收到全区14家单位反馈意见34条，采纳33条，对未采纳意见做好沟通说明。</w:t>
      </w:r>
      <w:r>
        <w:rPr>
          <w:rFonts w:hint="eastAsia" w:ascii="仿宋_GB2312" w:hAnsi="仿宋_GB2312" w:cs="仿宋_GB2312"/>
          <w:sz w:val="32"/>
          <w:szCs w:val="32"/>
          <w:lang w:val="en-US" w:eastAsia="zh-CN"/>
        </w:rPr>
        <w:t>2026年6-7月，开展第二轮征求意见，共收到意见15条，均给予采纳。经</w:t>
      </w:r>
      <w:r>
        <w:rPr>
          <w:rFonts w:hint="eastAsia" w:ascii="仿宋_GB2312" w:hAnsi="仿宋_GB2312" w:eastAsia="仿宋_GB2312" w:cs="仿宋_GB2312"/>
          <w:sz w:val="32"/>
          <w:szCs w:val="32"/>
          <w:lang w:val="en-US" w:eastAsia="zh-CN"/>
        </w:rPr>
        <w:t>多轮意见征集与修改完善，形成《规划（征求意见稿）》。</w:t>
      </w:r>
      <w:bookmarkStart w:id="0" w:name="_GoBack"/>
      <w:bookmarkEnd w:id="0"/>
    </w:p>
    <w:p w14:paraId="5A59E92B">
      <w:pPr>
        <w:pStyle w:val="4"/>
        <w:bidi w:val="0"/>
        <w:rPr>
          <w:rFonts w:hint="eastAsia"/>
        </w:rPr>
      </w:pPr>
      <w:r>
        <w:rPr>
          <w:rFonts w:hint="eastAsia"/>
          <w:lang w:val="en-US" w:eastAsia="zh-CN"/>
        </w:rPr>
        <w:t>四、《规划》的主要内容</w:t>
      </w:r>
    </w:p>
    <w:p w14:paraId="32E05D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zh-CN" w:eastAsia="zh-CN"/>
        </w:rPr>
      </w:pPr>
      <w:r>
        <w:rPr>
          <w:rFonts w:hint="eastAsia" w:ascii="仿宋_GB2312" w:hAnsi="仿宋_GB2312" w:eastAsia="仿宋_GB2312" w:cs="仿宋_GB2312"/>
          <w:b w:val="0"/>
          <w:bCs w:val="0"/>
          <w:sz w:val="32"/>
          <w:szCs w:val="32"/>
          <w:lang w:val="zh-CN" w:eastAsia="zh-CN"/>
        </w:rPr>
        <w:t>《规划》共包括</w:t>
      </w:r>
      <w:r>
        <w:rPr>
          <w:rFonts w:hint="eastAsia" w:ascii="仿宋_GB2312" w:hAnsi="仿宋_GB2312" w:eastAsia="仿宋_GB2312" w:cs="仿宋_GB2312"/>
          <w:b w:val="0"/>
          <w:bCs w:val="0"/>
          <w:sz w:val="32"/>
          <w:szCs w:val="32"/>
          <w:lang w:val="en-US" w:eastAsia="zh-CN"/>
        </w:rPr>
        <w:t>六</w:t>
      </w:r>
      <w:r>
        <w:rPr>
          <w:rFonts w:hint="eastAsia" w:ascii="仿宋_GB2312" w:hAnsi="仿宋_GB2312" w:eastAsia="仿宋_GB2312" w:cs="仿宋_GB2312"/>
          <w:b w:val="0"/>
          <w:bCs w:val="0"/>
          <w:sz w:val="32"/>
          <w:szCs w:val="32"/>
          <w:lang w:val="zh-CN" w:eastAsia="zh-CN"/>
        </w:rPr>
        <w:t>个部分：一是发展基础与形势，系统梳理“十四五”成就及未来机遇挑战；二是</w:t>
      </w:r>
      <w:r>
        <w:rPr>
          <w:rFonts w:hint="eastAsia" w:ascii="仿宋_GB2312" w:hAnsi="仿宋_GB2312" w:eastAsia="仿宋_GB2312" w:cs="仿宋_GB2312"/>
          <w:b w:val="0"/>
          <w:bCs w:val="0"/>
          <w:sz w:val="32"/>
          <w:szCs w:val="32"/>
          <w:lang w:val="en-US" w:eastAsia="zh-CN"/>
        </w:rPr>
        <w:t>总体要求，</w:t>
      </w:r>
      <w:r>
        <w:rPr>
          <w:rFonts w:hint="eastAsia" w:ascii="仿宋_GB2312" w:hAnsi="仿宋_GB2312" w:eastAsia="仿宋_GB2312" w:cs="仿宋_GB2312"/>
          <w:b w:val="0"/>
          <w:bCs w:val="0"/>
          <w:sz w:val="32"/>
          <w:szCs w:val="32"/>
          <w:lang w:val="zh-CN" w:eastAsia="zh-CN"/>
        </w:rPr>
        <w:t>明确指导思想、</w:t>
      </w:r>
      <w:r>
        <w:rPr>
          <w:rFonts w:hint="eastAsia" w:ascii="仿宋_GB2312" w:hAnsi="仿宋_GB2312" w:eastAsia="仿宋_GB2312" w:cs="仿宋_GB2312"/>
          <w:b w:val="0"/>
          <w:bCs w:val="0"/>
          <w:sz w:val="32"/>
          <w:szCs w:val="32"/>
          <w:lang w:val="en-US" w:eastAsia="zh-CN"/>
        </w:rPr>
        <w:t>发展原则</w:t>
      </w:r>
      <w:r>
        <w:rPr>
          <w:rFonts w:hint="eastAsia" w:ascii="仿宋_GB2312" w:hAnsi="仿宋_GB2312" w:eastAsia="仿宋_GB2312" w:cs="仿宋_GB2312"/>
          <w:b w:val="0"/>
          <w:bCs w:val="0"/>
          <w:sz w:val="32"/>
          <w:szCs w:val="32"/>
          <w:lang w:val="zh-CN" w:eastAsia="zh-CN"/>
        </w:rPr>
        <w:t>和</w:t>
      </w:r>
      <w:r>
        <w:rPr>
          <w:rFonts w:hint="eastAsia" w:ascii="仿宋_GB2312" w:hAnsi="仿宋_GB2312" w:eastAsia="仿宋_GB2312" w:cs="仿宋_GB2312"/>
          <w:b w:val="0"/>
          <w:bCs w:val="0"/>
          <w:sz w:val="32"/>
          <w:szCs w:val="32"/>
          <w:lang w:val="en-US" w:eastAsia="zh-CN"/>
        </w:rPr>
        <w:t>发展</w:t>
      </w:r>
      <w:r>
        <w:rPr>
          <w:rFonts w:hint="eastAsia" w:ascii="仿宋_GB2312" w:hAnsi="仿宋_GB2312" w:eastAsia="仿宋_GB2312" w:cs="仿宋_GB2312"/>
          <w:b w:val="0"/>
          <w:bCs w:val="0"/>
          <w:sz w:val="32"/>
          <w:szCs w:val="32"/>
          <w:lang w:val="zh-CN" w:eastAsia="zh-CN"/>
        </w:rPr>
        <w:t>目标；三是以涵盖人工智能、</w:t>
      </w:r>
      <w:r>
        <w:rPr>
          <w:rFonts w:hint="eastAsia" w:ascii="仿宋_GB2312" w:hAnsi="仿宋_GB2312" w:cs="仿宋_GB2312"/>
          <w:b w:val="0"/>
          <w:bCs w:val="0"/>
          <w:sz w:val="32"/>
          <w:szCs w:val="32"/>
          <w:lang w:val="en-US" w:eastAsia="zh-CN"/>
        </w:rPr>
        <w:t>泛</w:t>
      </w:r>
      <w:r>
        <w:rPr>
          <w:rFonts w:hint="eastAsia" w:ascii="仿宋_GB2312" w:hAnsi="仿宋_GB2312" w:eastAsia="仿宋_GB2312" w:cs="仿宋_GB2312"/>
          <w:b w:val="0"/>
          <w:bCs w:val="0"/>
          <w:sz w:val="32"/>
          <w:szCs w:val="32"/>
          <w:lang w:val="zh-CN" w:eastAsia="zh-CN"/>
        </w:rPr>
        <w:t>终端</w:t>
      </w:r>
      <w:r>
        <w:rPr>
          <w:rFonts w:hint="eastAsia" w:ascii="仿宋_GB2312" w:hAnsi="仿宋_GB2312" w:cs="仿宋_GB2312"/>
          <w:b w:val="0"/>
          <w:bCs w:val="0"/>
          <w:sz w:val="32"/>
          <w:szCs w:val="32"/>
          <w:lang w:val="en-US" w:eastAsia="zh-CN"/>
        </w:rPr>
        <w:t>集群</w:t>
      </w:r>
      <w:r>
        <w:rPr>
          <w:rFonts w:hint="eastAsia" w:ascii="仿宋_GB2312" w:hAnsi="仿宋_GB2312" w:eastAsia="仿宋_GB2312" w:cs="仿宋_GB2312"/>
          <w:b w:val="0"/>
          <w:bCs w:val="0"/>
          <w:sz w:val="32"/>
          <w:szCs w:val="32"/>
          <w:lang w:val="zh-CN" w:eastAsia="zh-CN"/>
        </w:rPr>
        <w:t>、智能机器人、软件与信息服务等产业的数智经济为引领，以高端</w:t>
      </w:r>
      <w:r>
        <w:rPr>
          <w:rFonts w:hint="eastAsia" w:ascii="仿宋_GB2312" w:hAnsi="仿宋_GB2312" w:cs="仿宋_GB2312"/>
          <w:b w:val="0"/>
          <w:bCs w:val="0"/>
          <w:sz w:val="32"/>
          <w:szCs w:val="32"/>
          <w:lang w:val="en-US" w:eastAsia="zh-CN"/>
        </w:rPr>
        <w:t>技术</w:t>
      </w:r>
      <w:r>
        <w:rPr>
          <w:rFonts w:hint="eastAsia" w:ascii="仿宋_GB2312" w:hAnsi="仿宋_GB2312" w:eastAsia="仿宋_GB2312" w:cs="仿宋_GB2312"/>
          <w:b w:val="0"/>
          <w:bCs w:val="0"/>
          <w:sz w:val="32"/>
          <w:szCs w:val="32"/>
          <w:lang w:val="zh-CN" w:eastAsia="zh-CN"/>
        </w:rPr>
        <w:t>装备与</w:t>
      </w:r>
      <w:r>
        <w:rPr>
          <w:rFonts w:hint="eastAsia" w:ascii="仿宋_GB2312" w:hAnsi="仿宋_GB2312" w:cs="仿宋_GB2312"/>
          <w:b w:val="0"/>
          <w:bCs w:val="0"/>
          <w:sz w:val="32"/>
          <w:szCs w:val="32"/>
          <w:lang w:val="en-US" w:eastAsia="zh-CN"/>
        </w:rPr>
        <w:t>精密</w:t>
      </w:r>
      <w:r>
        <w:rPr>
          <w:rFonts w:hint="eastAsia" w:ascii="仿宋_GB2312" w:hAnsi="仿宋_GB2312" w:eastAsia="仿宋_GB2312" w:cs="仿宋_GB2312"/>
          <w:b w:val="0"/>
          <w:bCs w:val="0"/>
          <w:sz w:val="32"/>
          <w:szCs w:val="32"/>
          <w:lang w:val="zh-CN" w:eastAsia="zh-CN"/>
        </w:rPr>
        <w:t>仪器</w:t>
      </w:r>
      <w:r>
        <w:rPr>
          <w:rFonts w:hint="eastAsia" w:ascii="仿宋_GB2312" w:hAnsi="仿宋_GB2312" w:cs="仿宋_GB2312"/>
          <w:b w:val="0"/>
          <w:bCs w:val="0"/>
          <w:sz w:val="32"/>
          <w:szCs w:val="32"/>
          <w:lang w:val="en-US" w:eastAsia="zh-CN"/>
        </w:rPr>
        <w:t>仪表</w:t>
      </w:r>
      <w:r>
        <w:rPr>
          <w:rFonts w:hint="eastAsia" w:ascii="仿宋_GB2312" w:hAnsi="仿宋_GB2312" w:eastAsia="仿宋_GB2312" w:cs="仿宋_GB2312"/>
          <w:b w:val="0"/>
          <w:bCs w:val="0"/>
          <w:sz w:val="32"/>
          <w:szCs w:val="32"/>
          <w:lang w:val="zh-CN" w:eastAsia="zh-CN"/>
        </w:rPr>
        <w:t>、智能网联新能源汽车为支撑，以半导体与集成电路、新能源和生物产业等三大潜力产业为突破</w:t>
      </w:r>
      <w:r>
        <w:rPr>
          <w:rFonts w:hint="eastAsia" w:ascii="仿宋_GB2312" w:hAnsi="仿宋_GB2312" w:cs="仿宋_GB2312"/>
          <w:b w:val="0"/>
          <w:bCs w:val="0"/>
          <w:sz w:val="32"/>
          <w:szCs w:val="32"/>
          <w:lang w:val="zh-CN" w:eastAsia="zh-CN"/>
        </w:rPr>
        <w:t>。</w:t>
      </w:r>
      <w:r>
        <w:rPr>
          <w:rFonts w:hint="eastAsia" w:ascii="仿宋_GB2312" w:hAnsi="仿宋_GB2312" w:eastAsia="仿宋_GB2312" w:cs="仿宋_GB2312"/>
          <w:b w:val="0"/>
          <w:bCs w:val="0"/>
          <w:sz w:val="32"/>
          <w:szCs w:val="32"/>
          <w:lang w:val="zh-CN" w:eastAsia="zh-CN"/>
        </w:rPr>
        <w:t>加快传统优势产业提质增效，同步发展低空经济</w:t>
      </w:r>
      <w:r>
        <w:rPr>
          <w:rFonts w:hint="eastAsia" w:ascii="仿宋_GB2312" w:hAnsi="仿宋_GB2312" w:cs="仿宋_GB2312"/>
          <w:b w:val="0"/>
          <w:bCs w:val="0"/>
          <w:sz w:val="32"/>
          <w:szCs w:val="32"/>
          <w:lang w:val="zh-CN" w:eastAsia="zh-CN"/>
        </w:rPr>
        <w:t>、</w:t>
      </w:r>
      <w:r>
        <w:rPr>
          <w:rFonts w:hint="eastAsia" w:ascii="仿宋_GB2312" w:hAnsi="仿宋_GB2312" w:cs="仿宋_GB2312"/>
          <w:b w:val="0"/>
          <w:bCs w:val="0"/>
          <w:sz w:val="32"/>
          <w:szCs w:val="32"/>
          <w:lang w:val="en-US" w:eastAsia="zh-CN"/>
        </w:rPr>
        <w:t>安全节能环保、商业航天与航空产业等新兴产业</w:t>
      </w:r>
      <w:r>
        <w:rPr>
          <w:rFonts w:hint="eastAsia" w:ascii="仿宋_GB2312" w:hAnsi="仿宋_GB2312" w:eastAsia="仿宋_GB2312" w:cs="仿宋_GB2312"/>
          <w:b w:val="0"/>
          <w:bCs w:val="0"/>
          <w:sz w:val="32"/>
          <w:szCs w:val="32"/>
          <w:lang w:val="zh-CN" w:eastAsia="zh-CN"/>
        </w:rPr>
        <w:t>，</w:t>
      </w:r>
      <w:r>
        <w:rPr>
          <w:rFonts w:hint="eastAsia" w:ascii="仿宋_GB2312" w:hAnsi="仿宋_GB2312" w:cs="仿宋_GB2312"/>
          <w:b w:val="0"/>
          <w:bCs w:val="0"/>
          <w:sz w:val="32"/>
          <w:szCs w:val="32"/>
          <w:lang w:val="en-US" w:eastAsia="zh-CN"/>
        </w:rPr>
        <w:t>着力</w:t>
      </w:r>
      <w:r>
        <w:rPr>
          <w:rFonts w:hint="eastAsia" w:ascii="仿宋_GB2312" w:hAnsi="仿宋_GB2312" w:eastAsia="仿宋_GB2312" w:cs="仿宋_GB2312"/>
          <w:b w:val="0"/>
          <w:bCs w:val="0"/>
          <w:sz w:val="32"/>
          <w:szCs w:val="32"/>
          <w:lang w:val="zh-CN" w:eastAsia="zh-CN"/>
        </w:rPr>
        <w:t>培育</w:t>
      </w:r>
      <w:r>
        <w:rPr>
          <w:rFonts w:hint="eastAsia" w:ascii="仿宋_GB2312" w:hAnsi="仿宋_GB2312" w:cs="仿宋_GB2312"/>
          <w:b w:val="0"/>
          <w:bCs w:val="0"/>
          <w:sz w:val="32"/>
          <w:szCs w:val="32"/>
          <w:lang w:val="en-US" w:eastAsia="zh-CN"/>
        </w:rPr>
        <w:t>第六代移动通信、未来能源等</w:t>
      </w:r>
      <w:r>
        <w:rPr>
          <w:rFonts w:hint="eastAsia" w:ascii="仿宋_GB2312" w:hAnsi="仿宋_GB2312" w:eastAsia="仿宋_GB2312" w:cs="仿宋_GB2312"/>
          <w:b w:val="0"/>
          <w:bCs w:val="0"/>
          <w:sz w:val="32"/>
          <w:szCs w:val="32"/>
          <w:lang w:val="zh-CN" w:eastAsia="zh-CN"/>
        </w:rPr>
        <w:t>未来产业</w:t>
      </w:r>
      <w:r>
        <w:rPr>
          <w:rFonts w:hint="eastAsia" w:ascii="仿宋_GB2312" w:hAnsi="仿宋_GB2312" w:cs="仿宋_GB2312"/>
          <w:b w:val="0"/>
          <w:bCs w:val="0"/>
          <w:sz w:val="32"/>
          <w:szCs w:val="32"/>
          <w:lang w:val="zh-CN" w:eastAsia="zh-CN"/>
        </w:rPr>
        <w:t>，</w:t>
      </w:r>
      <w:r>
        <w:rPr>
          <w:rFonts w:hint="eastAsia" w:ascii="仿宋_GB2312" w:hAnsi="仿宋_GB2312" w:cs="仿宋_GB2312"/>
          <w:b w:val="0"/>
          <w:bCs w:val="0"/>
          <w:sz w:val="32"/>
          <w:szCs w:val="32"/>
          <w:lang w:val="en-US" w:eastAsia="zh-CN"/>
        </w:rPr>
        <w:t>着力</w:t>
      </w:r>
      <w:r>
        <w:rPr>
          <w:rFonts w:hint="eastAsia" w:ascii="仿宋_GB2312" w:hAnsi="仿宋_GB2312" w:eastAsia="仿宋_GB2312" w:cs="仿宋_GB2312"/>
          <w:b w:val="0"/>
          <w:bCs w:val="0"/>
          <w:sz w:val="32"/>
          <w:szCs w:val="32"/>
          <w:lang w:val="zh-CN" w:eastAsia="zh-CN"/>
        </w:rPr>
        <w:t>构建</w:t>
      </w:r>
      <w:r>
        <w:rPr>
          <w:rFonts w:hint="eastAsia" w:ascii="仿宋_GB2312" w:hAnsi="仿宋_GB2312" w:cs="仿宋_GB2312"/>
          <w:b w:val="0"/>
          <w:bCs w:val="0"/>
          <w:sz w:val="32"/>
          <w:szCs w:val="32"/>
          <w:lang w:val="en-US" w:eastAsia="zh-CN"/>
        </w:rPr>
        <w:t>具有</w:t>
      </w:r>
      <w:r>
        <w:rPr>
          <w:rFonts w:hint="eastAsia" w:ascii="仿宋_GB2312" w:hAnsi="仿宋_GB2312" w:eastAsia="仿宋_GB2312" w:cs="仿宋_GB2312"/>
          <w:b w:val="0"/>
          <w:bCs w:val="0"/>
          <w:sz w:val="32"/>
          <w:szCs w:val="32"/>
          <w:lang w:val="zh-CN" w:eastAsia="zh-CN"/>
        </w:rPr>
        <w:t>龙华</w:t>
      </w:r>
      <w:r>
        <w:rPr>
          <w:rFonts w:hint="eastAsia" w:ascii="仿宋_GB2312" w:hAnsi="仿宋_GB2312" w:cs="仿宋_GB2312"/>
          <w:b w:val="0"/>
          <w:bCs w:val="0"/>
          <w:sz w:val="32"/>
          <w:szCs w:val="32"/>
          <w:lang w:val="en-US" w:eastAsia="zh-CN"/>
        </w:rPr>
        <w:t>特色的</w:t>
      </w:r>
      <w:r>
        <w:rPr>
          <w:rFonts w:hint="eastAsia" w:ascii="仿宋_GB2312" w:hAnsi="仿宋_GB2312" w:eastAsia="仿宋_GB2312" w:cs="仿宋_GB2312"/>
          <w:b w:val="0"/>
          <w:bCs w:val="0"/>
          <w:sz w:val="32"/>
          <w:szCs w:val="32"/>
          <w:lang w:val="zh-CN" w:eastAsia="zh-CN"/>
        </w:rPr>
        <w:t>“1+2+3</w:t>
      </w:r>
      <w:r>
        <w:rPr>
          <w:rFonts w:hint="eastAsia" w:ascii="仿宋_GB2312" w:hAnsi="仿宋_GB2312" w:cs="仿宋_GB2312"/>
          <w:b w:val="0"/>
          <w:bCs w:val="0"/>
          <w:sz w:val="32"/>
          <w:szCs w:val="32"/>
          <w:lang w:val="en-US" w:eastAsia="zh-CN"/>
        </w:rPr>
        <w:t>+N</w:t>
      </w:r>
      <w:r>
        <w:rPr>
          <w:rFonts w:hint="eastAsia" w:ascii="仿宋_GB2312" w:hAnsi="仿宋_GB2312" w:eastAsia="仿宋_GB2312" w:cs="仿宋_GB2312"/>
          <w:b w:val="0"/>
          <w:bCs w:val="0"/>
          <w:sz w:val="32"/>
          <w:szCs w:val="32"/>
          <w:lang w:val="zh-CN" w:eastAsia="zh-CN"/>
        </w:rPr>
        <w:t>”现代化产业体系</w:t>
      </w:r>
      <w:r>
        <w:rPr>
          <w:rFonts w:hint="eastAsia" w:ascii="仿宋_GB2312" w:hAnsi="仿宋_GB2312" w:cs="仿宋_GB2312"/>
          <w:b w:val="0"/>
          <w:bCs w:val="0"/>
          <w:sz w:val="32"/>
          <w:szCs w:val="32"/>
          <w:lang w:val="zh-CN" w:eastAsia="zh-CN"/>
        </w:rPr>
        <w:t>；</w:t>
      </w:r>
      <w:r>
        <w:rPr>
          <w:rFonts w:hint="eastAsia" w:ascii="仿宋_GB2312" w:hAnsi="仿宋_GB2312" w:eastAsia="仿宋_GB2312" w:cs="仿宋_GB2312"/>
          <w:b w:val="0"/>
          <w:bCs w:val="0"/>
          <w:sz w:val="32"/>
          <w:szCs w:val="32"/>
          <w:lang w:val="en-US" w:eastAsia="zh-CN"/>
        </w:rPr>
        <w:t>四是实施九大重点工程，全面提升龙华制造业综合实力、创新引领力、企业竞争力；五是构建功能明晰、协同联动、集约高效的空间布局，全面提升产业空间的集聚度、承载力和产出率；六是强化规划实施保障，</w:t>
      </w:r>
      <w:r>
        <w:rPr>
          <w:rFonts w:hint="eastAsia" w:ascii="仿宋_GB2312" w:hAnsi="仿宋_GB2312" w:eastAsia="仿宋_GB2312" w:cs="仿宋_GB2312"/>
          <w:b w:val="0"/>
          <w:bCs w:val="0"/>
          <w:sz w:val="32"/>
          <w:szCs w:val="32"/>
          <w:lang w:val="zh-CN" w:eastAsia="zh-CN"/>
        </w:rPr>
        <w:t>确保规划落地见效。</w:t>
      </w:r>
    </w:p>
    <w:p w14:paraId="64EF56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第一部分 发展基础与面临形势：</w:t>
      </w:r>
      <w:r>
        <w:rPr>
          <w:rFonts w:hint="eastAsia" w:ascii="仿宋_GB2312" w:hAnsi="仿宋_GB2312" w:eastAsia="仿宋_GB2312" w:cs="仿宋_GB2312"/>
          <w:b w:val="0"/>
          <w:bCs w:val="0"/>
          <w:sz w:val="32"/>
          <w:szCs w:val="32"/>
          <w:lang w:val="en-US" w:eastAsia="zh-CN"/>
        </w:rPr>
        <w:t>系统总结“十四五”时期龙华区工业</w:t>
      </w:r>
      <w:r>
        <w:rPr>
          <w:rFonts w:hint="eastAsia" w:ascii="仿宋_GB2312" w:hAnsi="仿宋_GB2312" w:cs="仿宋_GB2312"/>
          <w:b w:val="0"/>
          <w:bCs w:val="0"/>
          <w:sz w:val="32"/>
          <w:szCs w:val="32"/>
          <w:lang w:val="en-US" w:eastAsia="zh-CN"/>
        </w:rPr>
        <w:t>重量</w:t>
      </w:r>
      <w:r>
        <w:rPr>
          <w:rFonts w:hint="eastAsia" w:ascii="仿宋_GB2312" w:hAnsi="仿宋_GB2312" w:eastAsia="仿宋_GB2312" w:cs="仿宋_GB2312"/>
          <w:b w:val="0"/>
          <w:bCs w:val="0"/>
          <w:sz w:val="32"/>
          <w:szCs w:val="32"/>
          <w:lang w:val="en-US" w:eastAsia="zh-CN"/>
        </w:rPr>
        <w:t>、传统产业、新兴产业、企业梯队、</w:t>
      </w:r>
      <w:r>
        <w:rPr>
          <w:rFonts w:hint="eastAsia" w:ascii="仿宋_GB2312" w:hAnsi="仿宋_GB2312" w:cs="仿宋_GB2312"/>
          <w:b w:val="0"/>
          <w:bCs w:val="0"/>
          <w:sz w:val="32"/>
          <w:szCs w:val="32"/>
          <w:lang w:val="en-US" w:eastAsia="zh-CN"/>
        </w:rPr>
        <w:t>数字经济、</w:t>
      </w:r>
      <w:r>
        <w:rPr>
          <w:rFonts w:hint="eastAsia" w:ascii="仿宋_GB2312" w:hAnsi="仿宋_GB2312" w:eastAsia="仿宋_GB2312" w:cs="仿宋_GB2312"/>
          <w:b w:val="0"/>
          <w:bCs w:val="0"/>
          <w:sz w:val="32"/>
          <w:szCs w:val="32"/>
          <w:lang w:val="en-US" w:eastAsia="zh-CN"/>
        </w:rPr>
        <w:t>重大项目等方面的发展成效，以及在产业链、增长动力、创新投入等方面存在的问题。结合龙华“十四五”阶段的发展基础，深刻分析“十五五”时期面临的发展机遇与主要挑战。</w:t>
      </w:r>
    </w:p>
    <w:p w14:paraId="11F45E3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第二部分 总体要求：</w:t>
      </w:r>
      <w:r>
        <w:rPr>
          <w:rFonts w:hint="eastAsia" w:ascii="仿宋_GB2312" w:hAnsi="仿宋_GB2312" w:eastAsia="仿宋_GB2312" w:cs="仿宋_GB2312"/>
          <w:b w:val="0"/>
          <w:bCs w:val="0"/>
          <w:sz w:val="32"/>
          <w:szCs w:val="32"/>
          <w:lang w:val="en-US" w:eastAsia="zh-CN"/>
        </w:rPr>
        <w:t>以创新引领、突出重点、融合发展、开放合作为发展原则，提出“建设成为</w:t>
      </w:r>
      <w:r>
        <w:rPr>
          <w:rFonts w:hint="eastAsia" w:ascii="仿宋_GB2312" w:hAnsi="仿宋_GB2312" w:cs="仿宋_GB2312"/>
          <w:b w:val="0"/>
          <w:bCs w:val="0"/>
          <w:sz w:val="32"/>
          <w:szCs w:val="32"/>
          <w:lang w:val="en-US" w:eastAsia="zh-CN"/>
        </w:rPr>
        <w:t>国际先进制造强区</w:t>
      </w:r>
      <w:r>
        <w:rPr>
          <w:rFonts w:hint="eastAsia" w:ascii="仿宋_GB2312" w:hAnsi="仿宋_GB2312" w:eastAsia="仿宋_GB2312" w:cs="仿宋_GB2312"/>
          <w:b w:val="0"/>
          <w:bCs w:val="0"/>
          <w:sz w:val="32"/>
          <w:szCs w:val="32"/>
          <w:lang w:val="en-US" w:eastAsia="zh-CN"/>
        </w:rPr>
        <w:t>”的发展目标。</w:t>
      </w:r>
    </w:p>
    <w:p w14:paraId="3ECE647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第三部分 重点方向：</w:t>
      </w:r>
      <w:r>
        <w:rPr>
          <w:rFonts w:hint="eastAsia" w:ascii="仿宋_GB2312" w:hAnsi="仿宋_GB2312" w:eastAsia="仿宋_GB2312" w:cs="仿宋_GB2312"/>
          <w:b w:val="0"/>
          <w:bCs w:val="0"/>
          <w:sz w:val="32"/>
          <w:szCs w:val="32"/>
          <w:lang w:val="en-US" w:eastAsia="zh-CN"/>
        </w:rPr>
        <w:t>《规划》提出了发展“1+2+3+N”的产业集群，强化“1大”数智经济核心引领，包括筑牢人工智能技术底座、打造泛终端产业集群、加速智能机器人发展、强化软件定义赋能。壮大“2个”战略支撑产业，包括做大做强高端</w:t>
      </w:r>
      <w:r>
        <w:rPr>
          <w:rFonts w:hint="eastAsia" w:ascii="仿宋_GB2312" w:hAnsi="仿宋_GB2312" w:cs="仿宋_GB2312"/>
          <w:b w:val="0"/>
          <w:bCs w:val="0"/>
          <w:sz w:val="32"/>
          <w:szCs w:val="32"/>
          <w:lang w:val="en-US" w:eastAsia="zh-CN"/>
        </w:rPr>
        <w:t>技术</w:t>
      </w:r>
      <w:r>
        <w:rPr>
          <w:rFonts w:hint="eastAsia" w:ascii="仿宋_GB2312" w:hAnsi="仿宋_GB2312" w:eastAsia="仿宋_GB2312" w:cs="仿宋_GB2312"/>
          <w:b w:val="0"/>
          <w:bCs w:val="0"/>
          <w:sz w:val="32"/>
          <w:szCs w:val="32"/>
          <w:lang w:val="en-US" w:eastAsia="zh-CN"/>
        </w:rPr>
        <w:t>装备与仪器</w:t>
      </w:r>
      <w:r>
        <w:rPr>
          <w:rFonts w:hint="eastAsia" w:ascii="仿宋_GB2312" w:hAnsi="仿宋_GB2312" w:cs="仿宋_GB2312"/>
          <w:b w:val="0"/>
          <w:bCs w:val="0"/>
          <w:sz w:val="32"/>
          <w:szCs w:val="32"/>
          <w:lang w:val="en-US" w:eastAsia="zh-CN"/>
        </w:rPr>
        <w:t>仪表</w:t>
      </w:r>
      <w:r>
        <w:rPr>
          <w:rFonts w:hint="eastAsia" w:ascii="仿宋_GB2312" w:hAnsi="仿宋_GB2312" w:eastAsia="仿宋_GB2312" w:cs="仿宋_GB2312"/>
          <w:b w:val="0"/>
          <w:bCs w:val="0"/>
          <w:sz w:val="32"/>
          <w:szCs w:val="32"/>
          <w:lang w:val="en-US" w:eastAsia="zh-CN"/>
        </w:rPr>
        <w:t>产业、加速智能网联新能源汽车能级跃升。培育壮大“3个”潜力产业，包括打造世界级半导体产业</w:t>
      </w:r>
      <w:r>
        <w:rPr>
          <w:rFonts w:hint="eastAsia" w:ascii="仿宋_GB2312" w:hAnsi="仿宋_GB2312" w:cs="仿宋_GB2312"/>
          <w:b w:val="0"/>
          <w:bCs w:val="0"/>
          <w:sz w:val="32"/>
          <w:szCs w:val="32"/>
          <w:lang w:val="en-US" w:eastAsia="zh-CN"/>
        </w:rPr>
        <w:t>科技</w:t>
      </w:r>
      <w:r>
        <w:rPr>
          <w:rFonts w:hint="eastAsia" w:ascii="仿宋_GB2312" w:hAnsi="仿宋_GB2312" w:eastAsia="仿宋_GB2312" w:cs="仿宋_GB2312"/>
          <w:b w:val="0"/>
          <w:bCs w:val="0"/>
          <w:sz w:val="32"/>
          <w:szCs w:val="32"/>
          <w:lang w:val="en-US" w:eastAsia="zh-CN"/>
        </w:rPr>
        <w:t>中心、壮大新能源产业集群、打造生物产业创新高地。打造“N个”特色优势产业，包括推动传统产业焕新升级、构筑新兴产业发展新增量、前瞻布局未来产业新赛道。</w:t>
      </w:r>
    </w:p>
    <w:p w14:paraId="5CAEE86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第四部分 重点工程：</w:t>
      </w:r>
      <w:r>
        <w:rPr>
          <w:rFonts w:hint="eastAsia" w:ascii="仿宋_GB2312" w:hAnsi="仿宋_GB2312" w:eastAsia="仿宋_GB2312" w:cs="仿宋_GB2312"/>
          <w:b w:val="0"/>
          <w:bCs w:val="0"/>
          <w:sz w:val="32"/>
          <w:szCs w:val="32"/>
          <w:lang w:val="en-US" w:eastAsia="zh-CN"/>
        </w:rPr>
        <w:t>《规划》围绕产业集群创新发展提出“科技强基”工程、“工业赋智”工程、“绿色焕新”工程、“服务领航”工程、“雨林生态”工程、“一厂一线”工程、“工业雁阵”工程、“招商引资”工程、“开放创新”工程等九大工程，围绕构建现代化产业体系关键环节，通过重点工程的落地实施，为实现规划发展目标提供坚实的支撑。</w:t>
      </w:r>
    </w:p>
    <w:p w14:paraId="5197BB3B">
      <w:pPr>
        <w:snapToGrid/>
        <w:spacing w:line="560" w:lineRule="exact"/>
        <w:ind w:firstLine="643"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sz w:val="32"/>
          <w:szCs w:val="32"/>
          <w:lang w:val="en-US" w:eastAsia="zh-CN"/>
        </w:rPr>
        <w:t>第五部分 空间布局：</w:t>
      </w:r>
      <w:r>
        <w:rPr>
          <w:rFonts w:hint="default" w:ascii="仿宋_GB2312" w:hAnsi="仿宋_GB2312" w:eastAsia="仿宋_GB2312" w:cs="仿宋_GB2312"/>
          <w:b w:val="0"/>
          <w:bCs w:val="0"/>
          <w:kern w:val="2"/>
          <w:sz w:val="32"/>
          <w:szCs w:val="32"/>
          <w:lang w:val="en-US" w:eastAsia="zh-CN" w:bidi="ar-SA"/>
        </w:rPr>
        <w:t>龙华区工业经济空间布局构建“双心引领、一带联动、三</w:t>
      </w:r>
      <w:r>
        <w:rPr>
          <w:rFonts w:hint="eastAsia" w:ascii="仿宋_GB2312" w:hAnsi="仿宋_GB2312" w:cs="仿宋_GB2312"/>
          <w:b w:val="0"/>
          <w:bCs w:val="0"/>
          <w:kern w:val="2"/>
          <w:sz w:val="32"/>
          <w:szCs w:val="32"/>
          <w:lang w:val="en-US" w:eastAsia="zh-CN" w:bidi="ar-SA"/>
        </w:rPr>
        <w:t>区</w:t>
      </w:r>
      <w:r>
        <w:rPr>
          <w:rFonts w:hint="default" w:ascii="仿宋_GB2312" w:hAnsi="仿宋_GB2312" w:eastAsia="仿宋_GB2312" w:cs="仿宋_GB2312"/>
          <w:b w:val="0"/>
          <w:bCs w:val="0"/>
          <w:kern w:val="2"/>
          <w:sz w:val="32"/>
          <w:szCs w:val="32"/>
          <w:lang w:val="en-US" w:eastAsia="zh-CN" w:bidi="ar-SA"/>
        </w:rPr>
        <w:t>协同、多园支撑”的格局，</w:t>
      </w:r>
      <w:r>
        <w:rPr>
          <w:rFonts w:hint="eastAsia" w:ascii="仿宋_GB2312" w:hAnsi="仿宋_GB2312" w:eastAsia="仿宋_GB2312" w:cs="仿宋_GB2312"/>
          <w:sz w:val="32"/>
          <w:szCs w:val="32"/>
        </w:rPr>
        <w:t>重点构筑南部智造服务核心、北部先进制造核心及梅观产业创新发展带，形成南北联动、跨区域协同的发展格局</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建设世界级半导体产业科技中心、未来终端科技城、软件</w:t>
      </w:r>
      <w:r>
        <w:rPr>
          <w:rFonts w:hint="eastAsia" w:ascii="仿宋_GB2312" w:hAnsi="仿宋_GB2312" w:cs="仿宋_GB2312"/>
          <w:sz w:val="32"/>
          <w:szCs w:val="32"/>
          <w:lang w:val="en-US" w:eastAsia="zh-CN"/>
        </w:rPr>
        <w:t>与</w:t>
      </w:r>
      <w:r>
        <w:rPr>
          <w:rFonts w:hint="eastAsia" w:ascii="仿宋_GB2312" w:hAnsi="仿宋_GB2312" w:eastAsia="仿宋_GB2312" w:cs="仿宋_GB2312"/>
          <w:sz w:val="32"/>
          <w:szCs w:val="32"/>
        </w:rPr>
        <w:t>人工智能产业基地，</w:t>
      </w:r>
      <w:r>
        <w:rPr>
          <w:rFonts w:hint="default" w:ascii="仿宋_GB2312" w:hAnsi="仿宋_GB2312" w:eastAsia="仿宋_GB2312" w:cs="仿宋_GB2312"/>
          <w:sz w:val="32"/>
          <w:szCs w:val="32"/>
        </w:rPr>
        <w:t>形成“芯端软”三大集聚区，打造核心竞争力。</w:t>
      </w:r>
      <w:r>
        <w:rPr>
          <w:rStyle w:val="12"/>
          <w:rFonts w:hint="eastAsia" w:ascii="仿宋_GB2312" w:hAnsi="仿宋_GB2312" w:cs="仿宋_GB2312"/>
          <w:kern w:val="2"/>
          <w:sz w:val="32"/>
          <w:szCs w:val="32"/>
          <w:lang w:val="en-US" w:eastAsia="zh-CN" w:bidi="ar-SA"/>
        </w:rPr>
        <w:t>打造</w:t>
      </w:r>
      <w:r>
        <w:rPr>
          <w:rFonts w:hint="eastAsia" w:ascii="仿宋_GB2312" w:hAnsi="仿宋_GB2312" w:eastAsia="仿宋_GB2312" w:cs="仿宋_GB2312"/>
          <w:kern w:val="2"/>
          <w:sz w:val="32"/>
          <w:szCs w:val="32"/>
          <w:lang w:val="en-US" w:eastAsia="zh-CN" w:bidi="ar-SA"/>
        </w:rPr>
        <w:t>智能汽车、</w:t>
      </w:r>
      <w:r>
        <w:rPr>
          <w:rFonts w:hint="eastAsia" w:ascii="仿宋_GB2312" w:hAnsi="仿宋_GB2312" w:cs="仿宋_GB2312"/>
          <w:kern w:val="2"/>
          <w:sz w:val="32"/>
          <w:szCs w:val="32"/>
          <w:lang w:val="en-US" w:eastAsia="zh-CN" w:bidi="ar-SA"/>
        </w:rPr>
        <w:t>高端</w:t>
      </w:r>
      <w:r>
        <w:rPr>
          <w:rFonts w:hint="eastAsia" w:ascii="仿宋_GB2312" w:hAnsi="仿宋_GB2312" w:eastAsia="仿宋_GB2312" w:cs="仿宋_GB2312"/>
          <w:kern w:val="2"/>
          <w:sz w:val="32"/>
          <w:szCs w:val="32"/>
          <w:lang w:val="en-US" w:eastAsia="zh-CN" w:bidi="ar-SA"/>
        </w:rPr>
        <w:t>装备、三维智造、具身智能机器人、智能算力、新型显示、</w:t>
      </w:r>
      <w:r>
        <w:rPr>
          <w:rFonts w:hint="eastAsia" w:ascii="仿宋_GB2312" w:hAnsi="仿宋_GB2312" w:cs="仿宋_GB2312"/>
          <w:kern w:val="2"/>
          <w:sz w:val="32"/>
          <w:szCs w:val="32"/>
          <w:lang w:val="en-US" w:eastAsia="zh-CN" w:bidi="ar-SA"/>
        </w:rPr>
        <w:t>高端</w:t>
      </w:r>
      <w:r>
        <w:rPr>
          <w:rFonts w:hint="eastAsia" w:ascii="仿宋_GB2312" w:hAnsi="仿宋_GB2312" w:eastAsia="仿宋_GB2312" w:cs="仿宋_GB2312"/>
          <w:kern w:val="2"/>
          <w:sz w:val="32"/>
          <w:szCs w:val="32"/>
          <w:lang w:val="en-US" w:eastAsia="zh-CN" w:bidi="ar-SA"/>
        </w:rPr>
        <w:t>医疗器械、低空经济特色</w:t>
      </w:r>
      <w:r>
        <w:rPr>
          <w:rFonts w:hint="eastAsia" w:ascii="仿宋_GB2312" w:hAnsi="仿宋_GB2312" w:cs="仿宋_GB2312"/>
          <w:kern w:val="2"/>
          <w:sz w:val="32"/>
          <w:szCs w:val="32"/>
          <w:lang w:val="en-US" w:eastAsia="zh-CN" w:bidi="ar-SA"/>
        </w:rPr>
        <w:t>专业</w:t>
      </w:r>
      <w:r>
        <w:rPr>
          <w:rFonts w:hint="eastAsia" w:ascii="仿宋_GB2312" w:hAnsi="仿宋_GB2312" w:eastAsia="仿宋_GB2312" w:cs="仿宋_GB2312"/>
          <w:kern w:val="2"/>
          <w:sz w:val="32"/>
          <w:szCs w:val="32"/>
          <w:lang w:val="en-US" w:eastAsia="zh-CN" w:bidi="ar-SA"/>
        </w:rPr>
        <w:t>产业园区</w:t>
      </w:r>
      <w:r>
        <w:rPr>
          <w:rFonts w:hint="default" w:ascii="仿宋_GB2312" w:hAnsi="仿宋_GB2312" w:eastAsia="仿宋_GB2312" w:cs="仿宋_GB2312"/>
          <w:kern w:val="2"/>
          <w:sz w:val="32"/>
          <w:szCs w:val="32"/>
          <w:lang w:val="en-US" w:eastAsia="zh-CN" w:bidi="ar-SA"/>
        </w:rPr>
        <w:t>，依托专业载体建设推动产业集聚发展。</w:t>
      </w:r>
    </w:p>
    <w:p w14:paraId="377515D0">
      <w:pPr>
        <w:snapToGrid/>
        <w:spacing w:line="560" w:lineRule="exact"/>
        <w:ind w:firstLine="643" w:firstLineChars="200"/>
        <w:jc w:val="both"/>
        <w:rPr>
          <w:rFonts w:hint="default" w:ascii="Calibri" w:hAnsi="Calibri" w:eastAsia="宋体" w:cs="Times New Roman"/>
          <w:sz w:val="21"/>
          <w:szCs w:val="24"/>
        </w:rPr>
      </w:pPr>
      <w:r>
        <w:rPr>
          <w:rFonts w:hint="eastAsia" w:ascii="仿宋_GB2312" w:hAnsi="仿宋_GB2312" w:eastAsia="仿宋_GB2312" w:cs="仿宋_GB2312"/>
          <w:b/>
          <w:bCs/>
          <w:sz w:val="32"/>
          <w:szCs w:val="32"/>
          <w:lang w:val="en-US" w:eastAsia="zh-CN"/>
        </w:rPr>
        <w:t>第六部分 保障措施：</w:t>
      </w:r>
      <w:r>
        <w:rPr>
          <w:rFonts w:hint="eastAsia" w:ascii="仿宋_GB2312" w:hAnsi="仿宋_GB2312" w:eastAsia="仿宋_GB2312" w:cs="仿宋_GB2312"/>
          <w:b w:val="0"/>
          <w:bCs w:val="0"/>
          <w:kern w:val="2"/>
          <w:sz w:val="32"/>
          <w:szCs w:val="32"/>
          <w:lang w:val="en-US" w:eastAsia="zh-CN" w:bidi="ar-SA"/>
        </w:rPr>
        <w:t>《规划》提出强化组织保障、强化资金保障、强化服务保障三大保障措施，确保规划各项目标任务落到实处。</w:t>
      </w:r>
    </w:p>
    <w:sectPr>
      <w:headerReference r:id="rId5" w:type="default"/>
      <w:footerReference r:id="rId6" w:type="default"/>
      <w:pgSz w:w="11906" w:h="16838"/>
      <w:pgMar w:top="2098" w:right="1474" w:bottom="1984" w:left="1587" w:header="851" w:footer="992" w:gutter="0"/>
      <w:cols w:space="0" w:num="1"/>
      <w:rtlGutter w:val="0"/>
      <w:docGrid w:type="lines" w:linePitch="31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968CFC3-C7AB-470A-9749-5D9BC3DA52A6}"/>
  </w:font>
  <w:font w:name="仿宋_GB2312">
    <w:panose1 w:val="02010609030101010101"/>
    <w:charset w:val="86"/>
    <w:family w:val="auto"/>
    <w:pitch w:val="default"/>
    <w:sig w:usb0="00000001" w:usb1="080E0000" w:usb2="00000000" w:usb3="00000000" w:csb0="00040000" w:csb1="00000000"/>
    <w:embedRegular r:id="rId2" w:fontKey="{DFBF5AC0-D7CC-4662-9C7F-F3DF5963335E}"/>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F02F2">
    <w:pPr>
      <w:pStyle w:val="7"/>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BA14A83">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wrap="none" lIns="0" tIns="0" rIns="0" bIns="0"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sZ3ELcMBAACHAwAADgAAAAAAAAABACAAAAAfAQAAZHJzL2Uyb0RvYy54bWxQ&#10;SwUGAAAAAAYABgBZAQAAVAUAAAAA&#10;">
              <v:fill on="f" focussize="0,0"/>
              <v:stroke on="f"/>
              <v:imagedata o:title=""/>
              <o:lock v:ext="edit" aspectratio="f"/>
              <v:textbox inset="0mm,0mm,0mm,0mm" style="mso-fit-shape-to-text:t;">
                <w:txbxContent>
                  <w:p w14:paraId="3BA14A83">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540D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8757C"/>
    <w:rsid w:val="068E38F3"/>
    <w:rsid w:val="0A33107E"/>
    <w:rsid w:val="0E020F4B"/>
    <w:rsid w:val="1AF2536A"/>
    <w:rsid w:val="20692D4A"/>
    <w:rsid w:val="23943788"/>
    <w:rsid w:val="2C0B57CD"/>
    <w:rsid w:val="3043760B"/>
    <w:rsid w:val="32551176"/>
    <w:rsid w:val="3A5365BC"/>
    <w:rsid w:val="3FC2057E"/>
    <w:rsid w:val="4A113A61"/>
    <w:rsid w:val="521C11F4"/>
    <w:rsid w:val="54CD1014"/>
    <w:rsid w:val="55867988"/>
    <w:rsid w:val="6DF4699A"/>
    <w:rsid w:val="6FE46FD5"/>
    <w:rsid w:val="700C7EB2"/>
    <w:rsid w:val="7CCF399F"/>
    <w:rsid w:val="7F690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pageBreakBefore w:val="0"/>
      <w:widowControl w:val="0"/>
      <w:kinsoku/>
      <w:wordWrap/>
      <w:overflowPunct/>
      <w:topLinePunct w:val="0"/>
      <w:autoSpaceDE/>
      <w:autoSpaceDN/>
      <w:bidi w:val="0"/>
      <w:adjustRightInd/>
      <w:snapToGrid/>
      <w:spacing w:before="0" w:beforeAutospacing="0" w:after="0" w:line="560" w:lineRule="exact"/>
      <w:ind w:firstLine="200" w:firstLineChars="200"/>
      <w:jc w:val="both"/>
      <w:textAlignment w:val="auto"/>
    </w:pPr>
    <w:rPr>
      <w:rFonts w:ascii="宋体" w:hAnsi="宋体" w:eastAsia="仿宋_GB2312" w:cs="Times New Roman"/>
      <w:kern w:val="2"/>
      <w:sz w:val="32"/>
      <w:szCs w:val="32"/>
      <w:lang w:val="en-US" w:eastAsia="zh-CN" w:bidi="ar-SA"/>
    </w:rPr>
  </w:style>
  <w:style w:type="paragraph" w:styleId="4">
    <w:name w:val="heading 1"/>
    <w:basedOn w:val="1"/>
    <w:next w:val="1"/>
    <w:qFormat/>
    <w:uiPriority w:val="0"/>
    <w:pPr>
      <w:spacing w:line="560" w:lineRule="exact"/>
      <w:ind w:firstLine="640" w:firstLineChars="200"/>
      <w:outlineLvl w:val="0"/>
    </w:pPr>
    <w:rPr>
      <w:rFonts w:ascii="黑体" w:hAnsi="黑体" w:eastAsia="黑体" w:cs="黑体"/>
      <w:sz w:val="32"/>
      <w:szCs w:val="32"/>
    </w:rPr>
  </w:style>
  <w:style w:type="paragraph" w:styleId="5">
    <w:name w:val="heading 2"/>
    <w:basedOn w:val="1"/>
    <w:next w:val="1"/>
    <w:link w:val="17"/>
    <w:unhideWhenUsed/>
    <w:qFormat/>
    <w:uiPriority w:val="0"/>
    <w:pPr>
      <w:outlineLvl w:val="1"/>
    </w:pPr>
    <w:rPr>
      <w:rFonts w:ascii="楷体_GB2312" w:hAnsi="楷体_GB2312" w:eastAsia="楷体_GB2312" w:cs="楷体_GB2312"/>
    </w:rPr>
  </w:style>
  <w:style w:type="paragraph" w:styleId="6">
    <w:name w:val="heading 3"/>
    <w:basedOn w:val="1"/>
    <w:next w:val="1"/>
    <w:qFormat/>
    <w:uiPriority w:val="0"/>
    <w:pPr>
      <w:spacing w:before="100" w:beforeAutospacing="1" w:after="100" w:afterAutospacing="1"/>
      <w:ind w:leftChars="300"/>
      <w:jc w:val="left"/>
      <w:outlineLvl w:val="2"/>
    </w:pPr>
    <w:rPr>
      <w:rFonts w:hint="eastAsia" w:ascii="宋体" w:hAnsi="宋体" w:eastAsia="黑体" w:cs="宋体"/>
      <w:kern w:val="0"/>
      <w:sz w:val="32"/>
      <w:szCs w:val="27"/>
    </w:rPr>
  </w:style>
  <w:style w:type="character" w:default="1" w:styleId="12">
    <w:name w:val="Default Paragraph Font"/>
    <w:qFormat/>
    <w:uiPriority w:val="0"/>
  </w:style>
  <w:style w:type="table" w:default="1" w:styleId="11">
    <w:name w:val="Normal Table"/>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styleId="3">
    <w:name w:val="index 8"/>
    <w:basedOn w:val="1"/>
    <w:next w:val="1"/>
    <w:qFormat/>
    <w:uiPriority w:val="0"/>
    <w:pPr>
      <w:ind w:left="1400" w:leftChars="14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toc 1"/>
    <w:basedOn w:val="1"/>
    <w:next w:val="1"/>
    <w:qFormat/>
    <w:uiPriority w:val="0"/>
  </w:style>
  <w:style w:type="paragraph" w:styleId="9">
    <w:name w:val="footnote text"/>
    <w:basedOn w:val="1"/>
    <w:qFormat/>
    <w:uiPriority w:val="99"/>
    <w:pPr>
      <w:snapToGrid w:val="0"/>
      <w:jc w:val="left"/>
    </w:pPr>
  </w:style>
  <w:style w:type="paragraph" w:styleId="10">
    <w:name w:val="Normal (Web)"/>
    <w:basedOn w:val="1"/>
    <w:qFormat/>
    <w:uiPriority w:val="0"/>
    <w:rPr>
      <w:sz w:val="24"/>
    </w:rPr>
  </w:style>
  <w:style w:type="character" w:styleId="13">
    <w:name w:val="Strong"/>
    <w:basedOn w:val="12"/>
    <w:qFormat/>
    <w:uiPriority w:val="0"/>
    <w:rPr>
      <w:b/>
    </w:rPr>
  </w:style>
  <w:style w:type="character" w:styleId="14">
    <w:name w:val="Emphasis"/>
    <w:basedOn w:val="12"/>
    <w:qFormat/>
    <w:uiPriority w:val="20"/>
    <w:rPr>
      <w:i/>
    </w:rPr>
  </w:style>
  <w:style w:type="character" w:styleId="15">
    <w:name w:val="footnote reference"/>
    <w:qFormat/>
    <w:uiPriority w:val="0"/>
    <w:rPr>
      <w:vertAlign w:val="superscript"/>
    </w:rPr>
  </w:style>
  <w:style w:type="character" w:customStyle="1" w:styleId="16">
    <w:name w:val="ca-42"/>
    <w:basedOn w:val="12"/>
    <w:qFormat/>
    <w:uiPriority w:val="0"/>
  </w:style>
  <w:style w:type="character" w:customStyle="1" w:styleId="17">
    <w:name w:val="标题 2 字符"/>
    <w:link w:val="5"/>
    <w:qFormat/>
    <w:uiPriority w:val="0"/>
    <w:rPr>
      <w:rFonts w:ascii="楷体_GB2312" w:hAnsi="楷体_GB2312" w:eastAsia="楷体_GB2312" w:cs="楷体_GB2312"/>
    </w:rPr>
  </w:style>
  <w:style w:type="paragraph" w:customStyle="1" w:styleId="18">
    <w:name w:val="_Style 1"/>
    <w:basedOn w:val="1"/>
    <w:next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1f3463de-47a7-45e1-93c9-5812bb467130</errorID>
      <errorWord>‘十五五’规划</errorWord>
      <group>L1_Word</group>
      <groupName>字词问题</groupName>
      <ability>L2_Typo</ability>
      <abilityName>字词错误</abilityName>
      <candidateList>
        <item>‘十五五’规划</item>
      </candidateList>
      <explain/>
      <paraID>1D427051</paraID>
      <start>44</start>
      <end>51</end>
      <status>ignored</status>
      <modifiedWord/>
      <trackRevisions>false</trackRevisions>
    </reviewItem>
    <reviewItem>
      <errorID>76c7c27a-e2c5-4f77-bf0a-36b7aa9cfd96</errorID>
      <errorWord>，行业主管部门</errorWord>
      <group>L1_Word</group>
      <groupName>字词问题</groupName>
      <ability>L2_Typo</ability>
      <abilityName>字词错误</abilityName>
      <candidateList>
        <item>行业主管部门，</item>
      </candidateList>
      <explain/>
      <paraID>2F6CBA37</paraID>
      <start>65</start>
      <end>72</end>
      <status>modified</status>
      <modifiedWord>行业主管部门，</modifiedWord>
      <trackRevisions>false</trackRevisions>
    </reviewItem>
    <reviewItem>
      <errorID>c302b404-f6f6-4ead-b6e9-13161e8916e0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115D565F</paraID>
      <start>19</start>
      <end>20</end>
      <status>modified</status>
      <modifiedWord>—</modifiedWord>
      <trackRevisions>false</trackRevisions>
    </reviewItem>
    <reviewItem>
      <errorID>24591626-e6ca-4f80-a34b-f14d824a51cb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42A5FC44</paraID>
      <start>19</start>
      <end>20</end>
      <status>modified</status>
      <modifiedWord>—</modifiedWord>
      <trackRevisions>false</trackRevisions>
    </reviewItem>
    <reviewItem>
      <errorID>569778e0-eb48-4a39-8f8d-716d568404d3</errorID>
      <errorWord>区域协同的发展</errorWord>
      <group>L1_Political</group>
      <groupName>政治性问题</groupName>
      <ability>L2_Keyword</ability>
      <abilityName>固定表述</abilityName>
      <candidateList>
        <item>区域协调发展</item>
      </candidateList>
      <explain>词汇“区域协调发展”在特定场景下为固定表述形式，请确认此处的“区域协同的发展”是否存在不当。</explain>
      <paraID>5197BB3B</paraID>
      <start>88</start>
      <end>95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1bf9b2-8aac-4c52-b1b7-0c64734e9a6e}">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3042</Words>
  <Characters>3092</Characters>
  <Paragraphs>168</Paragraphs>
  <TotalTime>2</TotalTime>
  <ScaleCrop>false</ScaleCrop>
  <LinksUpToDate>false</LinksUpToDate>
  <CharactersWithSpaces>3099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2025-12-06T05:51:00Z</dcterms:created>
  <dc:creator>xu</dc:creator>
  <cp:lastModifiedBy>古力娜艳</cp:lastModifiedBy>
  <cp:lastPrinted>2026-01-15T03:41:00Z</cp:lastPrinted>
  <dcterms:modified xsi:type="dcterms:W3CDTF">2026-07-24T08:19:20Z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B98AC131FFEF489B8F1E2CADC63CD5B7_13</vt:lpwstr>
  </property>
  <property fmtid="{D5CDD505-2E9C-101B-9397-08002B2CF9AE}" pid="4" name="KSOTemplateDocerSaveRecord">
    <vt:lpwstr>eyJoZGlkIjoiZTZmNmI2NzNiZTlmZDU4N2IzZTM4NzE0YTQ5MWJjZjUiLCJ1c2VySWQiOiI1Mzk3MjY5NjgifQ==</vt:lpwstr>
  </property>
</Properties>
</file>