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rPr>
          <w:rFonts w:hint="eastAsia" w:ascii="方正小标宋简体" w:hAnsi="方正小标宋简体" w:eastAsia="方正小标宋简体" w:cs="方正小标宋简体"/>
          <w:color w:val="auto"/>
        </w:rPr>
      </w:pPr>
    </w:p>
    <w:p>
      <w:pPr>
        <w:spacing w:before="312" w:beforeLines="100" w:after="312" w:afterLines="100"/>
        <w:rPr>
          <w:rFonts w:hint="eastAsia" w:ascii="方正小标宋简体" w:hAnsi="方正小标宋简体" w:eastAsia="方正小标宋简体" w:cs="方正小标宋简体"/>
          <w:color w:val="auto"/>
        </w:rPr>
      </w:pPr>
    </w:p>
    <w:p>
      <w:pPr>
        <w:spacing w:line="360" w:lineRule="auto"/>
        <w:jc w:val="center"/>
        <w:rPr>
          <w:rFonts w:hint="eastAsia" w:ascii="方正小标宋简体" w:hAnsi="方正小标宋简体" w:eastAsia="方正小标宋简体" w:cs="方正小标宋简体"/>
          <w:color w:val="auto"/>
        </w:rPr>
      </w:pPr>
    </w:p>
    <w:p>
      <w:pPr>
        <w:spacing w:line="360" w:lineRule="auto"/>
        <w:ind w:firstLine="0" w:firstLineChars="0"/>
        <w:jc w:val="center"/>
        <w:rPr>
          <w:rFonts w:hint="eastAsia" w:ascii="方正小标宋简体" w:hAnsi="方正小标宋简体" w:eastAsia="方正小标宋简体" w:cs="方正小标宋简体"/>
          <w:color w:val="auto"/>
        </w:rPr>
      </w:pPr>
      <w:r>
        <w:rPr>
          <w:rFonts w:hint="eastAsia" w:ascii="方正小标宋简体" w:hAnsi="方正小标宋简体" w:eastAsia="方正小标宋简体" w:cs="方正小标宋简体"/>
          <w:color w:val="auto"/>
          <w:sz w:val="44"/>
          <w:szCs w:val="44"/>
        </w:rPr>
        <w:t>深圳市龙华区工业经济“十五五”规划</w:t>
      </w:r>
    </w:p>
    <w:p>
      <w:pPr>
        <w:jc w:val="center"/>
        <w:rPr>
          <w:rFonts w:hint="eastAsia" w:ascii="方正小标宋简体" w:hAnsi="方正小标宋简体" w:eastAsia="方正小标宋简体" w:cs="方正小标宋简体"/>
          <w:color w:val="auto"/>
        </w:rPr>
      </w:pPr>
      <w:r>
        <w:rPr>
          <w:rFonts w:hint="eastAsia" w:ascii="方正小标宋简体" w:hAnsi="方正小标宋简体" w:eastAsia="方正小标宋简体" w:cs="方正小标宋简体"/>
          <w:color w:val="auto"/>
        </w:rPr>
        <w:t>（征求意见稿）</w:t>
      </w:r>
    </w:p>
    <w:p>
      <w:pPr>
        <w:jc w:val="center"/>
        <w:rPr>
          <w:rFonts w:hint="eastAsia" w:ascii="方正小标宋简体" w:hAnsi="方正小标宋简体" w:eastAsia="方正小标宋简体" w:cs="方正小标宋简体"/>
          <w:color w:val="auto"/>
        </w:rPr>
      </w:pPr>
    </w:p>
    <w:p>
      <w:pPr>
        <w:jc w:val="center"/>
        <w:rPr>
          <w:rFonts w:hint="eastAsia" w:ascii="方正小标宋简体" w:hAnsi="方正小标宋简体" w:eastAsia="方正小标宋简体" w:cs="方正小标宋简体"/>
          <w:color w:val="auto"/>
        </w:rPr>
      </w:pPr>
    </w:p>
    <w:p>
      <w:pPr>
        <w:jc w:val="center"/>
        <w:rPr>
          <w:rFonts w:hint="eastAsia" w:ascii="方正小标宋简体" w:hAnsi="方正小标宋简体" w:eastAsia="方正小标宋简体" w:cs="方正小标宋简体"/>
          <w:color w:val="auto"/>
        </w:rPr>
      </w:pPr>
    </w:p>
    <w:p>
      <w:pPr>
        <w:jc w:val="center"/>
        <w:rPr>
          <w:rFonts w:hint="eastAsia" w:ascii="方正小标宋简体" w:hAnsi="方正小标宋简体" w:eastAsia="方正小标宋简体" w:cs="方正小标宋简体"/>
          <w:color w:val="auto"/>
        </w:rPr>
      </w:pPr>
    </w:p>
    <w:p>
      <w:pPr>
        <w:jc w:val="center"/>
        <w:rPr>
          <w:rFonts w:hint="eastAsia" w:ascii="方正小标宋简体" w:hAnsi="方正小标宋简体" w:eastAsia="方正小标宋简体" w:cs="方正小标宋简体"/>
          <w:color w:val="auto"/>
        </w:rPr>
      </w:pPr>
    </w:p>
    <w:p>
      <w:pPr>
        <w:pStyle w:val="2"/>
        <w:jc w:val="center"/>
        <w:rPr>
          <w:rFonts w:hint="eastAsia" w:ascii="方正小标宋简体" w:hAnsi="方正小标宋简体" w:eastAsia="方正小标宋简体" w:cs="方正小标宋简体"/>
          <w:color w:val="auto"/>
        </w:rPr>
      </w:pPr>
    </w:p>
    <w:p>
      <w:pPr>
        <w:jc w:val="center"/>
        <w:rPr>
          <w:color w:val="auto"/>
        </w:rPr>
      </w:pPr>
    </w:p>
    <w:p>
      <w:pPr>
        <w:jc w:val="center"/>
        <w:rPr>
          <w:rFonts w:hint="eastAsia" w:ascii="方正小标宋简体" w:hAnsi="方正小标宋简体" w:eastAsia="方正小标宋简体" w:cs="方正小标宋简体"/>
          <w:color w:val="auto"/>
        </w:rPr>
      </w:pPr>
    </w:p>
    <w:p>
      <w:pPr>
        <w:jc w:val="center"/>
        <w:rPr>
          <w:rFonts w:hint="eastAsia" w:ascii="方正小标宋简体" w:hAnsi="方正小标宋简体" w:eastAsia="方正小标宋简体" w:cs="方正小标宋简体"/>
          <w:color w:val="auto"/>
        </w:rPr>
      </w:pPr>
    </w:p>
    <w:p>
      <w:pPr>
        <w:jc w:val="center"/>
        <w:rPr>
          <w:rFonts w:hint="eastAsia" w:ascii="方正小标宋简体" w:hAnsi="方正小标宋简体" w:eastAsia="方正小标宋简体" w:cs="方正小标宋简体"/>
          <w:color w:val="auto"/>
        </w:rPr>
      </w:pPr>
    </w:p>
    <w:p>
      <w:pPr>
        <w:jc w:val="center"/>
        <w:rPr>
          <w:rFonts w:hint="eastAsia" w:ascii="方正小标宋简体" w:hAnsi="方正小标宋简体" w:eastAsia="方正小标宋简体" w:cs="方正小标宋简体"/>
          <w:color w:val="auto"/>
        </w:rPr>
      </w:pPr>
    </w:p>
    <w:p>
      <w:pPr>
        <w:ind w:firstLine="0" w:firstLineChars="0"/>
        <w:jc w:val="center"/>
        <w:rPr>
          <w:rFonts w:hint="eastAsia" w:ascii="黑体" w:hAnsi="黑体" w:eastAsia="黑体" w:cs="黑体"/>
          <w:color w:val="auto"/>
        </w:rPr>
      </w:pPr>
      <w:r>
        <w:rPr>
          <w:rFonts w:hint="eastAsia" w:ascii="黑体" w:hAnsi="黑体" w:eastAsia="黑体" w:cs="黑体"/>
          <w:color w:val="auto"/>
        </w:rPr>
        <w:t>深圳市龙华区工业和信息化局</w:t>
      </w:r>
    </w:p>
    <w:p>
      <w:pPr>
        <w:ind w:firstLine="0" w:firstLineChars="0"/>
        <w:jc w:val="center"/>
        <w:rPr>
          <w:rFonts w:hint="eastAsia" w:ascii="黑体" w:hAnsi="黑体" w:eastAsia="黑体" w:cs="黑体"/>
          <w:color w:val="auto"/>
        </w:rPr>
      </w:pPr>
      <w:r>
        <w:rPr>
          <w:rFonts w:hint="eastAsia" w:ascii="黑体" w:hAnsi="黑体" w:eastAsia="黑体" w:cs="黑体"/>
          <w:color w:val="auto"/>
        </w:rPr>
        <w:t>2026年</w:t>
      </w:r>
      <w:r>
        <w:rPr>
          <w:rFonts w:hint="eastAsia" w:ascii="黑体" w:hAnsi="黑体" w:eastAsia="黑体" w:cs="黑体"/>
          <w:color w:val="auto"/>
          <w:lang w:val="en-US" w:eastAsia="zh-CN"/>
        </w:rPr>
        <w:t>7</w:t>
      </w:r>
      <w:r>
        <w:rPr>
          <w:rFonts w:hint="eastAsia" w:ascii="黑体" w:hAnsi="黑体" w:eastAsia="黑体" w:cs="黑体"/>
          <w:color w:val="auto"/>
        </w:rPr>
        <w:t>月</w:t>
      </w:r>
    </w:p>
    <w:p>
      <w:pPr>
        <w:rPr>
          <w:rFonts w:hint="eastAsia" w:ascii="黑体" w:hAnsi="黑体" w:eastAsia="黑体" w:cs="黑体"/>
          <w:color w:val="auto"/>
        </w:rPr>
        <w:sectPr>
          <w:footerReference r:id="rId5" w:type="default"/>
          <w:pgSz w:w="11906" w:h="16838"/>
          <w:pgMar w:top="1440" w:right="1474" w:bottom="1440" w:left="1474" w:header="851" w:footer="992" w:gutter="0"/>
          <w:cols w:space="425" w:num="1"/>
          <w:docGrid w:type="lines" w:linePitch="312" w:charSpace="0"/>
        </w:sectPr>
      </w:pPr>
    </w:p>
    <w:p>
      <w:pPr>
        <w:rPr>
          <w:rFonts w:hint="eastAsia" w:ascii="黑体" w:hAnsi="黑体" w:eastAsia="黑体" w:cs="黑体"/>
          <w:color w:val="auto"/>
        </w:rPr>
        <w:sectPr>
          <w:pgSz w:w="11906" w:h="16838"/>
          <w:pgMar w:top="1440" w:right="1474" w:bottom="1440" w:left="1474" w:header="851" w:footer="992" w:gutter="0"/>
          <w:cols w:space="425" w:num="1"/>
          <w:docGrid w:type="lines" w:linePitch="312" w:charSpace="0"/>
        </w:sectPr>
      </w:pPr>
    </w:p>
    <w:p>
      <w:pPr>
        <w:spacing w:before="156" w:beforeLines="50" w:after="156" w:afterLines="50" w:line="360" w:lineRule="auto"/>
        <w:ind w:firstLine="0" w:firstLineChars="0"/>
        <w:jc w:val="center"/>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目  录</w:t>
      </w:r>
    </w:p>
    <w:p>
      <w:pPr>
        <w:pStyle w:val="12"/>
        <w:tabs>
          <w:tab w:val="right" w:leader="dot" w:pos="8958"/>
          <w:tab w:val="clear" w:pos="8306"/>
        </w:tabs>
      </w:pPr>
      <w:r>
        <w:rPr>
          <w:rFonts w:ascii="Times New Roman" w:hAnsi="Times New Roman" w:cs="Times New Roman"/>
          <w:color w:val="auto"/>
        </w:rPr>
        <w:fldChar w:fldCharType="begin"/>
      </w:r>
      <w:r>
        <w:rPr>
          <w:rFonts w:ascii="Times New Roman" w:hAnsi="Times New Roman" w:cs="Times New Roman"/>
          <w:color w:val="auto"/>
        </w:rPr>
        <w:instrText xml:space="preserve">TOC \o "1-2" \h \u </w:instrText>
      </w:r>
      <w:r>
        <w:rPr>
          <w:rFonts w:ascii="Times New Roman" w:hAnsi="Times New Roman" w:cs="Times New Roman"/>
          <w:color w:val="auto"/>
        </w:rPr>
        <w:fldChar w:fldCharType="separate"/>
      </w:r>
      <w:r>
        <w:rPr>
          <w:rFonts w:cs="Times New Roman"/>
          <w:color w:val="auto"/>
          <w:szCs w:val="28"/>
        </w:rPr>
        <w:fldChar w:fldCharType="begin"/>
      </w:r>
      <w:r>
        <w:rPr>
          <w:rFonts w:cs="Times New Roman"/>
          <w:szCs w:val="28"/>
        </w:rPr>
        <w:instrText xml:space="preserve"> HYPERLINK \l _Toc26618 </w:instrText>
      </w:r>
      <w:r>
        <w:rPr>
          <w:rFonts w:cs="Times New Roman"/>
          <w:szCs w:val="28"/>
        </w:rPr>
        <w:fldChar w:fldCharType="separate"/>
      </w:r>
      <w:r>
        <w:rPr>
          <w:rFonts w:hint="eastAsia" w:ascii="黑体" w:hAnsi="黑体" w:eastAsia="黑体" w:cs="黑体"/>
          <w:kern w:val="24"/>
        </w:rPr>
        <w:t>一、发展基础与形势</w:t>
      </w:r>
      <w:r>
        <w:tab/>
      </w:r>
      <w:r>
        <w:fldChar w:fldCharType="begin"/>
      </w:r>
      <w:r>
        <w:instrText xml:space="preserve"> PAGEREF _Toc26618 \h </w:instrText>
      </w:r>
      <w:r>
        <w:fldChar w:fldCharType="separate"/>
      </w:r>
      <w:r>
        <w:t>1</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_Toc23874 </w:instrText>
      </w:r>
      <w:r>
        <w:rPr>
          <w:rFonts w:cs="Times New Roman"/>
          <w:szCs w:val="28"/>
        </w:rPr>
        <w:fldChar w:fldCharType="separate"/>
      </w:r>
      <w:r>
        <w:rPr>
          <w:rFonts w:hint="eastAsia" w:ascii="楷体_GB2312" w:eastAsia="楷体_GB2312" w:cs="楷体_GB2312"/>
          <w:kern w:val="24"/>
          <w:lang w:bidi="ar"/>
        </w:rPr>
        <w:t>（一）发展基础</w:t>
      </w:r>
      <w:r>
        <w:tab/>
      </w:r>
      <w:r>
        <w:fldChar w:fldCharType="begin"/>
      </w:r>
      <w:r>
        <w:instrText xml:space="preserve"> PAGEREF _Toc23874 \h </w:instrText>
      </w:r>
      <w:r>
        <w:fldChar w:fldCharType="separate"/>
      </w:r>
      <w:r>
        <w:t>1</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_Toc12603 </w:instrText>
      </w:r>
      <w:r>
        <w:rPr>
          <w:rFonts w:cs="Times New Roman"/>
          <w:szCs w:val="28"/>
        </w:rPr>
        <w:fldChar w:fldCharType="separate"/>
      </w:r>
      <w:r>
        <w:rPr>
          <w:rFonts w:hint="eastAsia" w:ascii="楷体_GB2312" w:hAnsi="楷体_GB2312" w:eastAsia="楷体_GB2312" w:cs="楷体_GB2312"/>
          <w:kern w:val="24"/>
        </w:rPr>
        <w:t>（二）面临形势</w:t>
      </w:r>
      <w:r>
        <w:tab/>
      </w:r>
      <w:r>
        <w:fldChar w:fldCharType="begin"/>
      </w:r>
      <w:r>
        <w:instrText xml:space="preserve"> PAGEREF _Toc12603 \h </w:instrText>
      </w:r>
      <w:r>
        <w:fldChar w:fldCharType="separate"/>
      </w:r>
      <w:r>
        <w:t>3</w:t>
      </w:r>
      <w:r>
        <w:fldChar w:fldCharType="end"/>
      </w:r>
      <w:r>
        <w:rPr>
          <w:rFonts w:cs="Times New Roman"/>
          <w:color w:val="auto"/>
          <w:szCs w:val="28"/>
        </w:rPr>
        <w:fldChar w:fldCharType="end"/>
      </w:r>
    </w:p>
    <w:p>
      <w:pPr>
        <w:pStyle w:val="12"/>
        <w:tabs>
          <w:tab w:val="right" w:leader="dot" w:pos="8958"/>
          <w:tab w:val="clear" w:pos="8306"/>
        </w:tabs>
      </w:pPr>
      <w:r>
        <w:rPr>
          <w:rFonts w:cs="Times New Roman"/>
          <w:color w:val="auto"/>
          <w:szCs w:val="28"/>
        </w:rPr>
        <w:fldChar w:fldCharType="begin"/>
      </w:r>
      <w:r>
        <w:rPr>
          <w:rFonts w:cs="Times New Roman"/>
          <w:szCs w:val="28"/>
        </w:rPr>
        <w:instrText xml:space="preserve"> HYPERLINK \l _Toc7632 </w:instrText>
      </w:r>
      <w:r>
        <w:rPr>
          <w:rFonts w:cs="Times New Roman"/>
          <w:szCs w:val="28"/>
        </w:rPr>
        <w:fldChar w:fldCharType="separate"/>
      </w:r>
      <w:r>
        <w:rPr>
          <w:rFonts w:hint="eastAsia"/>
        </w:rPr>
        <w:t>二、总体要求</w:t>
      </w:r>
      <w:r>
        <w:tab/>
      </w:r>
      <w:r>
        <w:fldChar w:fldCharType="begin"/>
      </w:r>
      <w:r>
        <w:instrText xml:space="preserve"> PAGEREF _Toc7632 \h </w:instrText>
      </w:r>
      <w:r>
        <w:fldChar w:fldCharType="separate"/>
      </w:r>
      <w:r>
        <w:t>5</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_Toc21186 </w:instrText>
      </w:r>
      <w:r>
        <w:rPr>
          <w:rFonts w:cs="Times New Roman"/>
          <w:szCs w:val="28"/>
        </w:rPr>
        <w:fldChar w:fldCharType="separate"/>
      </w:r>
      <w:r>
        <w:rPr>
          <w:rFonts w:hint="eastAsia"/>
        </w:rPr>
        <w:t>（一）指导思想</w:t>
      </w:r>
      <w:r>
        <w:tab/>
      </w:r>
      <w:r>
        <w:fldChar w:fldCharType="begin"/>
      </w:r>
      <w:r>
        <w:instrText xml:space="preserve"> PAGEREF _Toc21186 \h </w:instrText>
      </w:r>
      <w:r>
        <w:fldChar w:fldCharType="separate"/>
      </w:r>
      <w:r>
        <w:t>5</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_Toc26438 </w:instrText>
      </w:r>
      <w:r>
        <w:rPr>
          <w:rFonts w:cs="Times New Roman"/>
          <w:szCs w:val="28"/>
        </w:rPr>
        <w:fldChar w:fldCharType="separate"/>
      </w:r>
      <w:r>
        <w:rPr>
          <w:rFonts w:hint="eastAsia"/>
        </w:rPr>
        <w:t>（二）发展原则</w:t>
      </w:r>
      <w:r>
        <w:tab/>
      </w:r>
      <w:r>
        <w:fldChar w:fldCharType="begin"/>
      </w:r>
      <w:r>
        <w:instrText xml:space="preserve"> PAGEREF _Toc26438 \h </w:instrText>
      </w:r>
      <w:r>
        <w:fldChar w:fldCharType="separate"/>
      </w:r>
      <w:r>
        <w:t>6</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_Toc25949 </w:instrText>
      </w:r>
      <w:r>
        <w:rPr>
          <w:rFonts w:cs="Times New Roman"/>
          <w:szCs w:val="28"/>
        </w:rPr>
        <w:fldChar w:fldCharType="separate"/>
      </w:r>
      <w:r>
        <w:rPr>
          <w:rFonts w:hint="eastAsia"/>
        </w:rPr>
        <w:t>（三）发展目标</w:t>
      </w:r>
      <w:r>
        <w:tab/>
      </w:r>
      <w:r>
        <w:fldChar w:fldCharType="begin"/>
      </w:r>
      <w:r>
        <w:instrText xml:space="preserve"> PAGEREF _Toc25949 \h </w:instrText>
      </w:r>
      <w:r>
        <w:fldChar w:fldCharType="separate"/>
      </w:r>
      <w:r>
        <w:t>6</w:t>
      </w:r>
      <w:r>
        <w:fldChar w:fldCharType="end"/>
      </w:r>
      <w:r>
        <w:rPr>
          <w:rFonts w:cs="Times New Roman"/>
          <w:color w:val="auto"/>
          <w:szCs w:val="28"/>
        </w:rPr>
        <w:fldChar w:fldCharType="end"/>
      </w:r>
    </w:p>
    <w:p>
      <w:pPr>
        <w:pStyle w:val="12"/>
        <w:tabs>
          <w:tab w:val="right" w:leader="dot" w:pos="8958"/>
          <w:tab w:val="clear" w:pos="8306"/>
        </w:tabs>
      </w:pPr>
      <w:r>
        <w:rPr>
          <w:rFonts w:cs="Times New Roman"/>
          <w:color w:val="auto"/>
          <w:szCs w:val="28"/>
        </w:rPr>
        <w:fldChar w:fldCharType="begin"/>
      </w:r>
      <w:r>
        <w:rPr>
          <w:rFonts w:cs="Times New Roman"/>
          <w:szCs w:val="28"/>
        </w:rPr>
        <w:instrText xml:space="preserve"> HYPERLINK \l _Toc30497 </w:instrText>
      </w:r>
      <w:r>
        <w:rPr>
          <w:rFonts w:cs="Times New Roman"/>
          <w:szCs w:val="28"/>
        </w:rPr>
        <w:fldChar w:fldCharType="separate"/>
      </w:r>
      <w:r>
        <w:rPr>
          <w:rFonts w:hint="eastAsia" w:ascii="黑体" w:hAnsi="黑体" w:eastAsia="黑体" w:cs="黑体"/>
          <w:kern w:val="24"/>
        </w:rPr>
        <w:t>三、强化</w:t>
      </w:r>
      <w:r>
        <w:rPr>
          <w:rFonts w:hint="eastAsia" w:ascii="黑体" w:hAnsi="黑体" w:eastAsia="黑体" w:cs="黑体"/>
          <w:kern w:val="24"/>
          <w:lang w:val="en-US" w:eastAsia="zh-CN"/>
        </w:rPr>
        <w:t>数智经济</w:t>
      </w:r>
      <w:r>
        <w:rPr>
          <w:rFonts w:hint="eastAsia" w:ascii="黑体" w:hAnsi="黑体" w:eastAsia="黑体" w:cs="黑体"/>
          <w:kern w:val="24"/>
        </w:rPr>
        <w:t>核心引领</w:t>
      </w:r>
      <w:r>
        <w:tab/>
      </w:r>
      <w:r>
        <w:fldChar w:fldCharType="begin"/>
      </w:r>
      <w:r>
        <w:instrText xml:space="preserve"> PAGEREF _Toc30497 \h </w:instrText>
      </w:r>
      <w:r>
        <w:fldChar w:fldCharType="separate"/>
      </w:r>
      <w:r>
        <w:t>8</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_Toc8432 </w:instrText>
      </w:r>
      <w:r>
        <w:rPr>
          <w:rFonts w:cs="Times New Roman"/>
          <w:szCs w:val="28"/>
        </w:rPr>
        <w:fldChar w:fldCharType="separate"/>
      </w:r>
      <w:r>
        <w:rPr>
          <w:rFonts w:hint="eastAsia" w:ascii="楷体_GB2312" w:hAnsi="楷体_GB2312" w:eastAsia="楷体_GB2312" w:cs="楷体_GB2312"/>
        </w:rPr>
        <w:t>（一）</w:t>
      </w:r>
      <w:r>
        <w:rPr>
          <w:rFonts w:hint="eastAsia" w:ascii="楷体_GB2312" w:hAnsi="楷体_GB2312" w:eastAsia="楷体_GB2312" w:cs="楷体_GB2312"/>
          <w:lang w:val="en-US" w:eastAsia="zh-CN"/>
        </w:rPr>
        <w:t>筑牢</w:t>
      </w:r>
      <w:r>
        <w:rPr>
          <w:rFonts w:hint="eastAsia" w:ascii="楷体_GB2312" w:hAnsi="楷体_GB2312" w:eastAsia="楷体_GB2312" w:cs="楷体_GB2312"/>
        </w:rPr>
        <w:t>人工智能</w:t>
      </w:r>
      <w:r>
        <w:rPr>
          <w:rFonts w:hint="eastAsia" w:ascii="楷体_GB2312" w:hAnsi="楷体_GB2312" w:eastAsia="楷体_GB2312" w:cs="楷体_GB2312"/>
          <w:lang w:val="en-US" w:eastAsia="zh-CN"/>
        </w:rPr>
        <w:t>技术</w:t>
      </w:r>
      <w:r>
        <w:rPr>
          <w:rFonts w:hint="eastAsia" w:ascii="楷体_GB2312" w:hAnsi="楷体_GB2312" w:eastAsia="楷体_GB2312" w:cs="楷体_GB2312"/>
        </w:rPr>
        <w:t>底座</w:t>
      </w:r>
      <w:r>
        <w:tab/>
      </w:r>
      <w:r>
        <w:fldChar w:fldCharType="begin"/>
      </w:r>
      <w:r>
        <w:instrText xml:space="preserve"> PAGEREF _Toc8432 \h </w:instrText>
      </w:r>
      <w:r>
        <w:fldChar w:fldCharType="separate"/>
      </w:r>
      <w:r>
        <w:t>8</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_Toc15522 </w:instrText>
      </w:r>
      <w:r>
        <w:rPr>
          <w:rFonts w:cs="Times New Roman"/>
          <w:szCs w:val="28"/>
        </w:rPr>
        <w:fldChar w:fldCharType="separate"/>
      </w:r>
      <w:r>
        <w:rPr>
          <w:rFonts w:hint="eastAsia" w:ascii="楷体_GB2312" w:hAnsi="楷体_GB2312" w:eastAsia="楷体_GB2312" w:cs="楷体_GB2312"/>
        </w:rPr>
        <w:t>（二）</w:t>
      </w:r>
      <w:r>
        <w:rPr>
          <w:rFonts w:hint="eastAsia" w:ascii="楷体_GB2312" w:hAnsi="楷体_GB2312" w:eastAsia="楷体_GB2312" w:cs="楷体_GB2312"/>
          <w:lang w:val="en-US" w:eastAsia="zh-CN"/>
        </w:rPr>
        <w:t>打造泛</w:t>
      </w:r>
      <w:r>
        <w:rPr>
          <w:rFonts w:hint="eastAsia" w:ascii="楷体_GB2312" w:hAnsi="楷体_GB2312" w:eastAsia="楷体_GB2312" w:cs="楷体_GB2312"/>
        </w:rPr>
        <w:t>终端</w:t>
      </w:r>
      <w:r>
        <w:rPr>
          <w:rFonts w:hint="eastAsia" w:ascii="楷体_GB2312" w:hAnsi="楷体_GB2312" w:eastAsia="楷体_GB2312" w:cs="楷体_GB2312"/>
          <w:lang w:val="en-US" w:eastAsia="zh-CN"/>
        </w:rPr>
        <w:t>产业集群</w:t>
      </w:r>
      <w:r>
        <w:tab/>
      </w:r>
      <w:r>
        <w:fldChar w:fldCharType="begin"/>
      </w:r>
      <w:r>
        <w:instrText xml:space="preserve"> PAGEREF _Toc15522 \h </w:instrText>
      </w:r>
      <w:r>
        <w:fldChar w:fldCharType="separate"/>
      </w:r>
      <w:r>
        <w:t>9</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_Toc15069 </w:instrText>
      </w:r>
      <w:r>
        <w:rPr>
          <w:rFonts w:cs="Times New Roman"/>
          <w:szCs w:val="28"/>
        </w:rPr>
        <w:fldChar w:fldCharType="separate"/>
      </w:r>
      <w:r>
        <w:t>（三）加速智能机器人发展</w:t>
      </w:r>
      <w:r>
        <w:tab/>
      </w:r>
      <w:r>
        <w:fldChar w:fldCharType="begin"/>
      </w:r>
      <w:r>
        <w:instrText xml:space="preserve"> PAGEREF _Toc15069 \h </w:instrText>
      </w:r>
      <w:r>
        <w:fldChar w:fldCharType="separate"/>
      </w:r>
      <w:r>
        <w:t>12</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_Toc13863 </w:instrText>
      </w:r>
      <w:r>
        <w:rPr>
          <w:rFonts w:cs="Times New Roman"/>
          <w:szCs w:val="28"/>
        </w:rPr>
        <w:fldChar w:fldCharType="separate"/>
      </w:r>
      <w:r>
        <w:rPr>
          <w:rFonts w:hint="eastAsia" w:ascii="楷体_GB2312" w:hAnsi="楷体_GB2312" w:eastAsia="楷体_GB2312" w:cs="楷体_GB2312"/>
        </w:rPr>
        <w:t>（四）强化软件定义赋能</w:t>
      </w:r>
      <w:r>
        <w:tab/>
      </w:r>
      <w:r>
        <w:fldChar w:fldCharType="begin"/>
      </w:r>
      <w:r>
        <w:instrText xml:space="preserve"> PAGEREF _Toc13863 \h </w:instrText>
      </w:r>
      <w:r>
        <w:fldChar w:fldCharType="separate"/>
      </w:r>
      <w:r>
        <w:t>12</w:t>
      </w:r>
      <w:r>
        <w:fldChar w:fldCharType="end"/>
      </w:r>
      <w:r>
        <w:rPr>
          <w:rFonts w:cs="Times New Roman"/>
          <w:color w:val="auto"/>
          <w:szCs w:val="28"/>
        </w:rPr>
        <w:fldChar w:fldCharType="end"/>
      </w:r>
    </w:p>
    <w:p>
      <w:pPr>
        <w:pStyle w:val="12"/>
        <w:tabs>
          <w:tab w:val="right" w:leader="dot" w:pos="8958"/>
          <w:tab w:val="clear" w:pos="8306"/>
        </w:tabs>
      </w:pPr>
      <w:r>
        <w:rPr>
          <w:rFonts w:cs="Times New Roman"/>
          <w:color w:val="auto"/>
          <w:szCs w:val="28"/>
        </w:rPr>
        <w:fldChar w:fldCharType="begin"/>
      </w:r>
      <w:r>
        <w:rPr>
          <w:rFonts w:cs="Times New Roman"/>
          <w:szCs w:val="28"/>
        </w:rPr>
        <w:instrText xml:space="preserve"> HYPERLINK \l _Toc25736 </w:instrText>
      </w:r>
      <w:r>
        <w:rPr>
          <w:rFonts w:cs="Times New Roman"/>
          <w:szCs w:val="28"/>
        </w:rPr>
        <w:fldChar w:fldCharType="separate"/>
      </w:r>
      <w:r>
        <w:rPr>
          <w:rFonts w:ascii="黑体" w:hAnsi="黑体" w:eastAsia="黑体" w:cs="黑体"/>
          <w:kern w:val="24"/>
        </w:rPr>
        <w:t>四、</w:t>
      </w:r>
      <w:r>
        <w:rPr>
          <w:rFonts w:hint="eastAsia" w:ascii="黑体" w:hAnsi="黑体" w:eastAsia="黑体" w:cs="黑体"/>
          <w:kern w:val="24"/>
          <w:lang w:val="en-US" w:eastAsia="zh-CN"/>
        </w:rPr>
        <w:t>壮大战略</w:t>
      </w:r>
      <w:r>
        <w:rPr>
          <w:rFonts w:ascii="黑体" w:hAnsi="黑体" w:eastAsia="黑体" w:cs="黑体"/>
          <w:kern w:val="24"/>
        </w:rPr>
        <w:t>支撑产业</w:t>
      </w:r>
      <w:r>
        <w:tab/>
      </w:r>
      <w:r>
        <w:fldChar w:fldCharType="begin"/>
      </w:r>
      <w:r>
        <w:instrText xml:space="preserve"> PAGEREF _Toc25736 \h </w:instrText>
      </w:r>
      <w:r>
        <w:fldChar w:fldCharType="separate"/>
      </w:r>
      <w:r>
        <w:t>14</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_Toc12824 </w:instrText>
      </w:r>
      <w:r>
        <w:rPr>
          <w:rFonts w:cs="Times New Roman"/>
          <w:szCs w:val="28"/>
        </w:rPr>
        <w:fldChar w:fldCharType="separate"/>
      </w:r>
      <w:r>
        <w:rPr>
          <w:rFonts w:hint="eastAsia" w:ascii="楷体_GB2312" w:hAnsi="楷体_GB2312" w:eastAsia="楷体_GB2312" w:cs="楷体_GB2312"/>
          <w:kern w:val="24"/>
          <w:highlight w:val="none"/>
        </w:rPr>
        <w:t>（一）</w:t>
      </w:r>
      <w:r>
        <w:rPr>
          <w:rFonts w:hint="eastAsia" w:ascii="楷体_GB2312" w:hAnsi="楷体_GB2312" w:eastAsia="楷体_GB2312" w:cs="楷体_GB2312"/>
          <w:kern w:val="24"/>
          <w:highlight w:val="none"/>
          <w:lang w:val="en-US" w:eastAsia="zh-CN"/>
        </w:rPr>
        <w:t>做大做强高端技术</w:t>
      </w:r>
      <w:r>
        <w:rPr>
          <w:rFonts w:hint="eastAsia" w:ascii="楷体_GB2312" w:hAnsi="楷体_GB2312" w:eastAsia="楷体_GB2312" w:cs="楷体_GB2312"/>
          <w:kern w:val="24"/>
          <w:highlight w:val="none"/>
        </w:rPr>
        <w:t>装备</w:t>
      </w:r>
      <w:r>
        <w:rPr>
          <w:rFonts w:hint="eastAsia" w:ascii="楷体_GB2312" w:hAnsi="楷体_GB2312" w:eastAsia="楷体_GB2312" w:cs="楷体_GB2312"/>
          <w:kern w:val="24"/>
          <w:highlight w:val="none"/>
          <w:lang w:val="en-US" w:eastAsia="zh-CN"/>
        </w:rPr>
        <w:t>与精密仪器仪表产业</w:t>
      </w:r>
      <w:r>
        <w:tab/>
      </w:r>
      <w:r>
        <w:fldChar w:fldCharType="begin"/>
      </w:r>
      <w:r>
        <w:instrText xml:space="preserve"> PAGEREF _Toc12824 \h </w:instrText>
      </w:r>
      <w:r>
        <w:fldChar w:fldCharType="separate"/>
      </w:r>
      <w:r>
        <w:t>14</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_Toc21251 </w:instrText>
      </w:r>
      <w:r>
        <w:rPr>
          <w:rFonts w:cs="Times New Roman"/>
          <w:szCs w:val="28"/>
        </w:rPr>
        <w:fldChar w:fldCharType="separate"/>
      </w:r>
      <w:r>
        <w:rPr>
          <w:rFonts w:hint="eastAsia" w:ascii="楷体_GB2312" w:hAnsi="楷体_GB2312" w:eastAsia="楷体_GB2312" w:cs="楷体_GB2312"/>
          <w:kern w:val="24"/>
        </w:rPr>
        <w:t>（二）</w:t>
      </w:r>
      <w:r>
        <w:rPr>
          <w:rFonts w:hint="eastAsia" w:ascii="楷体_GB2312" w:hAnsi="楷体_GB2312" w:eastAsia="楷体_GB2312" w:cs="楷体_GB2312"/>
          <w:kern w:val="24"/>
          <w:lang w:val="en-US" w:eastAsia="zh-CN"/>
        </w:rPr>
        <w:t>加速</w:t>
      </w:r>
      <w:r>
        <w:rPr>
          <w:rFonts w:hint="eastAsia" w:ascii="楷体_GB2312" w:hAnsi="楷体_GB2312" w:eastAsia="楷体_GB2312" w:cs="楷体_GB2312"/>
          <w:kern w:val="24"/>
        </w:rPr>
        <w:t>智能</w:t>
      </w:r>
      <w:r>
        <w:rPr>
          <w:rFonts w:hint="eastAsia" w:ascii="楷体_GB2312" w:hAnsi="楷体_GB2312" w:eastAsia="楷体_GB2312" w:cs="楷体_GB2312"/>
          <w:kern w:val="24"/>
          <w:lang w:val="en-US" w:eastAsia="zh-CN"/>
        </w:rPr>
        <w:t>网联新能源</w:t>
      </w:r>
      <w:r>
        <w:rPr>
          <w:rFonts w:hint="eastAsia" w:ascii="楷体_GB2312" w:hAnsi="楷体_GB2312" w:eastAsia="楷体_GB2312" w:cs="楷体_GB2312"/>
          <w:kern w:val="24"/>
        </w:rPr>
        <w:t>汽车</w:t>
      </w:r>
      <w:r>
        <w:rPr>
          <w:rFonts w:hint="eastAsia" w:ascii="楷体_GB2312" w:hAnsi="楷体_GB2312" w:eastAsia="楷体_GB2312" w:cs="楷体_GB2312"/>
          <w:kern w:val="24"/>
          <w:lang w:val="en-US" w:eastAsia="zh-CN"/>
        </w:rPr>
        <w:t>能级跃升</w:t>
      </w:r>
      <w:r>
        <w:tab/>
      </w:r>
      <w:r>
        <w:fldChar w:fldCharType="begin"/>
      </w:r>
      <w:r>
        <w:instrText xml:space="preserve"> PAGEREF _Toc21251 \h </w:instrText>
      </w:r>
      <w:r>
        <w:fldChar w:fldCharType="separate"/>
      </w:r>
      <w:r>
        <w:t>15</w:t>
      </w:r>
      <w:r>
        <w:fldChar w:fldCharType="end"/>
      </w:r>
      <w:r>
        <w:rPr>
          <w:rFonts w:cs="Times New Roman"/>
          <w:color w:val="auto"/>
          <w:szCs w:val="28"/>
        </w:rPr>
        <w:fldChar w:fldCharType="end"/>
      </w:r>
    </w:p>
    <w:p>
      <w:pPr>
        <w:pStyle w:val="12"/>
        <w:tabs>
          <w:tab w:val="right" w:leader="dot" w:pos="8958"/>
          <w:tab w:val="clear" w:pos="8306"/>
        </w:tabs>
      </w:pPr>
      <w:r>
        <w:rPr>
          <w:rFonts w:cs="Times New Roman"/>
          <w:color w:val="auto"/>
          <w:szCs w:val="28"/>
        </w:rPr>
        <w:fldChar w:fldCharType="begin"/>
      </w:r>
      <w:r>
        <w:rPr>
          <w:rFonts w:cs="Times New Roman"/>
          <w:szCs w:val="28"/>
        </w:rPr>
        <w:instrText xml:space="preserve"> HYPERLINK \l _Toc22620 </w:instrText>
      </w:r>
      <w:r>
        <w:rPr>
          <w:rFonts w:cs="Times New Roman"/>
          <w:szCs w:val="28"/>
        </w:rPr>
        <w:fldChar w:fldCharType="separate"/>
      </w:r>
      <w:r>
        <w:t>五、</w:t>
      </w:r>
      <w:r>
        <w:rPr>
          <w:rFonts w:hint="eastAsia"/>
          <w:lang w:val="en-US" w:eastAsia="zh-CN"/>
        </w:rPr>
        <w:t>培育壮大</w:t>
      </w:r>
      <w:r>
        <w:t>潜力</w:t>
      </w:r>
      <w:r>
        <w:rPr>
          <w:rFonts w:hint="eastAsia"/>
          <w:lang w:val="en-US" w:eastAsia="zh-CN"/>
        </w:rPr>
        <w:t>产业</w:t>
      </w:r>
      <w:r>
        <w:tab/>
      </w:r>
      <w:r>
        <w:fldChar w:fldCharType="begin"/>
      </w:r>
      <w:r>
        <w:instrText xml:space="preserve"> PAGEREF _Toc22620 \h </w:instrText>
      </w:r>
      <w:r>
        <w:fldChar w:fldCharType="separate"/>
      </w:r>
      <w:r>
        <w:t>16</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_Toc16690 </w:instrText>
      </w:r>
      <w:r>
        <w:rPr>
          <w:rFonts w:cs="Times New Roman"/>
          <w:szCs w:val="28"/>
        </w:rPr>
        <w:fldChar w:fldCharType="separate"/>
      </w:r>
      <w:r>
        <w:rPr>
          <w:rFonts w:hint="eastAsia"/>
        </w:rPr>
        <w:t>（一）</w:t>
      </w:r>
      <w:r>
        <w:rPr>
          <w:rFonts w:hint="eastAsia"/>
          <w:lang w:val="en-US" w:eastAsia="zh-CN"/>
        </w:rPr>
        <w:t>打造世界级半导体产业科技中心</w:t>
      </w:r>
      <w:r>
        <w:tab/>
      </w:r>
      <w:r>
        <w:fldChar w:fldCharType="begin"/>
      </w:r>
      <w:r>
        <w:instrText xml:space="preserve"> PAGEREF _Toc16690 \h </w:instrText>
      </w:r>
      <w:r>
        <w:fldChar w:fldCharType="separate"/>
      </w:r>
      <w:r>
        <w:t>16</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_Toc18558 </w:instrText>
      </w:r>
      <w:r>
        <w:rPr>
          <w:rFonts w:cs="Times New Roman"/>
          <w:szCs w:val="28"/>
        </w:rPr>
        <w:fldChar w:fldCharType="separate"/>
      </w:r>
      <w:r>
        <w:rPr>
          <w:rFonts w:hint="eastAsia"/>
        </w:rPr>
        <w:t>（二）</w:t>
      </w:r>
      <w:r>
        <w:rPr>
          <w:rFonts w:hint="eastAsia"/>
          <w:lang w:val="en-US" w:eastAsia="zh-CN"/>
        </w:rPr>
        <w:t>壮大</w:t>
      </w:r>
      <w:r>
        <w:rPr>
          <w:rFonts w:hint="eastAsia"/>
        </w:rPr>
        <w:t>新能源</w:t>
      </w:r>
      <w:r>
        <w:rPr>
          <w:rFonts w:hint="eastAsia"/>
          <w:lang w:val="en-US" w:eastAsia="zh-CN"/>
        </w:rPr>
        <w:t>产业集群</w:t>
      </w:r>
      <w:r>
        <w:tab/>
      </w:r>
      <w:r>
        <w:fldChar w:fldCharType="begin"/>
      </w:r>
      <w:r>
        <w:instrText xml:space="preserve"> PAGEREF _Toc18558 \h </w:instrText>
      </w:r>
      <w:r>
        <w:fldChar w:fldCharType="separate"/>
      </w:r>
      <w:r>
        <w:t>16</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_Toc10206 </w:instrText>
      </w:r>
      <w:r>
        <w:rPr>
          <w:rFonts w:cs="Times New Roman"/>
          <w:szCs w:val="28"/>
        </w:rPr>
        <w:fldChar w:fldCharType="separate"/>
      </w:r>
      <w:r>
        <w:rPr>
          <w:rFonts w:hint="eastAsia"/>
        </w:rPr>
        <w:t>（三）</w:t>
      </w:r>
      <w:r>
        <w:rPr>
          <w:rFonts w:hint="eastAsia"/>
          <w:lang w:val="en-US" w:eastAsia="zh-CN"/>
        </w:rPr>
        <w:t>打造</w:t>
      </w:r>
      <w:r>
        <w:rPr>
          <w:rFonts w:hint="eastAsia"/>
        </w:rPr>
        <w:t>生物产业</w:t>
      </w:r>
      <w:r>
        <w:rPr>
          <w:rFonts w:hint="eastAsia"/>
          <w:lang w:val="en-US" w:eastAsia="zh-CN"/>
        </w:rPr>
        <w:t>创新高地</w:t>
      </w:r>
      <w:r>
        <w:tab/>
      </w:r>
      <w:r>
        <w:fldChar w:fldCharType="begin"/>
      </w:r>
      <w:r>
        <w:instrText xml:space="preserve"> PAGEREF _Toc10206 \h </w:instrText>
      </w:r>
      <w:r>
        <w:fldChar w:fldCharType="separate"/>
      </w:r>
      <w:r>
        <w:t>17</w:t>
      </w:r>
      <w:r>
        <w:fldChar w:fldCharType="end"/>
      </w:r>
      <w:r>
        <w:rPr>
          <w:rFonts w:cs="Times New Roman"/>
          <w:color w:val="auto"/>
          <w:szCs w:val="28"/>
        </w:rPr>
        <w:fldChar w:fldCharType="end"/>
      </w:r>
    </w:p>
    <w:p>
      <w:pPr>
        <w:pStyle w:val="12"/>
        <w:tabs>
          <w:tab w:val="right" w:leader="dot" w:pos="8958"/>
          <w:tab w:val="clear" w:pos="8306"/>
        </w:tabs>
      </w:pPr>
      <w:r>
        <w:rPr>
          <w:rFonts w:cs="Times New Roman"/>
          <w:color w:val="auto"/>
          <w:szCs w:val="28"/>
        </w:rPr>
        <w:fldChar w:fldCharType="begin"/>
      </w:r>
      <w:r>
        <w:rPr>
          <w:rFonts w:cs="Times New Roman"/>
          <w:szCs w:val="28"/>
        </w:rPr>
        <w:instrText xml:space="preserve"> HYPERLINK \l _Toc14820 </w:instrText>
      </w:r>
      <w:r>
        <w:rPr>
          <w:rFonts w:cs="Times New Roman"/>
          <w:szCs w:val="28"/>
        </w:rPr>
        <w:fldChar w:fldCharType="separate"/>
      </w:r>
      <w:r>
        <w:rPr>
          <w:rFonts w:hint="eastAsia"/>
        </w:rPr>
        <w:t>六</w:t>
      </w:r>
      <w:r>
        <w:t>、</w:t>
      </w:r>
      <w:r>
        <w:rPr>
          <w:rFonts w:hint="eastAsia"/>
          <w:lang w:val="en-US" w:eastAsia="zh-CN"/>
        </w:rPr>
        <w:t>打造</w:t>
      </w:r>
      <w:r>
        <w:rPr>
          <w:rFonts w:hint="eastAsia"/>
        </w:rPr>
        <w:t>特色</w:t>
      </w:r>
      <w:r>
        <w:rPr>
          <w:rFonts w:hint="eastAsia"/>
          <w:lang w:val="en-US" w:eastAsia="zh-CN"/>
        </w:rPr>
        <w:t>优势产业</w:t>
      </w:r>
      <w:r>
        <w:tab/>
      </w:r>
      <w:r>
        <w:fldChar w:fldCharType="begin"/>
      </w:r>
      <w:r>
        <w:instrText xml:space="preserve"> PAGEREF _Toc14820 \h </w:instrText>
      </w:r>
      <w:r>
        <w:fldChar w:fldCharType="separate"/>
      </w:r>
      <w:r>
        <w:t>19</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_Toc913 </w:instrText>
      </w:r>
      <w:r>
        <w:rPr>
          <w:rFonts w:cs="Times New Roman"/>
          <w:szCs w:val="28"/>
        </w:rPr>
        <w:fldChar w:fldCharType="separate"/>
      </w:r>
      <w:r>
        <w:rPr>
          <w:rFonts w:hint="eastAsia"/>
        </w:rPr>
        <w:t>（</w:t>
      </w:r>
      <w:r>
        <w:rPr>
          <w:rFonts w:hint="eastAsia"/>
          <w:lang w:val="en-US" w:eastAsia="zh-CN"/>
        </w:rPr>
        <w:t>一</w:t>
      </w:r>
      <w:r>
        <w:rPr>
          <w:rFonts w:hint="eastAsia"/>
        </w:rPr>
        <w:t>）</w:t>
      </w:r>
      <w:r>
        <w:rPr>
          <w:rFonts w:hint="eastAsia"/>
          <w:lang w:val="en-US" w:eastAsia="zh-CN"/>
        </w:rPr>
        <w:t>推动</w:t>
      </w:r>
      <w:r>
        <w:rPr>
          <w:rFonts w:hint="eastAsia"/>
        </w:rPr>
        <w:t>传统产业</w:t>
      </w:r>
      <w:r>
        <w:rPr>
          <w:rFonts w:hint="eastAsia"/>
          <w:lang w:val="en-US" w:eastAsia="zh-CN"/>
        </w:rPr>
        <w:t>焕新升级</w:t>
      </w:r>
      <w:r>
        <w:tab/>
      </w:r>
      <w:r>
        <w:fldChar w:fldCharType="begin"/>
      </w:r>
      <w:r>
        <w:instrText xml:space="preserve"> PAGEREF _Toc913 \h </w:instrText>
      </w:r>
      <w:r>
        <w:fldChar w:fldCharType="separate"/>
      </w:r>
      <w:r>
        <w:t>19</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_Toc14017 </w:instrText>
      </w:r>
      <w:r>
        <w:rPr>
          <w:rFonts w:cs="Times New Roman"/>
          <w:szCs w:val="28"/>
        </w:rPr>
        <w:fldChar w:fldCharType="separate"/>
      </w:r>
      <w:r>
        <w:rPr>
          <w:rFonts w:hint="eastAsia"/>
        </w:rPr>
        <w:t>（</w:t>
      </w:r>
      <w:r>
        <w:rPr>
          <w:rFonts w:hint="eastAsia"/>
          <w:lang w:val="en-US" w:eastAsia="zh-CN"/>
        </w:rPr>
        <w:t>二</w:t>
      </w:r>
      <w:r>
        <w:rPr>
          <w:rFonts w:hint="eastAsia"/>
        </w:rPr>
        <w:t>）</w:t>
      </w:r>
      <w:r>
        <w:rPr>
          <w:rFonts w:hint="eastAsia"/>
          <w:lang w:val="en-US" w:eastAsia="zh-CN"/>
        </w:rPr>
        <w:t>构筑</w:t>
      </w:r>
      <w:r>
        <w:rPr>
          <w:rFonts w:hint="eastAsia"/>
        </w:rPr>
        <w:t>新兴产业</w:t>
      </w:r>
      <w:r>
        <w:rPr>
          <w:rFonts w:hint="eastAsia"/>
          <w:lang w:val="en-US" w:eastAsia="zh-CN"/>
        </w:rPr>
        <w:t>发展新增量</w:t>
      </w:r>
      <w:r>
        <w:tab/>
      </w:r>
      <w:r>
        <w:fldChar w:fldCharType="begin"/>
      </w:r>
      <w:r>
        <w:instrText xml:space="preserve"> PAGEREF _Toc14017 \h </w:instrText>
      </w:r>
      <w:r>
        <w:fldChar w:fldCharType="separate"/>
      </w:r>
      <w:r>
        <w:t>20</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_Toc32311 </w:instrText>
      </w:r>
      <w:r>
        <w:rPr>
          <w:rFonts w:cs="Times New Roman"/>
          <w:szCs w:val="28"/>
        </w:rPr>
        <w:fldChar w:fldCharType="separate"/>
      </w:r>
      <w:r>
        <w:rPr>
          <w:rFonts w:hint="eastAsia"/>
        </w:rPr>
        <w:t>（三）</w:t>
      </w:r>
      <w:r>
        <w:rPr>
          <w:rFonts w:hint="eastAsia" w:ascii="楷体_GB2312" w:hAnsi="楷体_GB2312" w:eastAsia="楷体_GB2312" w:cs="楷体_GB2312"/>
          <w:lang w:val="en-US" w:eastAsia="zh-CN"/>
        </w:rPr>
        <w:t>前瞻布局</w:t>
      </w:r>
      <w:r>
        <w:rPr>
          <w:rFonts w:hint="eastAsia"/>
        </w:rPr>
        <w:t>未来产业</w:t>
      </w:r>
      <w:r>
        <w:rPr>
          <w:rFonts w:hint="eastAsia" w:ascii="楷体_GB2312" w:hAnsi="楷体_GB2312" w:eastAsia="楷体_GB2312" w:cs="楷体_GB2312"/>
          <w:lang w:val="en-US" w:eastAsia="zh-CN"/>
        </w:rPr>
        <w:t>新赛道</w:t>
      </w:r>
      <w:r>
        <w:tab/>
      </w:r>
      <w:r>
        <w:fldChar w:fldCharType="begin"/>
      </w:r>
      <w:r>
        <w:instrText xml:space="preserve"> PAGEREF _Toc32311 \h </w:instrText>
      </w:r>
      <w:r>
        <w:fldChar w:fldCharType="separate"/>
      </w:r>
      <w:r>
        <w:t>22</w:t>
      </w:r>
      <w:r>
        <w:fldChar w:fldCharType="end"/>
      </w:r>
      <w:r>
        <w:rPr>
          <w:rFonts w:cs="Times New Roman"/>
          <w:color w:val="auto"/>
          <w:szCs w:val="28"/>
        </w:rPr>
        <w:fldChar w:fldCharType="end"/>
      </w:r>
    </w:p>
    <w:p>
      <w:pPr>
        <w:pStyle w:val="12"/>
        <w:tabs>
          <w:tab w:val="right" w:leader="dot" w:pos="8958"/>
          <w:tab w:val="clear" w:pos="8306"/>
        </w:tabs>
      </w:pPr>
      <w:r>
        <w:rPr>
          <w:rFonts w:cs="Times New Roman"/>
          <w:color w:val="auto"/>
          <w:szCs w:val="28"/>
        </w:rPr>
        <w:fldChar w:fldCharType="begin"/>
      </w:r>
      <w:r>
        <w:rPr>
          <w:rFonts w:cs="Times New Roman"/>
          <w:szCs w:val="28"/>
        </w:rPr>
        <w:instrText xml:space="preserve"> HYPERLINK \l _Toc4020 </w:instrText>
      </w:r>
      <w:r>
        <w:rPr>
          <w:rFonts w:cs="Times New Roman"/>
          <w:szCs w:val="28"/>
        </w:rPr>
        <w:fldChar w:fldCharType="separate"/>
      </w:r>
      <w:r>
        <w:rPr>
          <w:rFonts w:hint="eastAsia" w:ascii="黑体" w:hAnsi="黑体" w:eastAsia="黑体" w:cs="黑体"/>
          <w:kern w:val="24"/>
          <w:lang w:val="en-US" w:eastAsia="zh-CN"/>
        </w:rPr>
        <w:t>七</w:t>
      </w:r>
      <w:r>
        <w:rPr>
          <w:rFonts w:hint="eastAsia" w:ascii="黑体" w:hAnsi="黑体" w:eastAsia="黑体" w:cs="黑体"/>
          <w:kern w:val="24"/>
        </w:rPr>
        <w:t>、重点工程</w:t>
      </w:r>
      <w:r>
        <w:tab/>
      </w:r>
      <w:r>
        <w:fldChar w:fldCharType="begin"/>
      </w:r>
      <w:r>
        <w:instrText xml:space="preserve"> PAGEREF _Toc4020 \h </w:instrText>
      </w:r>
      <w:r>
        <w:fldChar w:fldCharType="separate"/>
      </w:r>
      <w:r>
        <w:t>23</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_Toc17105 </w:instrText>
      </w:r>
      <w:r>
        <w:rPr>
          <w:rFonts w:cs="Times New Roman"/>
          <w:szCs w:val="28"/>
        </w:rPr>
        <w:fldChar w:fldCharType="separate"/>
      </w:r>
      <w:r>
        <w:rPr>
          <w:rFonts w:hint="eastAsia" w:ascii="楷体_GB2312" w:hAnsi="楷体_GB2312" w:eastAsia="楷体_GB2312" w:cs="楷体_GB2312"/>
          <w:kern w:val="24"/>
        </w:rPr>
        <w:t>（一）实施“科技强基”工程，提高科技创新硬核力</w:t>
      </w:r>
      <w:r>
        <w:tab/>
      </w:r>
      <w:r>
        <w:fldChar w:fldCharType="begin"/>
      </w:r>
      <w:r>
        <w:instrText xml:space="preserve"> PAGEREF _Toc17105 \h </w:instrText>
      </w:r>
      <w:r>
        <w:fldChar w:fldCharType="separate"/>
      </w:r>
      <w:r>
        <w:t>23</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_Toc21802 </w:instrText>
      </w:r>
      <w:r>
        <w:rPr>
          <w:rFonts w:cs="Times New Roman"/>
          <w:szCs w:val="28"/>
        </w:rPr>
        <w:fldChar w:fldCharType="separate"/>
      </w:r>
      <w:r>
        <w:rPr>
          <w:rFonts w:hint="eastAsia" w:ascii="楷体_GB2312" w:hAnsi="楷体_GB2312" w:eastAsia="楷体_GB2312" w:cs="楷体_GB2312"/>
          <w:kern w:val="24"/>
        </w:rPr>
        <w:t>（二）实施“工业赋智”工程，全面支撑智能化发展</w:t>
      </w:r>
      <w:r>
        <w:tab/>
      </w:r>
      <w:r>
        <w:fldChar w:fldCharType="begin"/>
      </w:r>
      <w:r>
        <w:instrText xml:space="preserve"> PAGEREF _Toc21802 \h </w:instrText>
      </w:r>
      <w:r>
        <w:fldChar w:fldCharType="separate"/>
      </w:r>
      <w:r>
        <w:t>24</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_Toc13251 </w:instrText>
      </w:r>
      <w:r>
        <w:rPr>
          <w:rFonts w:cs="Times New Roman"/>
          <w:szCs w:val="28"/>
        </w:rPr>
        <w:fldChar w:fldCharType="separate"/>
      </w:r>
      <w:r>
        <w:rPr>
          <w:rFonts w:hint="eastAsia"/>
        </w:rPr>
        <w:t>（三）实施“绿色焕新”工程，加快绿色低碳转型</w:t>
      </w:r>
      <w:r>
        <w:tab/>
      </w:r>
      <w:r>
        <w:fldChar w:fldCharType="begin"/>
      </w:r>
      <w:r>
        <w:instrText xml:space="preserve"> PAGEREF _Toc13251 \h </w:instrText>
      </w:r>
      <w:r>
        <w:fldChar w:fldCharType="separate"/>
      </w:r>
      <w:r>
        <w:t>27</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_Toc19706 </w:instrText>
      </w:r>
      <w:r>
        <w:rPr>
          <w:rFonts w:cs="Times New Roman"/>
          <w:szCs w:val="28"/>
        </w:rPr>
        <w:fldChar w:fldCharType="separate"/>
      </w:r>
      <w:r>
        <w:rPr>
          <w:rFonts w:hint="eastAsia"/>
        </w:rPr>
        <w:t>（四）实施“服务领航”工程，加速两业共融共生</w:t>
      </w:r>
      <w:r>
        <w:tab/>
      </w:r>
      <w:r>
        <w:fldChar w:fldCharType="begin"/>
      </w:r>
      <w:r>
        <w:instrText xml:space="preserve"> PAGEREF _Toc19706 \h </w:instrText>
      </w:r>
      <w:r>
        <w:fldChar w:fldCharType="separate"/>
      </w:r>
      <w:r>
        <w:t>28</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_Toc16511 </w:instrText>
      </w:r>
      <w:r>
        <w:rPr>
          <w:rFonts w:cs="Times New Roman"/>
          <w:szCs w:val="28"/>
        </w:rPr>
        <w:fldChar w:fldCharType="separate"/>
      </w:r>
      <w:r>
        <w:rPr>
          <w:rFonts w:hint="eastAsia"/>
        </w:rPr>
        <w:t>（五）实施“雨林生态”工程，释放要素发展效能</w:t>
      </w:r>
      <w:r>
        <w:tab/>
      </w:r>
      <w:r>
        <w:fldChar w:fldCharType="begin"/>
      </w:r>
      <w:r>
        <w:instrText xml:space="preserve"> PAGEREF _Toc16511 \h </w:instrText>
      </w:r>
      <w:r>
        <w:fldChar w:fldCharType="separate"/>
      </w:r>
      <w:r>
        <w:t>30</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_Toc19936 </w:instrText>
      </w:r>
      <w:r>
        <w:rPr>
          <w:rFonts w:cs="Times New Roman"/>
          <w:szCs w:val="28"/>
        </w:rPr>
        <w:fldChar w:fldCharType="separate"/>
      </w:r>
      <w:r>
        <w:rPr>
          <w:rFonts w:hint="eastAsia"/>
        </w:rPr>
        <w:t>（六）实施“一厂一线”工程，打造产业创新标杆</w:t>
      </w:r>
      <w:r>
        <w:tab/>
      </w:r>
      <w:r>
        <w:fldChar w:fldCharType="begin"/>
      </w:r>
      <w:r>
        <w:instrText xml:space="preserve"> PAGEREF _Toc19936 \h </w:instrText>
      </w:r>
      <w:r>
        <w:fldChar w:fldCharType="separate"/>
      </w:r>
      <w:r>
        <w:t>32</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_Toc15772 </w:instrText>
      </w:r>
      <w:r>
        <w:rPr>
          <w:rFonts w:cs="Times New Roman"/>
          <w:szCs w:val="28"/>
        </w:rPr>
        <w:fldChar w:fldCharType="separate"/>
      </w:r>
      <w:r>
        <w:rPr>
          <w:rFonts w:hint="eastAsia"/>
        </w:rPr>
        <w:t>（七）实施“工业雁阵”工程，强化梯次企业培育</w:t>
      </w:r>
      <w:r>
        <w:tab/>
      </w:r>
      <w:r>
        <w:fldChar w:fldCharType="begin"/>
      </w:r>
      <w:r>
        <w:instrText xml:space="preserve"> PAGEREF _Toc15772 \h </w:instrText>
      </w:r>
      <w:r>
        <w:fldChar w:fldCharType="separate"/>
      </w:r>
      <w:r>
        <w:t>33</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_Toc30649 </w:instrText>
      </w:r>
      <w:r>
        <w:rPr>
          <w:rFonts w:cs="Times New Roman"/>
          <w:szCs w:val="28"/>
        </w:rPr>
        <w:fldChar w:fldCharType="separate"/>
      </w:r>
      <w:r>
        <w:rPr>
          <w:rFonts w:hint="eastAsia"/>
        </w:rPr>
        <w:t>（八）实施“招商引资”工程，加强重大项目布局</w:t>
      </w:r>
      <w:r>
        <w:tab/>
      </w:r>
      <w:r>
        <w:fldChar w:fldCharType="begin"/>
      </w:r>
      <w:r>
        <w:instrText xml:space="preserve"> PAGEREF _Toc30649 \h </w:instrText>
      </w:r>
      <w:r>
        <w:fldChar w:fldCharType="separate"/>
      </w:r>
      <w:r>
        <w:t>34</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_Toc31390 </w:instrText>
      </w:r>
      <w:r>
        <w:rPr>
          <w:rFonts w:cs="Times New Roman"/>
          <w:szCs w:val="28"/>
        </w:rPr>
        <w:fldChar w:fldCharType="separate"/>
      </w:r>
      <w:r>
        <w:rPr>
          <w:rFonts w:hint="eastAsia" w:ascii="楷体_GB2312" w:hAnsi="楷体_GB2312" w:eastAsia="楷体_GB2312" w:cs="楷体_GB2312"/>
          <w:kern w:val="24"/>
        </w:rPr>
        <w:t>（九）实施“开放创新”工程，提升国际合作能力</w:t>
      </w:r>
      <w:r>
        <w:tab/>
      </w:r>
      <w:r>
        <w:fldChar w:fldCharType="begin"/>
      </w:r>
      <w:r>
        <w:instrText xml:space="preserve"> PAGEREF _Toc31390 \h </w:instrText>
      </w:r>
      <w:r>
        <w:fldChar w:fldCharType="separate"/>
      </w:r>
      <w:r>
        <w:t>36</w:t>
      </w:r>
      <w:r>
        <w:fldChar w:fldCharType="end"/>
      </w:r>
      <w:r>
        <w:rPr>
          <w:rFonts w:cs="Times New Roman"/>
          <w:color w:val="auto"/>
          <w:szCs w:val="28"/>
        </w:rPr>
        <w:fldChar w:fldCharType="end"/>
      </w:r>
    </w:p>
    <w:p>
      <w:pPr>
        <w:pStyle w:val="12"/>
        <w:tabs>
          <w:tab w:val="right" w:leader="dot" w:pos="8958"/>
          <w:tab w:val="clear" w:pos="8306"/>
        </w:tabs>
      </w:pPr>
      <w:r>
        <w:rPr>
          <w:rFonts w:cs="Times New Roman"/>
          <w:color w:val="auto"/>
          <w:szCs w:val="28"/>
        </w:rPr>
        <w:fldChar w:fldCharType="begin"/>
      </w:r>
      <w:r>
        <w:rPr>
          <w:rFonts w:cs="Times New Roman"/>
          <w:szCs w:val="28"/>
        </w:rPr>
        <w:instrText xml:space="preserve"> HYPERLINK \l _Toc13999 </w:instrText>
      </w:r>
      <w:r>
        <w:rPr>
          <w:rFonts w:cs="Times New Roman"/>
          <w:szCs w:val="28"/>
        </w:rPr>
        <w:fldChar w:fldCharType="separate"/>
      </w:r>
      <w:r>
        <w:rPr>
          <w:rFonts w:hint="eastAsia" w:ascii="黑体" w:hAnsi="黑体" w:eastAsia="黑体" w:cs="黑体"/>
          <w:kern w:val="24"/>
          <w:lang w:val="en-US" w:eastAsia="zh-CN"/>
        </w:rPr>
        <w:t>八</w:t>
      </w:r>
      <w:r>
        <w:rPr>
          <w:rFonts w:hint="eastAsia" w:ascii="黑体" w:hAnsi="黑体" w:eastAsia="黑体" w:cs="黑体"/>
          <w:kern w:val="24"/>
        </w:rPr>
        <w:t>、空间布局</w:t>
      </w:r>
      <w:r>
        <w:tab/>
      </w:r>
      <w:r>
        <w:fldChar w:fldCharType="begin"/>
      </w:r>
      <w:r>
        <w:instrText xml:space="preserve"> PAGEREF _Toc13999 \h </w:instrText>
      </w:r>
      <w:r>
        <w:fldChar w:fldCharType="separate"/>
      </w:r>
      <w:r>
        <w:t>37</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_Toc27378 </w:instrText>
      </w:r>
      <w:r>
        <w:rPr>
          <w:rFonts w:cs="Times New Roman"/>
          <w:szCs w:val="28"/>
        </w:rPr>
        <w:fldChar w:fldCharType="separate"/>
      </w:r>
      <w:r>
        <w:rPr>
          <w:rFonts w:hint="eastAsia"/>
        </w:rPr>
        <w:t>（一）构筑</w:t>
      </w:r>
      <w:r>
        <w:rPr>
          <w:rFonts w:hint="eastAsia"/>
          <w:lang w:eastAsia="zh-CN"/>
        </w:rPr>
        <w:t>“</w:t>
      </w:r>
      <w:r>
        <w:rPr>
          <w:rFonts w:hint="eastAsia"/>
        </w:rPr>
        <w:t>双心一带</w:t>
      </w:r>
      <w:r>
        <w:rPr>
          <w:rFonts w:hint="eastAsia"/>
          <w:lang w:eastAsia="zh-CN"/>
        </w:rPr>
        <w:t>”</w:t>
      </w:r>
      <w:r>
        <w:rPr>
          <w:rFonts w:hint="eastAsia"/>
        </w:rPr>
        <w:t>发展格局</w:t>
      </w:r>
      <w:r>
        <w:tab/>
      </w:r>
      <w:r>
        <w:fldChar w:fldCharType="begin"/>
      </w:r>
      <w:r>
        <w:instrText xml:space="preserve"> PAGEREF _Toc27378 \h </w:instrText>
      </w:r>
      <w:r>
        <w:fldChar w:fldCharType="separate"/>
      </w:r>
      <w:r>
        <w:t>37</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_Toc12468 </w:instrText>
      </w:r>
      <w:r>
        <w:rPr>
          <w:rFonts w:cs="Times New Roman"/>
          <w:szCs w:val="28"/>
        </w:rPr>
        <w:fldChar w:fldCharType="separate"/>
      </w:r>
      <w:r>
        <w:rPr>
          <w:rFonts w:hint="eastAsia"/>
        </w:rPr>
        <w:t>（二）</w:t>
      </w:r>
      <w:r>
        <w:t>建设</w:t>
      </w:r>
      <w:r>
        <w:rPr>
          <w:rFonts w:hint="eastAsia"/>
        </w:rPr>
        <w:t>芯端软三大集聚区</w:t>
      </w:r>
      <w:r>
        <w:tab/>
      </w:r>
      <w:r>
        <w:fldChar w:fldCharType="begin"/>
      </w:r>
      <w:r>
        <w:instrText xml:space="preserve"> PAGEREF _Toc12468 \h </w:instrText>
      </w:r>
      <w:r>
        <w:fldChar w:fldCharType="separate"/>
      </w:r>
      <w:r>
        <w:t>39</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_Toc9207 </w:instrText>
      </w:r>
      <w:r>
        <w:rPr>
          <w:rFonts w:cs="Times New Roman"/>
          <w:szCs w:val="28"/>
        </w:rPr>
        <w:fldChar w:fldCharType="separate"/>
      </w:r>
      <w:r>
        <w:rPr>
          <w:rFonts w:hint="eastAsia"/>
        </w:rPr>
        <w:t>（三）</w:t>
      </w:r>
      <w:r>
        <w:rPr>
          <w:rFonts w:hint="eastAsia"/>
          <w:lang w:val="en-US" w:eastAsia="zh-CN"/>
        </w:rPr>
        <w:t>打造</w:t>
      </w:r>
      <w:r>
        <w:rPr>
          <w:rFonts w:hint="eastAsia"/>
        </w:rPr>
        <w:t>特色</w:t>
      </w:r>
      <w:r>
        <w:rPr>
          <w:rFonts w:hint="eastAsia"/>
          <w:lang w:val="en-US" w:eastAsia="zh-CN"/>
        </w:rPr>
        <w:t>专业</w:t>
      </w:r>
      <w:r>
        <w:rPr>
          <w:rFonts w:hint="eastAsia"/>
        </w:rPr>
        <w:t>产业园区</w:t>
      </w:r>
      <w:r>
        <w:tab/>
      </w:r>
      <w:r>
        <w:fldChar w:fldCharType="begin"/>
      </w:r>
      <w:r>
        <w:instrText xml:space="preserve"> PAGEREF _Toc9207 \h </w:instrText>
      </w:r>
      <w:r>
        <w:fldChar w:fldCharType="separate"/>
      </w:r>
      <w:r>
        <w:t>40</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_Toc30727 </w:instrText>
      </w:r>
      <w:r>
        <w:rPr>
          <w:rFonts w:cs="Times New Roman"/>
          <w:szCs w:val="28"/>
        </w:rPr>
        <w:fldChar w:fldCharType="separate"/>
      </w:r>
      <w:r>
        <w:rPr>
          <w:rFonts w:hint="eastAsia"/>
        </w:rPr>
        <w:t>（四）优化</w:t>
      </w:r>
      <w:r>
        <w:rPr>
          <w:rFonts w:hint="eastAsia"/>
          <w:lang w:val="en-US" w:eastAsia="zh-CN"/>
        </w:rPr>
        <w:t>产业</w:t>
      </w:r>
      <w:r>
        <w:rPr>
          <w:rFonts w:hint="eastAsia"/>
        </w:rPr>
        <w:t>空间供给保障</w:t>
      </w:r>
      <w:r>
        <w:tab/>
      </w:r>
      <w:r>
        <w:fldChar w:fldCharType="begin"/>
      </w:r>
      <w:r>
        <w:instrText xml:space="preserve"> PAGEREF _Toc30727 \h </w:instrText>
      </w:r>
      <w:r>
        <w:fldChar w:fldCharType="separate"/>
      </w:r>
      <w:r>
        <w:t>43</w:t>
      </w:r>
      <w:r>
        <w:fldChar w:fldCharType="end"/>
      </w:r>
      <w:r>
        <w:rPr>
          <w:rFonts w:cs="Times New Roman"/>
          <w:color w:val="auto"/>
          <w:szCs w:val="28"/>
        </w:rPr>
        <w:fldChar w:fldCharType="end"/>
      </w:r>
    </w:p>
    <w:p>
      <w:pPr>
        <w:pStyle w:val="12"/>
        <w:tabs>
          <w:tab w:val="right" w:leader="dot" w:pos="8958"/>
          <w:tab w:val="clear" w:pos="8306"/>
        </w:tabs>
      </w:pPr>
      <w:r>
        <w:rPr>
          <w:rFonts w:cs="Times New Roman"/>
          <w:color w:val="auto"/>
          <w:szCs w:val="28"/>
        </w:rPr>
        <w:fldChar w:fldCharType="begin"/>
      </w:r>
      <w:r>
        <w:rPr>
          <w:rFonts w:cs="Times New Roman"/>
          <w:szCs w:val="28"/>
        </w:rPr>
        <w:instrText xml:space="preserve"> HYPERLINK \l _Toc16382 </w:instrText>
      </w:r>
      <w:r>
        <w:rPr>
          <w:rFonts w:cs="Times New Roman"/>
          <w:szCs w:val="28"/>
        </w:rPr>
        <w:fldChar w:fldCharType="separate"/>
      </w:r>
      <w:r>
        <w:rPr>
          <w:rFonts w:hint="eastAsia" w:ascii="黑体" w:hAnsi="黑体" w:eastAsia="黑体" w:cs="黑体"/>
          <w:kern w:val="24"/>
          <w:lang w:val="en-US" w:eastAsia="zh-CN"/>
        </w:rPr>
        <w:t>九</w:t>
      </w:r>
      <w:r>
        <w:rPr>
          <w:rFonts w:hint="eastAsia" w:ascii="黑体" w:hAnsi="黑体" w:eastAsia="黑体" w:cs="黑体"/>
          <w:kern w:val="24"/>
        </w:rPr>
        <w:t>、保障措施</w:t>
      </w:r>
      <w:r>
        <w:tab/>
      </w:r>
      <w:r>
        <w:fldChar w:fldCharType="begin"/>
      </w:r>
      <w:r>
        <w:instrText xml:space="preserve"> PAGEREF _Toc16382 \h </w:instrText>
      </w:r>
      <w:r>
        <w:fldChar w:fldCharType="separate"/>
      </w:r>
      <w:r>
        <w:t>44</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_Toc29326 </w:instrText>
      </w:r>
      <w:r>
        <w:rPr>
          <w:rFonts w:cs="Times New Roman"/>
          <w:szCs w:val="28"/>
        </w:rPr>
        <w:fldChar w:fldCharType="separate"/>
      </w:r>
      <w:r>
        <w:rPr>
          <w:rFonts w:ascii="楷体_GB2312" w:hAnsi="楷体_GB2312" w:eastAsia="楷体_GB2312" w:cs="楷体_GB2312"/>
          <w:kern w:val="24"/>
        </w:rPr>
        <w:t>（一）强化组织保障</w:t>
      </w:r>
      <w:r>
        <w:tab/>
      </w:r>
      <w:r>
        <w:fldChar w:fldCharType="begin"/>
      </w:r>
      <w:r>
        <w:instrText xml:space="preserve"> PAGEREF _Toc29326 \h </w:instrText>
      </w:r>
      <w:r>
        <w:fldChar w:fldCharType="separate"/>
      </w:r>
      <w:r>
        <w:t>44</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_Toc30384 </w:instrText>
      </w:r>
      <w:r>
        <w:rPr>
          <w:rFonts w:cs="Times New Roman"/>
          <w:szCs w:val="28"/>
        </w:rPr>
        <w:fldChar w:fldCharType="separate"/>
      </w:r>
      <w:r>
        <w:rPr>
          <w:rFonts w:ascii="楷体_GB2312" w:hAnsi="楷体_GB2312" w:eastAsia="楷体_GB2312" w:cs="楷体_GB2312"/>
          <w:kern w:val="24"/>
        </w:rPr>
        <w:t>（二）强化资金保障</w:t>
      </w:r>
      <w:r>
        <w:tab/>
      </w:r>
      <w:r>
        <w:fldChar w:fldCharType="begin"/>
      </w:r>
      <w:r>
        <w:instrText xml:space="preserve"> PAGEREF _Toc30384 \h </w:instrText>
      </w:r>
      <w:r>
        <w:fldChar w:fldCharType="separate"/>
      </w:r>
      <w:r>
        <w:t>44</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_Toc9544 </w:instrText>
      </w:r>
      <w:r>
        <w:rPr>
          <w:rFonts w:cs="Times New Roman"/>
          <w:szCs w:val="28"/>
        </w:rPr>
        <w:fldChar w:fldCharType="separate"/>
      </w:r>
      <w:r>
        <w:rPr>
          <w:rFonts w:ascii="楷体_GB2312" w:hAnsi="楷体_GB2312" w:eastAsia="楷体_GB2312" w:cs="楷体_GB2312"/>
          <w:kern w:val="24"/>
        </w:rPr>
        <w:t>（</w:t>
      </w:r>
      <w:r>
        <w:rPr>
          <w:rFonts w:hint="eastAsia" w:ascii="楷体_GB2312" w:hAnsi="楷体_GB2312" w:eastAsia="楷体_GB2312" w:cs="楷体_GB2312"/>
          <w:kern w:val="24"/>
        </w:rPr>
        <w:t>三</w:t>
      </w:r>
      <w:r>
        <w:rPr>
          <w:rFonts w:ascii="楷体_GB2312" w:hAnsi="楷体_GB2312" w:eastAsia="楷体_GB2312" w:cs="楷体_GB2312"/>
          <w:kern w:val="24"/>
        </w:rPr>
        <w:t>）</w:t>
      </w:r>
      <w:r>
        <w:rPr>
          <w:rFonts w:hint="eastAsia" w:ascii="楷体_GB2312" w:hAnsi="楷体_GB2312" w:eastAsia="楷体_GB2312" w:cs="楷体_GB2312"/>
          <w:kern w:val="24"/>
        </w:rPr>
        <w:t>强化服务保障</w:t>
      </w:r>
      <w:r>
        <w:tab/>
      </w:r>
      <w:r>
        <w:fldChar w:fldCharType="begin"/>
      </w:r>
      <w:r>
        <w:instrText xml:space="preserve"> PAGEREF _Toc9544 \h </w:instrText>
      </w:r>
      <w:r>
        <w:fldChar w:fldCharType="separate"/>
      </w:r>
      <w:r>
        <w:t>44</w:t>
      </w:r>
      <w:r>
        <w:fldChar w:fldCharType="end"/>
      </w:r>
      <w:r>
        <w:rPr>
          <w:rFonts w:cs="Times New Roman"/>
          <w:color w:val="auto"/>
          <w:szCs w:val="28"/>
        </w:rPr>
        <w:fldChar w:fldCharType="end"/>
      </w:r>
    </w:p>
    <w:p>
      <w:pPr>
        <w:spacing w:line="520" w:lineRule="exact"/>
        <w:rPr>
          <w:color w:val="auto"/>
        </w:rPr>
        <w:sectPr>
          <w:footerReference r:id="rId6" w:type="default"/>
          <w:pgSz w:w="11906" w:h="16838"/>
          <w:pgMar w:top="1440" w:right="1474" w:bottom="1440" w:left="1474" w:header="851" w:footer="992" w:gutter="0"/>
          <w:pgNumType w:fmt="upperRoman" w:start="1"/>
          <w:cols w:space="425" w:num="1"/>
          <w:docGrid w:type="lines" w:linePitch="312" w:charSpace="0"/>
        </w:sectPr>
      </w:pPr>
      <w:r>
        <w:rPr>
          <w:rFonts w:cs="Times New Roman"/>
          <w:color w:val="auto"/>
          <w:szCs w:val="28"/>
        </w:rPr>
        <w:fldChar w:fldCharType="end"/>
      </w:r>
    </w:p>
    <w:p>
      <w:pPr>
        <w:pStyle w:val="24"/>
        <w:ind w:firstLine="640"/>
        <w:outlineLvl w:val="0"/>
        <w:rPr>
          <w:rFonts w:hint="eastAsia" w:ascii="黑体" w:hAnsi="黑体" w:eastAsia="黑体" w:cs="黑体"/>
          <w:color w:val="auto"/>
          <w:kern w:val="24"/>
        </w:rPr>
      </w:pPr>
      <w:bookmarkStart w:id="0" w:name="_Toc9341"/>
      <w:bookmarkStart w:id="1" w:name="_Toc26618"/>
      <w:bookmarkStart w:id="2" w:name="_Toc27990"/>
      <w:bookmarkStart w:id="3" w:name="_Toc31247"/>
      <w:bookmarkStart w:id="4" w:name="_Toc30982"/>
      <w:bookmarkStart w:id="5" w:name="_Toc9679"/>
      <w:bookmarkStart w:id="6" w:name="_Toc17653"/>
      <w:bookmarkStart w:id="7" w:name="_Toc32738"/>
      <w:bookmarkStart w:id="8" w:name="_Toc23763"/>
      <w:bookmarkStart w:id="9" w:name="_Toc31804"/>
      <w:bookmarkStart w:id="10" w:name="_Toc10328"/>
      <w:bookmarkStart w:id="11" w:name="_Toc22120"/>
      <w:bookmarkStart w:id="12" w:name="_Toc5560"/>
      <w:bookmarkStart w:id="13" w:name="_Toc24782"/>
      <w:bookmarkStart w:id="14" w:name="_Toc18804"/>
      <w:bookmarkStart w:id="15" w:name="_Toc16736"/>
      <w:bookmarkStart w:id="16" w:name="_Toc24909"/>
      <w:bookmarkStart w:id="17" w:name="_Toc6610"/>
      <w:bookmarkStart w:id="18" w:name="_Toc22180"/>
      <w:bookmarkStart w:id="19" w:name="_Toc1879"/>
      <w:bookmarkStart w:id="20" w:name="_Toc931"/>
      <w:bookmarkStart w:id="21" w:name="_Toc31734"/>
      <w:bookmarkStart w:id="22" w:name="_Toc16615"/>
      <w:r>
        <w:rPr>
          <w:rFonts w:hint="eastAsia" w:ascii="黑体" w:hAnsi="黑体" w:eastAsia="黑体" w:cs="黑体"/>
          <w:color w:val="auto"/>
          <w:kern w:val="24"/>
        </w:rPr>
        <w:t>一、发展基础与形势</w:t>
      </w:r>
      <w:bookmarkEnd w:id="0"/>
      <w:bookmarkEnd w:id="1"/>
      <w:bookmarkEnd w:id="2"/>
      <w:bookmarkEnd w:id="3"/>
      <w:bookmarkEnd w:id="4"/>
      <w:bookmarkEnd w:id="5"/>
      <w:bookmarkEnd w:id="6"/>
      <w:bookmarkEnd w:id="7"/>
      <w:bookmarkEnd w:id="8"/>
      <w:bookmarkEnd w:id="9"/>
      <w:bookmarkEnd w:id="10"/>
      <w:bookmarkEnd w:id="11"/>
    </w:p>
    <w:bookmarkEnd w:id="12"/>
    <w:bookmarkEnd w:id="13"/>
    <w:bookmarkEnd w:id="14"/>
    <w:bookmarkEnd w:id="15"/>
    <w:bookmarkEnd w:id="16"/>
    <w:bookmarkEnd w:id="17"/>
    <w:p>
      <w:pPr>
        <w:pStyle w:val="15"/>
        <w:spacing w:beforeAutospacing="0" w:afterAutospacing="0"/>
        <w:jc w:val="both"/>
        <w:outlineLvl w:val="1"/>
        <w:rPr>
          <w:rFonts w:ascii="楷体_GB2312" w:eastAsia="楷体_GB2312" w:cs="楷体_GB2312"/>
          <w:b/>
          <w:bCs/>
          <w:color w:val="auto"/>
          <w:kern w:val="24"/>
          <w:sz w:val="32"/>
          <w:highlight w:val="yellow"/>
        </w:rPr>
      </w:pPr>
      <w:bookmarkStart w:id="23" w:name="_Toc7816"/>
      <w:bookmarkStart w:id="24" w:name="_Toc20595"/>
      <w:bookmarkStart w:id="25" w:name="_Toc26105"/>
      <w:bookmarkStart w:id="26" w:name="_Toc12678"/>
      <w:bookmarkStart w:id="27" w:name="_Toc7232"/>
      <w:bookmarkStart w:id="28" w:name="_Toc23874"/>
      <w:bookmarkStart w:id="29" w:name="_Toc2418"/>
      <w:bookmarkStart w:id="30" w:name="_Toc21533"/>
      <w:r>
        <w:rPr>
          <w:rFonts w:hint="eastAsia" w:ascii="楷体_GB2312" w:eastAsia="楷体_GB2312" w:cs="楷体_GB2312"/>
          <w:color w:val="auto"/>
          <w:kern w:val="24"/>
          <w:sz w:val="32"/>
          <w:lang w:bidi="ar"/>
        </w:rPr>
        <w:t>（一）发展基础</w:t>
      </w:r>
      <w:bookmarkEnd w:id="23"/>
      <w:bookmarkEnd w:id="24"/>
      <w:bookmarkEnd w:id="25"/>
      <w:bookmarkEnd w:id="26"/>
      <w:bookmarkEnd w:id="27"/>
      <w:bookmarkEnd w:id="28"/>
      <w:bookmarkEnd w:id="29"/>
      <w:bookmarkEnd w:id="30"/>
    </w:p>
    <w:p>
      <w:pPr>
        <w:pStyle w:val="4"/>
        <w:widowControl/>
        <w:ind w:firstLine="640"/>
        <w:rPr>
          <w:rFonts w:cs="Times New Roman"/>
          <w:b w:val="0"/>
          <w:bCs w:val="0"/>
          <w:color w:val="auto"/>
        </w:rPr>
      </w:pPr>
      <w:r>
        <w:rPr>
          <w:rFonts w:cs="Times New Roman"/>
          <w:color w:val="auto"/>
        </w:rPr>
        <w:t>1.</w:t>
      </w:r>
      <w:r>
        <w:rPr>
          <w:rFonts w:hint="eastAsia" w:ascii="仿宋_GB2312" w:cs="仿宋_GB2312"/>
          <w:color w:val="auto"/>
        </w:rPr>
        <w:t>工业总量实现突破，跻身全国工业百强区前十。</w:t>
      </w:r>
      <w:r>
        <w:rPr>
          <w:rFonts w:hint="eastAsia" w:ascii="仿宋_GB2312" w:hAnsi="仿宋_GB2312" w:cs="仿宋_GB2312"/>
          <w:b w:val="0"/>
          <w:bCs w:val="0"/>
          <w:color w:val="auto"/>
        </w:rPr>
        <w:t>“十四五”期间，龙华区工业经济稳步提升，2025年，规模以上工业总产值达7241亿元，五年跨过两个千亿级台阶，增长37.7%。全区首次跻身全国工业百强区前十、创历史最佳。</w:t>
      </w:r>
      <w:r>
        <w:rPr>
          <w:rFonts w:hint="eastAsia" w:ascii="仿宋_GB2312" w:hAnsi="仿宋_GB2312" w:cs="仿宋_GB2312"/>
          <w:b w:val="0"/>
          <w:bCs w:val="0"/>
          <w:color w:val="auto"/>
          <w:lang w:eastAsia="zh-CN"/>
        </w:rPr>
        <w:t>“</w:t>
      </w:r>
      <w:r>
        <w:rPr>
          <w:rFonts w:hint="eastAsia" w:ascii="仿宋_GB2312" w:hAnsi="仿宋_GB2312" w:cs="仿宋_GB2312"/>
          <w:b w:val="0"/>
          <w:bCs w:val="0"/>
          <w:color w:val="auto"/>
          <w:lang w:val="en-US" w:eastAsia="zh-CN"/>
        </w:rPr>
        <w:t>十四五</w:t>
      </w:r>
      <w:r>
        <w:rPr>
          <w:rFonts w:hint="eastAsia" w:ascii="仿宋_GB2312" w:hAnsi="仿宋_GB2312" w:cs="仿宋_GB2312"/>
          <w:b w:val="0"/>
          <w:bCs w:val="0"/>
          <w:color w:val="auto"/>
          <w:lang w:eastAsia="zh-CN"/>
        </w:rPr>
        <w:t>”</w:t>
      </w:r>
      <w:r>
        <w:rPr>
          <w:rFonts w:hint="eastAsia" w:ascii="仿宋_GB2312" w:hAnsi="仿宋_GB2312" w:cs="仿宋_GB2312"/>
          <w:b w:val="0"/>
          <w:bCs w:val="0"/>
          <w:color w:val="auto"/>
          <w:lang w:val="en-US" w:eastAsia="zh-CN"/>
        </w:rPr>
        <w:t>末，</w:t>
      </w:r>
      <w:r>
        <w:rPr>
          <w:rFonts w:hint="eastAsia" w:ascii="仿宋_GB2312" w:hAnsi="仿宋_GB2312" w:cs="仿宋_GB2312"/>
          <w:b w:val="0"/>
          <w:bCs w:val="0"/>
          <w:color w:val="auto"/>
        </w:rPr>
        <w:t>先进制造业、高技术制造业稳步发展，产值占全区规模以上工业总产值比重均超七成。产值规模10亿元以上企业主体数量提升至</w:t>
      </w:r>
      <w:r>
        <w:rPr>
          <w:rFonts w:hint="eastAsia" w:ascii="仿宋_GB2312" w:hAnsi="仿宋_GB2312" w:cs="仿宋_GB2312"/>
          <w:b w:val="0"/>
          <w:bCs w:val="0"/>
          <w:color w:val="auto"/>
          <w:lang w:val="en-US" w:eastAsia="zh-CN"/>
        </w:rPr>
        <w:t>81</w:t>
      </w:r>
      <w:r>
        <w:rPr>
          <w:rFonts w:hint="eastAsia" w:ascii="仿宋_GB2312" w:hAnsi="仿宋_GB2312" w:cs="仿宋_GB2312"/>
          <w:b w:val="0"/>
          <w:bCs w:val="0"/>
          <w:color w:val="auto"/>
        </w:rPr>
        <w:t>家，较2020年增长幅度达</w:t>
      </w:r>
      <w:r>
        <w:rPr>
          <w:rFonts w:hint="eastAsia" w:ascii="仿宋_GB2312" w:hAnsi="仿宋_GB2312" w:cs="仿宋_GB2312"/>
          <w:b w:val="0"/>
          <w:bCs w:val="0"/>
          <w:color w:val="auto"/>
          <w:lang w:val="en-US" w:eastAsia="zh-CN"/>
        </w:rPr>
        <w:t>68.8</w:t>
      </w:r>
      <w:r>
        <w:rPr>
          <w:rFonts w:hint="eastAsia" w:ascii="仿宋_GB2312" w:hAnsi="仿宋_GB2312" w:cs="仿宋_GB2312"/>
          <w:b w:val="0"/>
          <w:bCs w:val="0"/>
          <w:color w:val="auto"/>
        </w:rPr>
        <w:t>%，规模以上工业企业数量提升至1939家，较2020年提升27.</w:t>
      </w:r>
      <w:r>
        <w:rPr>
          <w:rFonts w:hint="eastAsia" w:ascii="仿宋_GB2312" w:hAnsi="仿宋_GB2312" w:cs="仿宋_GB2312"/>
          <w:b w:val="0"/>
          <w:bCs w:val="0"/>
          <w:color w:val="auto"/>
          <w:lang w:val="en-US" w:eastAsia="zh-CN"/>
        </w:rPr>
        <w:t>6</w:t>
      </w:r>
      <w:r>
        <w:rPr>
          <w:rFonts w:hint="eastAsia" w:ascii="仿宋_GB2312" w:hAnsi="仿宋_GB2312" w:cs="仿宋_GB2312"/>
          <w:b w:val="0"/>
          <w:bCs w:val="0"/>
          <w:color w:val="auto"/>
        </w:rPr>
        <w:t>%。</w:t>
      </w:r>
    </w:p>
    <w:p>
      <w:pPr>
        <w:outlineLvl w:val="2"/>
        <w:rPr>
          <w:rFonts w:cs="Times New Roman"/>
          <w:color w:val="auto"/>
        </w:rPr>
      </w:pPr>
      <w:r>
        <w:rPr>
          <w:rFonts w:cs="Times New Roman"/>
          <w:b/>
          <w:bCs/>
          <w:color w:val="auto"/>
          <w:kern w:val="24"/>
          <w:lang w:bidi="ar"/>
        </w:rPr>
        <w:t>2.</w:t>
      </w:r>
      <w:r>
        <w:rPr>
          <w:rFonts w:hint="eastAsia" w:ascii="仿宋_GB2312" w:cs="仿宋_GB2312"/>
          <w:b/>
          <w:bCs/>
          <w:color w:val="auto"/>
          <w:kern w:val="24"/>
          <w:lang w:bidi="ar"/>
        </w:rPr>
        <w:t>传统产业巩固提升，持续焕发新活力。</w:t>
      </w:r>
      <w:r>
        <w:rPr>
          <w:rFonts w:hint="eastAsia" w:ascii="仿宋_GB2312" w:cs="仿宋_GB2312"/>
          <w:color w:val="auto"/>
          <w:kern w:val="24"/>
          <w:lang w:bidi="ar"/>
        </w:rPr>
        <w:t>传统优势产业发展集聚优势明显</w:t>
      </w:r>
      <w:r>
        <w:rPr>
          <w:rFonts w:hint="eastAsia" w:ascii="仿宋_GB2312" w:cs="仿宋_GB2312"/>
          <w:color w:val="auto"/>
          <w:kern w:val="24"/>
          <w:lang w:eastAsia="zh-CN" w:bidi="ar"/>
        </w:rPr>
        <w:t>，</w:t>
      </w:r>
      <w:r>
        <w:rPr>
          <w:rFonts w:hint="eastAsia" w:ascii="仿宋_GB2312" w:cs="仿宋_GB2312"/>
          <w:color w:val="auto"/>
          <w:kern w:val="24"/>
          <w:lang w:val="en-US" w:eastAsia="zh-CN" w:bidi="ar"/>
        </w:rPr>
        <w:t>在服装、家具、钟表、黄金珠宝、皮革、眼镜等传统优势产业集聚了</w:t>
      </w:r>
      <w:r>
        <w:rPr>
          <w:rFonts w:hint="eastAsia" w:ascii="仿宋_GB2312" w:cs="仿宋_GB2312"/>
          <w:color w:val="auto"/>
          <w:kern w:val="24"/>
          <w:lang w:bidi="ar"/>
        </w:rPr>
        <w:t>一批具有市场影响力的龙头企业。大浪时尚小镇获得“国家自主创新示范区”“国家外贸转型升级示范基地”“全国时尚服饰产业知名品牌示范区”“时尚产业集群区域品牌建设试点”“中国服装区域品牌试点地区”等五大国家金字招牌。</w:t>
      </w:r>
    </w:p>
    <w:p>
      <w:pPr>
        <w:pStyle w:val="4"/>
        <w:widowControl/>
        <w:ind w:firstLine="640"/>
        <w:rPr>
          <w:rFonts w:hint="eastAsia" w:ascii="仿宋_GB2312" w:hAnsi="仿宋_GB2312" w:eastAsia="仿宋_GB2312" w:cs="仿宋_GB2312"/>
          <w:color w:val="auto"/>
        </w:rPr>
      </w:pPr>
      <w:r>
        <w:rPr>
          <w:rFonts w:cs="Times New Roman"/>
          <w:color w:val="auto"/>
        </w:rPr>
        <w:t>3.</w:t>
      </w:r>
      <w:r>
        <w:rPr>
          <w:rFonts w:hint="eastAsia" w:ascii="仿宋_GB2312" w:cs="仿宋_GB2312"/>
          <w:color w:val="auto"/>
        </w:rPr>
        <w:t>新质生产力加速培育，新兴产业蓬勃发展。</w:t>
      </w:r>
      <w:r>
        <w:rPr>
          <w:rFonts w:hint="eastAsia" w:ascii="仿宋_GB2312" w:hAnsi="仿宋_GB2312" w:eastAsia="仿宋_GB2312" w:cs="仿宋_GB2312"/>
          <w:b w:val="0"/>
          <w:bCs w:val="0"/>
          <w:color w:val="auto"/>
        </w:rPr>
        <w:t>全区“1+2+3”现代化产业体系加快构建，2025年，战略性新兴产业增加值占全区</w:t>
      </w:r>
      <w:r>
        <w:rPr>
          <w:rFonts w:hint="eastAsia" w:ascii="仿宋_GB2312" w:hAnsi="仿宋_GB2312" w:eastAsia="仿宋_GB2312" w:cs="仿宋_GB2312"/>
          <w:b w:val="0"/>
          <w:bCs w:val="0"/>
          <w:color w:val="auto"/>
          <w:lang w:val="en-US" w:eastAsia="zh-CN"/>
        </w:rPr>
        <w:t>生产总值</w:t>
      </w:r>
      <w:r>
        <w:rPr>
          <w:rFonts w:hint="eastAsia" w:ascii="仿宋_GB2312" w:hAnsi="仿宋_GB2312" w:eastAsia="仿宋_GB2312" w:cs="仿宋_GB2312"/>
          <w:b w:val="0"/>
          <w:bCs w:val="0"/>
          <w:color w:val="auto"/>
        </w:rPr>
        <w:t>比重达</w:t>
      </w:r>
      <w:r>
        <w:rPr>
          <w:rFonts w:hint="eastAsia" w:ascii="仿宋_GB2312" w:hAnsi="仿宋_GB2312" w:eastAsia="仿宋_GB2312" w:cs="仿宋_GB2312"/>
          <w:b w:val="0"/>
          <w:bCs w:val="0"/>
          <w:color w:val="auto"/>
          <w:lang w:val="en-US" w:eastAsia="zh-CN"/>
        </w:rPr>
        <w:t>45.8</w:t>
      </w:r>
      <w:r>
        <w:rPr>
          <w:rFonts w:hint="eastAsia" w:ascii="仿宋_GB2312" w:hAnsi="仿宋_GB2312" w:eastAsia="仿宋_GB2312" w:cs="仿宋_GB2312"/>
          <w:b w:val="0"/>
          <w:bCs w:val="0"/>
          <w:color w:val="auto"/>
        </w:rPr>
        <w:t>%。智能网联汽车</w:t>
      </w:r>
      <w:r>
        <w:rPr>
          <w:rFonts w:hint="eastAsia" w:ascii="仿宋_GB2312" w:hAnsi="仿宋_GB2312" w:eastAsia="仿宋_GB2312" w:cs="仿宋_GB2312"/>
          <w:b w:val="0"/>
          <w:bCs w:val="0"/>
          <w:color w:val="auto"/>
          <w:lang w:eastAsia="zh-CN"/>
        </w:rPr>
        <w:t>、智能传感器、高端医疗器械、高端装备与仪器</w:t>
      </w:r>
      <w:r>
        <w:rPr>
          <w:rFonts w:hint="eastAsia" w:ascii="仿宋_GB2312" w:hAnsi="仿宋_GB2312" w:eastAsia="仿宋_GB2312" w:cs="仿宋_GB2312"/>
          <w:b w:val="0"/>
          <w:bCs w:val="0"/>
          <w:color w:val="auto"/>
        </w:rPr>
        <w:t>等集群快速发展，增加值分别同比增长</w:t>
      </w:r>
      <w:r>
        <w:rPr>
          <w:rFonts w:hint="eastAsia" w:ascii="仿宋_GB2312" w:hAnsi="仿宋_GB2312" w:eastAsia="仿宋_GB2312" w:cs="仿宋_GB2312"/>
          <w:b w:val="0"/>
          <w:bCs w:val="0"/>
          <w:color w:val="auto"/>
          <w:lang w:val="en-US" w:eastAsia="zh-CN"/>
        </w:rPr>
        <w:t>51.3</w:t>
      </w:r>
      <w:r>
        <w:rPr>
          <w:rFonts w:hint="eastAsia" w:ascii="仿宋_GB2312" w:hAnsi="仿宋_GB2312" w:eastAsia="仿宋_GB2312" w:cs="仿宋_GB2312"/>
          <w:b w:val="0"/>
          <w:bCs w:val="0"/>
          <w:color w:val="auto"/>
        </w:rPr>
        <w:t>%</w:t>
      </w:r>
      <w:r>
        <w:rPr>
          <w:rFonts w:hint="eastAsia" w:ascii="仿宋_GB2312" w:hAnsi="仿宋_GB2312" w:eastAsia="仿宋_GB2312" w:cs="仿宋_GB2312"/>
          <w:b w:val="0"/>
          <w:bCs w:val="0"/>
          <w:color w:val="auto"/>
          <w:lang w:eastAsia="zh-CN"/>
        </w:rPr>
        <w:t>、23.6%、20.8%、13.5%</w:t>
      </w:r>
      <w:r>
        <w:rPr>
          <w:rFonts w:hint="eastAsia" w:ascii="仿宋_GB2312" w:hAnsi="仿宋_GB2312" w:eastAsia="仿宋_GB2312" w:cs="仿宋_GB2312"/>
          <w:b w:val="0"/>
          <w:bCs w:val="0"/>
          <w:color w:val="auto"/>
        </w:rPr>
        <w:t>。截至</w:t>
      </w:r>
      <w:r>
        <w:rPr>
          <w:rFonts w:hint="eastAsia" w:ascii="仿宋_GB2312" w:hAnsi="仿宋_GB2312" w:eastAsia="仿宋_GB2312" w:cs="仿宋_GB2312"/>
          <w:b w:val="0"/>
          <w:bCs w:val="0"/>
          <w:color w:val="auto"/>
          <w:lang w:val="en-US" w:eastAsia="zh-CN"/>
        </w:rPr>
        <w:t>2025年底</w:t>
      </w:r>
      <w:r>
        <w:rPr>
          <w:rFonts w:hint="eastAsia" w:ascii="仿宋_GB2312" w:hAnsi="仿宋_GB2312" w:eastAsia="仿宋_GB2312" w:cs="仿宋_GB2312"/>
          <w:b w:val="0"/>
          <w:bCs w:val="0"/>
          <w:color w:val="auto"/>
        </w:rPr>
        <w:t>，我区共拥有新型显示器件</w:t>
      </w:r>
      <w:r>
        <w:rPr>
          <w:rFonts w:hint="eastAsia" w:ascii="仿宋_GB2312" w:hAnsi="仿宋_GB2312" w:eastAsia="仿宋_GB2312" w:cs="仿宋_GB2312"/>
          <w:b w:val="0"/>
          <w:bCs w:val="0"/>
          <w:color w:val="auto"/>
          <w:lang w:val="en-US"/>
        </w:rPr>
        <w:t>1</w:t>
      </w:r>
      <w:r>
        <w:rPr>
          <w:rFonts w:hint="eastAsia" w:ascii="仿宋_GB2312" w:hAnsi="仿宋_GB2312" w:eastAsia="仿宋_GB2312" w:cs="仿宋_GB2312"/>
          <w:b w:val="0"/>
          <w:bCs w:val="0"/>
          <w:color w:val="auto"/>
        </w:rPr>
        <w:t>个国家级中小企业特色产业集群，新型显示器件、大数据分析及应用软件、高性能医疗器械、消费电子智能传感器及核心部件、工业级无人机应用</w:t>
      </w:r>
      <w:r>
        <w:rPr>
          <w:rFonts w:hint="eastAsia" w:ascii="仿宋_GB2312" w:hAnsi="仿宋_GB2312" w:eastAsia="仿宋_GB2312" w:cs="仿宋_GB2312"/>
          <w:b w:val="0"/>
          <w:bCs w:val="0"/>
          <w:color w:val="auto"/>
          <w:lang w:val="en-US" w:eastAsia="zh-CN"/>
        </w:rPr>
        <w:t>等5个</w:t>
      </w:r>
      <w:r>
        <w:rPr>
          <w:rFonts w:hint="eastAsia" w:ascii="仿宋_GB2312" w:hAnsi="仿宋_GB2312" w:eastAsia="仿宋_GB2312" w:cs="仿宋_GB2312"/>
          <w:b w:val="0"/>
          <w:bCs w:val="0"/>
          <w:color w:val="auto"/>
        </w:rPr>
        <w:t>省级中小企业特色产业集群，数量排名均位居全市第一。</w:t>
      </w:r>
    </w:p>
    <w:p>
      <w:pPr>
        <w:pStyle w:val="15"/>
        <w:spacing w:beforeAutospacing="0" w:afterAutospacing="0"/>
        <w:jc w:val="both"/>
        <w:outlineLvl w:val="2"/>
        <w:rPr>
          <w:rFonts w:hint="eastAsia" w:ascii="仿宋_GB2312" w:hAnsi="仿宋_GB2312" w:eastAsia="仿宋_GB2312" w:cs="仿宋_GB2312"/>
          <w:color w:val="auto"/>
          <w:kern w:val="24"/>
          <w:sz w:val="32"/>
        </w:rPr>
      </w:pPr>
      <w:r>
        <w:rPr>
          <w:b/>
          <w:bCs/>
          <w:color w:val="auto"/>
          <w:kern w:val="24"/>
          <w:sz w:val="32"/>
          <w:lang w:bidi="ar"/>
        </w:rPr>
        <w:t>4.</w:t>
      </w:r>
      <w:r>
        <w:rPr>
          <w:rFonts w:hint="eastAsia" w:ascii="仿宋_GB2312" w:cs="仿宋_GB2312"/>
          <w:b/>
          <w:bCs/>
          <w:color w:val="auto"/>
          <w:kern w:val="24"/>
          <w:sz w:val="32"/>
          <w:lang w:bidi="ar"/>
        </w:rPr>
        <w:t>优质企业方阵不断壮大，创新动能持续迸发。</w:t>
      </w:r>
      <w:r>
        <w:rPr>
          <w:rFonts w:hint="eastAsia" w:ascii="仿宋_GB2312" w:hAnsi="仿宋_GB2312" w:eastAsia="仿宋_GB2312" w:cs="仿宋_GB2312"/>
          <w:color w:val="auto"/>
          <w:kern w:val="24"/>
          <w:sz w:val="32"/>
          <w:lang w:bidi="ar"/>
        </w:rPr>
        <w:t>“十四五”期间，国家高新技术企业增长51.4%达到4140家，国家级专精特新“小巨人”企业增至182家，总量均居全市第三。新增创新型中小企业3378家，增量全市第二。企业创新主体地位持续巩固，关键核心技术攻坚成果丰硕，全国首台国产体外膜肺氧合机</w:t>
      </w:r>
      <w:r>
        <w:rPr>
          <w:rFonts w:hint="eastAsia" w:ascii="仿宋_GB2312" w:hAnsi="仿宋_GB2312" w:eastAsia="仿宋_GB2312" w:cs="仿宋_GB2312"/>
          <w:color w:val="auto"/>
          <w:kern w:val="24"/>
          <w:sz w:val="32"/>
          <w:lang w:eastAsia="zh-CN" w:bidi="ar"/>
        </w:rPr>
        <w:t>（</w:t>
      </w:r>
      <w:r>
        <w:rPr>
          <w:rFonts w:hint="eastAsia" w:ascii="仿宋_GB2312" w:hAnsi="仿宋_GB2312" w:eastAsia="仿宋_GB2312" w:cs="仿宋_GB2312"/>
          <w:color w:val="auto"/>
          <w:kern w:val="24"/>
          <w:sz w:val="32"/>
          <w:lang w:bidi="ar"/>
        </w:rPr>
        <w:t>ECM</w:t>
      </w:r>
      <w:r>
        <w:rPr>
          <w:rFonts w:hint="eastAsia" w:ascii="仿宋_GB2312" w:hAnsi="仿宋_GB2312" w:eastAsia="仿宋_GB2312" w:cs="仿宋_GB2312"/>
          <w:color w:val="auto"/>
          <w:kern w:val="24"/>
          <w:sz w:val="32"/>
          <w:lang w:val="en-US" w:eastAsia="zh-CN" w:bidi="ar"/>
        </w:rPr>
        <w:t>O</w:t>
      </w:r>
      <w:r>
        <w:rPr>
          <w:rFonts w:hint="eastAsia" w:ascii="仿宋_GB2312" w:hAnsi="仿宋_GB2312" w:eastAsia="仿宋_GB2312" w:cs="仿宋_GB2312"/>
          <w:color w:val="auto"/>
          <w:kern w:val="24"/>
          <w:sz w:val="32"/>
          <w:lang w:eastAsia="zh-CN" w:bidi="ar"/>
        </w:rPr>
        <w:t>）</w:t>
      </w:r>
      <w:r>
        <w:rPr>
          <w:rFonts w:hint="eastAsia" w:ascii="仿宋_GB2312" w:hAnsi="仿宋_GB2312" w:eastAsia="仿宋_GB2312" w:cs="仿宋_GB2312"/>
          <w:color w:val="auto"/>
          <w:kern w:val="24"/>
          <w:sz w:val="32"/>
          <w:lang w:bidi="ar"/>
        </w:rPr>
        <w:t>获批上市，全球首台5.0T医学磁共振成像系统实现国产，集成电路光学检测、国产数据库等技术全国领先。</w:t>
      </w:r>
    </w:p>
    <w:p>
      <w:pPr>
        <w:pStyle w:val="15"/>
        <w:spacing w:beforeAutospacing="0" w:afterAutospacing="0"/>
        <w:jc w:val="both"/>
        <w:outlineLvl w:val="2"/>
        <w:rPr>
          <w:rFonts w:hint="eastAsia" w:ascii="仿宋_GB2312" w:hAnsi="仿宋_GB2312" w:eastAsia="仿宋_GB2312" w:cs="仿宋_GB2312"/>
          <w:b/>
          <w:bCs/>
          <w:color w:val="auto"/>
          <w:kern w:val="24"/>
          <w:sz w:val="32"/>
        </w:rPr>
      </w:pPr>
      <w:r>
        <w:rPr>
          <w:rFonts w:hint="eastAsia"/>
          <w:b/>
          <w:bCs/>
          <w:color w:val="auto"/>
          <w:kern w:val="24"/>
          <w:sz w:val="32"/>
          <w:lang w:val="en-US" w:eastAsia="zh-CN" w:bidi="ar"/>
        </w:rPr>
        <w:t>5</w:t>
      </w:r>
      <w:r>
        <w:rPr>
          <w:b/>
          <w:bCs/>
          <w:color w:val="auto"/>
          <w:kern w:val="24"/>
          <w:sz w:val="32"/>
          <w:lang w:bidi="ar"/>
        </w:rPr>
        <w:t>.</w:t>
      </w:r>
      <w:r>
        <w:rPr>
          <w:rFonts w:hint="eastAsia" w:ascii="仿宋_GB2312" w:cs="仿宋_GB2312"/>
          <w:b/>
          <w:bCs/>
          <w:color w:val="auto"/>
          <w:kern w:val="24"/>
          <w:sz w:val="32"/>
          <w:lang w:bidi="ar"/>
        </w:rPr>
        <w:t>数</w:t>
      </w:r>
      <w:r>
        <w:rPr>
          <w:rFonts w:hint="eastAsia" w:ascii="仿宋_GB2312" w:cs="仿宋_GB2312"/>
          <w:b/>
          <w:bCs/>
          <w:color w:val="auto"/>
          <w:kern w:val="24"/>
          <w:sz w:val="32"/>
          <w:lang w:val="en-US" w:eastAsia="zh-CN" w:bidi="ar"/>
        </w:rPr>
        <w:t>字</w:t>
      </w:r>
      <w:r>
        <w:rPr>
          <w:rFonts w:hint="eastAsia" w:ascii="仿宋_GB2312" w:cs="仿宋_GB2312"/>
          <w:b/>
          <w:bCs/>
          <w:color w:val="auto"/>
          <w:kern w:val="24"/>
          <w:sz w:val="32"/>
          <w:lang w:bidi="ar"/>
        </w:rPr>
        <w:t>经济呈现蓬勃活力，数智化转型迈上新台阶。</w:t>
      </w:r>
      <w:r>
        <w:rPr>
          <w:rFonts w:hint="eastAsia" w:ascii="仿宋_GB2312" w:hAnsi="仿宋_GB2312" w:eastAsia="仿宋_GB2312" w:cs="仿宋_GB2312"/>
          <w:color w:val="auto"/>
          <w:kern w:val="24"/>
          <w:sz w:val="32"/>
          <w:lang w:bidi="ar"/>
        </w:rPr>
        <w:t>2025年全区数</w:t>
      </w:r>
      <w:r>
        <w:rPr>
          <w:rFonts w:hint="eastAsia" w:ascii="仿宋_GB2312" w:hAnsi="仿宋_GB2312" w:eastAsia="仿宋_GB2312" w:cs="仿宋_GB2312"/>
          <w:color w:val="auto"/>
          <w:kern w:val="24"/>
          <w:sz w:val="32"/>
          <w:lang w:val="en-US" w:eastAsia="zh-CN" w:bidi="ar"/>
        </w:rPr>
        <w:t>字</w:t>
      </w:r>
      <w:r>
        <w:rPr>
          <w:rFonts w:hint="eastAsia" w:ascii="仿宋_GB2312" w:hAnsi="仿宋_GB2312" w:eastAsia="仿宋_GB2312" w:cs="仿宋_GB2312"/>
          <w:color w:val="auto"/>
          <w:kern w:val="24"/>
          <w:sz w:val="32"/>
          <w:lang w:bidi="ar"/>
        </w:rPr>
        <w:t>经济核心产业总产出达6165.18亿元，较2020年提高70.7%。制造业数智化水平大幅提升，“十四五”期间累计培育国家级数智化转型领域标杆23个、省市级4个、区级160个，新增1座灯塔工厂。深圳（龙华）数智赋能公共服务平台入选全国首批优秀平台榜单。华润三九获评国家工信部卓越级智能工厂。“龙华经验”成功入选广东省“地方政府推动制造业数智化转型”区县级典型案例。</w:t>
      </w:r>
    </w:p>
    <w:p>
      <w:pPr>
        <w:pStyle w:val="15"/>
        <w:spacing w:beforeAutospacing="0" w:afterAutospacing="0"/>
        <w:jc w:val="both"/>
        <w:outlineLvl w:val="2"/>
        <w:rPr>
          <w:rFonts w:hint="eastAsia" w:ascii="仿宋_GB2312" w:hAnsi="仿宋_GB2312" w:eastAsia="仿宋_GB2312" w:cs="仿宋_GB2312"/>
          <w:color w:val="auto"/>
          <w:kern w:val="24"/>
          <w:sz w:val="32"/>
        </w:rPr>
      </w:pPr>
      <w:r>
        <w:rPr>
          <w:rFonts w:hint="eastAsia"/>
          <w:b/>
          <w:bCs/>
          <w:color w:val="auto"/>
          <w:kern w:val="24"/>
          <w:sz w:val="32"/>
          <w:lang w:val="en-US" w:eastAsia="zh-CN" w:bidi="ar"/>
        </w:rPr>
        <w:t>6</w:t>
      </w:r>
      <w:r>
        <w:rPr>
          <w:b/>
          <w:bCs/>
          <w:color w:val="auto"/>
          <w:kern w:val="24"/>
          <w:sz w:val="32"/>
          <w:lang w:bidi="ar"/>
        </w:rPr>
        <w:t>.</w:t>
      </w:r>
      <w:r>
        <w:rPr>
          <w:rFonts w:hint="eastAsia" w:ascii="仿宋_GB2312" w:cs="仿宋_GB2312"/>
          <w:b/>
          <w:bCs/>
          <w:color w:val="auto"/>
          <w:kern w:val="24"/>
          <w:sz w:val="32"/>
          <w:lang w:bidi="ar"/>
        </w:rPr>
        <w:t>重大产业项目加快建设，支撑高质量发展。</w:t>
      </w:r>
      <w:r>
        <w:rPr>
          <w:rFonts w:hint="eastAsia" w:ascii="仿宋_GB2312" w:hAnsi="仿宋_GB2312" w:eastAsia="仿宋_GB2312" w:cs="仿宋_GB2312"/>
          <w:color w:val="auto"/>
          <w:kern w:val="24"/>
          <w:sz w:val="32"/>
          <w:lang w:bidi="ar"/>
        </w:rPr>
        <w:t>“十四五”期间，全区固定资产投资五年累计超5100亿元，是“十三五”的1.4倍；工业投资五年累计1469亿元，是“十三五”的2.1倍。落地</w:t>
      </w:r>
      <w:r>
        <w:rPr>
          <w:rFonts w:hint="eastAsia" w:ascii="仿宋_GB2312" w:hAnsi="仿宋_GB2312" w:eastAsia="仿宋_GB2312" w:cs="仿宋_GB2312"/>
          <w:color w:val="auto"/>
          <w:kern w:val="24"/>
          <w:sz w:val="32"/>
          <w:lang w:val="en-US" w:eastAsia="zh-CN" w:bidi="ar"/>
        </w:rPr>
        <w:t>引望</w:t>
      </w:r>
      <w:r>
        <w:rPr>
          <w:rFonts w:hint="eastAsia" w:ascii="仿宋_GB2312" w:hAnsi="仿宋_GB2312" w:eastAsia="仿宋_GB2312" w:cs="仿宋_GB2312"/>
          <w:color w:val="auto"/>
          <w:kern w:val="24"/>
          <w:sz w:val="32"/>
          <w:lang w:bidi="ar"/>
        </w:rPr>
        <w:t>、迈瑞医疗、海克斯康、海辰储能等一批重大项目。打造全国首个空铁联运项目、无人机智慧空港示范点，三维多物理场耦合引导风洞、深圳-南航低空智联产业科技创新中心相继启用。推进工业上楼建设，规划建设政府或区属国企工业上楼项目超80万平方米。</w:t>
      </w:r>
    </w:p>
    <w:p>
      <w:pPr>
        <w:pStyle w:val="24"/>
        <w:ind w:firstLine="640"/>
        <w:outlineLvl w:val="1"/>
        <w:rPr>
          <w:rFonts w:hint="eastAsia" w:ascii="楷体_GB2312" w:hAnsi="楷体_GB2312" w:eastAsia="楷体_GB2312" w:cs="楷体_GB2312"/>
          <w:b/>
          <w:bCs/>
          <w:color w:val="auto"/>
          <w:kern w:val="24"/>
          <w:highlight w:val="yellow"/>
        </w:rPr>
      </w:pPr>
      <w:bookmarkStart w:id="31" w:name="_Toc23116"/>
      <w:bookmarkStart w:id="32" w:name="_Toc24079"/>
      <w:bookmarkStart w:id="33" w:name="_Toc24415"/>
      <w:bookmarkStart w:id="34" w:name="_Toc25201"/>
      <w:bookmarkStart w:id="35" w:name="_Toc12603"/>
      <w:bookmarkStart w:id="36" w:name="_Toc3127"/>
      <w:bookmarkStart w:id="37" w:name="_Toc5727"/>
      <w:bookmarkStart w:id="38" w:name="_Toc32033"/>
      <w:r>
        <w:rPr>
          <w:rFonts w:hint="eastAsia" w:ascii="楷体_GB2312" w:hAnsi="楷体_GB2312" w:eastAsia="楷体_GB2312" w:cs="楷体_GB2312"/>
          <w:color w:val="auto"/>
          <w:kern w:val="24"/>
        </w:rPr>
        <w:t>（二）面临形势</w:t>
      </w:r>
      <w:bookmarkEnd w:id="18"/>
      <w:bookmarkEnd w:id="19"/>
      <w:bookmarkEnd w:id="20"/>
      <w:bookmarkEnd w:id="21"/>
      <w:bookmarkEnd w:id="31"/>
      <w:bookmarkEnd w:id="32"/>
      <w:bookmarkEnd w:id="33"/>
      <w:bookmarkEnd w:id="34"/>
      <w:bookmarkEnd w:id="35"/>
      <w:bookmarkEnd w:id="36"/>
      <w:bookmarkEnd w:id="37"/>
      <w:bookmarkEnd w:id="38"/>
    </w:p>
    <w:p>
      <w:pPr>
        <w:rPr>
          <w:color w:val="auto"/>
        </w:rPr>
      </w:pPr>
      <w:r>
        <w:rPr>
          <w:rFonts w:hint="eastAsia"/>
          <w:color w:val="auto"/>
        </w:rPr>
        <w:t>“十五五”规划是我国基本实现新型工业化夯实基础、全面发力的关键规划，是抢抓战略机遇、实现产业突围的关键规划，要准确把握推进新型工业化的历史方位和阶段性要求，以高质量发展的确定性应对各种不确定性。</w:t>
      </w:r>
    </w:p>
    <w:p>
      <w:pPr>
        <w:outlineLvl w:val="2"/>
        <w:rPr>
          <w:color w:val="auto"/>
        </w:rPr>
      </w:pPr>
      <w:bookmarkStart w:id="39" w:name="_Toc22289"/>
      <w:bookmarkStart w:id="40" w:name="_Toc9787"/>
      <w:bookmarkStart w:id="41" w:name="_Toc14628"/>
      <w:bookmarkStart w:id="42" w:name="_Toc27474"/>
      <w:r>
        <w:rPr>
          <w:rFonts w:hint="eastAsia"/>
          <w:b/>
          <w:bCs/>
          <w:color w:val="auto"/>
        </w:rPr>
        <w:t>1.</w:t>
      </w:r>
      <w:r>
        <w:rPr>
          <w:rFonts w:hint="eastAsia" w:cstheme="minorBidi"/>
          <w:b/>
          <w:bCs/>
          <w:color w:val="auto"/>
          <w:kern w:val="0"/>
        </w:rPr>
        <w:t>新一轮科技革命和产业变革加速演进，为龙华区实现产业技术跃升提供战略机遇。</w:t>
      </w:r>
      <w:r>
        <w:rPr>
          <w:rFonts w:hint="eastAsia" w:ascii="仿宋_GB2312" w:hAnsi="仿宋_GB2312" w:eastAsia="仿宋_GB2312" w:cs="仿宋_GB2312"/>
          <w:color w:val="auto"/>
        </w:rPr>
        <w:t>全球技术创新进入空前密集活跃期，</w:t>
      </w:r>
      <w:bookmarkStart w:id="43" w:name="_Hlk208410678"/>
      <w:r>
        <w:rPr>
          <w:rFonts w:hint="eastAsia" w:ascii="仿宋_GB2312" w:hAnsi="仿宋_GB2312" w:eastAsia="仿宋_GB2312" w:cs="仿宋_GB2312"/>
          <w:color w:val="auto"/>
        </w:rPr>
        <w:t>人工智能、生物技术、新能源技术、量子技术等前沿技术加速迭代</w:t>
      </w:r>
      <w:bookmarkEnd w:id="43"/>
      <w:r>
        <w:rPr>
          <w:rFonts w:hint="eastAsia" w:ascii="仿宋_GB2312" w:hAnsi="仿宋_GB2312" w:eastAsia="仿宋_GB2312" w:cs="仿宋_GB2312"/>
          <w:color w:val="auto"/>
        </w:rPr>
        <w:t>、融合应用，技术交叉融合效应加速释放，催生一批具有重大影响力的新产业新业态，特别是人工智能正在突破传统生产边界向具身智能、工业智能体持续演进，“AI+”全产业赋能的技术红利持续释放，成为驱动产业技术跃升、产品迭代、价值链攀升的核心引擎。与此同时，全球制造业数智化转型需求呈爆发式增长，全球产业链供应链围绕数智化、高端化方向加速重构，为区域加速产业升级、深度嵌入全球价值链核心环节创造了</w:t>
      </w:r>
      <w:r>
        <w:rPr>
          <w:rFonts w:hint="eastAsia" w:ascii="仿宋_GB2312" w:hAnsi="仿宋_GB2312" w:eastAsia="仿宋_GB2312" w:cs="仿宋_GB2312"/>
          <w:color w:val="auto"/>
          <w:lang w:eastAsia="zh-CN"/>
        </w:rPr>
        <w:t>有利条件</w:t>
      </w:r>
      <w:r>
        <w:rPr>
          <w:rFonts w:hint="eastAsia" w:ascii="仿宋_GB2312" w:hAnsi="仿宋_GB2312" w:eastAsia="仿宋_GB2312" w:cs="仿宋_GB2312"/>
          <w:color w:val="auto"/>
        </w:rPr>
        <w:t>。龙华区拥有高水平的创新载体、高质量的企业主体、完备的产业链配套，构筑起承接新一轮科技革命红利的坚实底座，将科技革命的战略机遇转化为区域高质量发展的内生动力。</w:t>
      </w:r>
    </w:p>
    <w:bookmarkEnd w:id="39"/>
    <w:bookmarkEnd w:id="40"/>
    <w:p>
      <w:pPr>
        <w:pStyle w:val="24"/>
        <w:ind w:firstLine="640"/>
        <w:outlineLvl w:val="2"/>
        <w:rPr>
          <w:rFonts w:cstheme="majorBidi"/>
          <w:color w:val="auto"/>
          <w:kern w:val="2"/>
          <w:szCs w:val="28"/>
          <w:lang w:bidi="ar-SA"/>
        </w:rPr>
      </w:pPr>
      <w:r>
        <w:rPr>
          <w:rFonts w:hint="eastAsia" w:cstheme="majorBidi"/>
          <w:b/>
          <w:bCs/>
          <w:color w:val="auto"/>
          <w:kern w:val="2"/>
          <w:szCs w:val="28"/>
          <w:lang w:bidi="ar-SA"/>
        </w:rPr>
        <w:t>2.</w:t>
      </w:r>
      <w:r>
        <w:rPr>
          <w:rFonts w:cstheme="majorBidi"/>
          <w:b/>
          <w:bCs/>
          <w:color w:val="auto"/>
          <w:kern w:val="2"/>
          <w:szCs w:val="28"/>
          <w:lang w:bidi="ar-SA"/>
        </w:rPr>
        <w:t>国家新型工业化战略</w:t>
      </w:r>
      <w:r>
        <w:rPr>
          <w:rFonts w:hint="eastAsia" w:cstheme="majorBidi"/>
          <w:b/>
          <w:bCs/>
          <w:color w:val="auto"/>
          <w:kern w:val="2"/>
          <w:szCs w:val="28"/>
          <w:lang w:bidi="ar-SA"/>
        </w:rPr>
        <w:t>布局</w:t>
      </w:r>
      <w:r>
        <w:rPr>
          <w:rFonts w:cstheme="majorBidi"/>
          <w:b/>
          <w:bCs/>
          <w:color w:val="auto"/>
          <w:kern w:val="2"/>
          <w:szCs w:val="28"/>
          <w:lang w:bidi="ar-SA"/>
        </w:rPr>
        <w:t>，助力龙华区构筑制造业高质量发展新势能。</w:t>
      </w:r>
      <w:r>
        <w:rPr>
          <w:rFonts w:hint="eastAsia" w:cstheme="majorBidi"/>
          <w:color w:val="auto"/>
          <w:kern w:val="2"/>
          <w:szCs w:val="28"/>
          <w:lang w:bidi="ar-SA"/>
        </w:rPr>
        <w:t>“</w:t>
      </w:r>
      <w:r>
        <w:rPr>
          <w:rFonts w:cstheme="majorBidi"/>
          <w:color w:val="auto"/>
          <w:kern w:val="2"/>
          <w:szCs w:val="28"/>
          <w:lang w:bidi="ar-SA"/>
        </w:rPr>
        <w:t>十五五</w:t>
      </w:r>
      <w:r>
        <w:rPr>
          <w:rFonts w:hint="eastAsia" w:cstheme="majorBidi"/>
          <w:color w:val="auto"/>
          <w:kern w:val="2"/>
          <w:szCs w:val="28"/>
          <w:lang w:bidi="ar-SA"/>
        </w:rPr>
        <w:t>”</w:t>
      </w:r>
      <w:r>
        <w:rPr>
          <w:rFonts w:cstheme="majorBidi"/>
          <w:color w:val="auto"/>
          <w:kern w:val="2"/>
          <w:szCs w:val="28"/>
          <w:lang w:bidi="ar-SA"/>
        </w:rPr>
        <w:t>时期，是我国</w:t>
      </w:r>
      <w:r>
        <w:rPr>
          <w:rFonts w:hint="eastAsia" w:cstheme="majorBidi"/>
          <w:color w:val="auto"/>
          <w:kern w:val="2"/>
          <w:szCs w:val="28"/>
          <w:lang w:bidi="ar-SA"/>
        </w:rPr>
        <w:t>以数智赋能推进新型工业化高质量发展、</w:t>
      </w:r>
      <w:r>
        <w:rPr>
          <w:rFonts w:cstheme="majorBidi"/>
          <w:color w:val="auto"/>
          <w:kern w:val="2"/>
          <w:szCs w:val="28"/>
          <w:lang w:bidi="ar-SA"/>
        </w:rPr>
        <w:t>构建现代化产业体系的攻坚期</w:t>
      </w:r>
      <w:r>
        <w:rPr>
          <w:rFonts w:hint="eastAsia" w:cstheme="majorBidi"/>
          <w:color w:val="auto"/>
          <w:kern w:val="2"/>
          <w:szCs w:val="28"/>
          <w:lang w:bidi="ar-SA"/>
        </w:rPr>
        <w:t>。</w:t>
      </w:r>
      <w:r>
        <w:rPr>
          <w:rFonts w:cstheme="majorBidi"/>
          <w:color w:val="auto"/>
          <w:kern w:val="2"/>
          <w:szCs w:val="28"/>
          <w:lang w:bidi="ar-SA"/>
        </w:rPr>
        <w:t>国家新型工业化</w:t>
      </w:r>
      <w:r>
        <w:rPr>
          <w:rFonts w:hint="eastAsia" w:cstheme="majorBidi"/>
          <w:color w:val="auto"/>
          <w:kern w:val="2"/>
          <w:szCs w:val="28"/>
          <w:lang w:bidi="ar-SA"/>
        </w:rPr>
        <w:t>战略明确以数智融合为核心抓手，</w:t>
      </w:r>
      <w:r>
        <w:rPr>
          <w:rFonts w:cstheme="majorBidi"/>
          <w:color w:val="auto"/>
          <w:kern w:val="2"/>
          <w:szCs w:val="28"/>
          <w:lang w:bidi="ar-SA"/>
        </w:rPr>
        <w:t>始终锚定制造业高端化、智能化、</w:t>
      </w:r>
      <w:r>
        <w:rPr>
          <w:rFonts w:hint="eastAsia" w:cstheme="majorBidi"/>
          <w:color w:val="auto"/>
          <w:kern w:val="2"/>
          <w:szCs w:val="28"/>
          <w:lang w:bidi="ar-SA"/>
        </w:rPr>
        <w:t>融合化</w:t>
      </w:r>
      <w:r>
        <w:rPr>
          <w:rFonts w:cstheme="majorBidi"/>
          <w:color w:val="auto"/>
          <w:kern w:val="2"/>
          <w:szCs w:val="28"/>
          <w:lang w:bidi="ar-SA"/>
        </w:rPr>
        <w:t>转型</w:t>
      </w:r>
      <w:r>
        <w:rPr>
          <w:rFonts w:hint="eastAsia" w:cstheme="majorBidi"/>
          <w:color w:val="auto"/>
          <w:kern w:val="2"/>
          <w:szCs w:val="28"/>
          <w:lang w:bidi="ar-SA"/>
        </w:rPr>
        <w:t>方向</w:t>
      </w:r>
      <w:r>
        <w:rPr>
          <w:rFonts w:cstheme="majorBidi"/>
          <w:color w:val="auto"/>
          <w:kern w:val="2"/>
          <w:szCs w:val="28"/>
          <w:lang w:bidi="ar-SA"/>
        </w:rPr>
        <w:t>，</w:t>
      </w:r>
      <w:r>
        <w:rPr>
          <w:rFonts w:hint="eastAsia" w:cstheme="majorBidi"/>
          <w:color w:val="auto"/>
          <w:kern w:val="2"/>
          <w:szCs w:val="28"/>
          <w:lang w:bidi="ar-SA"/>
        </w:rPr>
        <w:t>强调以人工智能、大数据、工业互联网等数智技术深度赋能</w:t>
      </w:r>
      <w:r>
        <w:rPr>
          <w:rFonts w:cstheme="majorBidi"/>
          <w:color w:val="auto"/>
          <w:kern w:val="2"/>
          <w:szCs w:val="28"/>
          <w:lang w:bidi="ar-SA"/>
        </w:rPr>
        <w:t>实体经济，</w:t>
      </w:r>
      <w:r>
        <w:rPr>
          <w:rFonts w:hint="eastAsia" w:cstheme="majorBidi"/>
          <w:color w:val="auto"/>
          <w:kern w:val="2"/>
          <w:szCs w:val="28"/>
          <w:lang w:bidi="ar-SA"/>
        </w:rPr>
        <w:t>推动生产要素高效重组、产业流程优化升级，</w:t>
      </w:r>
      <w:r>
        <w:rPr>
          <w:rFonts w:cstheme="majorBidi"/>
          <w:color w:val="auto"/>
          <w:kern w:val="2"/>
          <w:szCs w:val="28"/>
          <w:lang w:bidi="ar-SA"/>
        </w:rPr>
        <w:t>加快建设制造强国</w:t>
      </w:r>
      <w:r>
        <w:rPr>
          <w:rFonts w:hint="eastAsia" w:cstheme="majorBidi"/>
          <w:color w:val="auto"/>
          <w:kern w:val="2"/>
          <w:szCs w:val="28"/>
          <w:lang w:bidi="ar-SA"/>
        </w:rPr>
        <w:t>。</w:t>
      </w:r>
      <w:r>
        <w:rPr>
          <w:rFonts w:cstheme="majorBidi"/>
          <w:color w:val="auto"/>
          <w:kern w:val="2"/>
          <w:szCs w:val="28"/>
          <w:lang w:bidi="ar-SA"/>
        </w:rPr>
        <w:t>龙华区作为深圳数字经济核心区，大力推动数字技术在制造业全行业全链条应用，在推进工业转型方面已经</w:t>
      </w:r>
      <w:r>
        <w:rPr>
          <w:rFonts w:hint="eastAsia" w:cstheme="majorBidi"/>
          <w:color w:val="auto"/>
          <w:kern w:val="2"/>
          <w:szCs w:val="28"/>
          <w:lang w:bidi="ar-SA"/>
        </w:rPr>
        <w:t>积累坚实的</w:t>
      </w:r>
      <w:r>
        <w:rPr>
          <w:rFonts w:cstheme="majorBidi"/>
          <w:color w:val="auto"/>
          <w:kern w:val="2"/>
          <w:szCs w:val="28"/>
          <w:lang w:bidi="ar-SA"/>
        </w:rPr>
        <w:t>技术</w:t>
      </w:r>
      <w:r>
        <w:rPr>
          <w:rFonts w:hint="eastAsia" w:cstheme="majorBidi"/>
          <w:color w:val="auto"/>
          <w:kern w:val="2"/>
          <w:szCs w:val="28"/>
          <w:lang w:bidi="ar-SA"/>
        </w:rPr>
        <w:t>沉淀</w:t>
      </w:r>
      <w:r>
        <w:rPr>
          <w:rFonts w:cstheme="majorBidi"/>
          <w:color w:val="auto"/>
          <w:kern w:val="2"/>
          <w:szCs w:val="28"/>
          <w:lang w:bidi="ar-SA"/>
        </w:rPr>
        <w:t>和</w:t>
      </w:r>
      <w:r>
        <w:rPr>
          <w:rFonts w:hint="eastAsia" w:cstheme="majorBidi"/>
          <w:color w:val="auto"/>
          <w:kern w:val="2"/>
          <w:szCs w:val="28"/>
          <w:lang w:bidi="ar-SA"/>
        </w:rPr>
        <w:t>显著的</w:t>
      </w:r>
      <w:r>
        <w:rPr>
          <w:rFonts w:cstheme="majorBidi"/>
          <w:color w:val="auto"/>
          <w:kern w:val="2"/>
          <w:szCs w:val="28"/>
          <w:lang w:bidi="ar-SA"/>
        </w:rPr>
        <w:t>先发优势</w:t>
      </w:r>
      <w:r>
        <w:rPr>
          <w:rFonts w:hint="eastAsia" w:cstheme="majorBidi"/>
          <w:color w:val="auto"/>
          <w:kern w:val="2"/>
          <w:szCs w:val="28"/>
          <w:lang w:bidi="ar-SA"/>
        </w:rPr>
        <w:t>。未来，</w:t>
      </w:r>
      <w:r>
        <w:rPr>
          <w:rFonts w:cstheme="majorBidi"/>
          <w:color w:val="auto"/>
          <w:kern w:val="2"/>
          <w:szCs w:val="28"/>
          <w:lang w:bidi="ar-SA"/>
        </w:rPr>
        <w:t>将</w:t>
      </w:r>
      <w:r>
        <w:rPr>
          <w:rFonts w:hint="eastAsia" w:cstheme="majorBidi"/>
          <w:color w:val="auto"/>
          <w:kern w:val="2"/>
          <w:szCs w:val="28"/>
          <w:lang w:bidi="ar-SA"/>
        </w:rPr>
        <w:t>紧扣国家新型工业化战略布局，</w:t>
      </w:r>
      <w:r>
        <w:rPr>
          <w:rFonts w:cstheme="majorBidi"/>
          <w:color w:val="auto"/>
          <w:kern w:val="2"/>
          <w:szCs w:val="28"/>
          <w:lang w:bidi="ar-SA"/>
        </w:rPr>
        <w:t>推动</w:t>
      </w:r>
      <w:r>
        <w:rPr>
          <w:rFonts w:hint="eastAsia" w:cstheme="majorBidi"/>
          <w:color w:val="auto"/>
          <w:kern w:val="2"/>
          <w:szCs w:val="28"/>
          <w:lang w:bidi="ar-SA"/>
        </w:rPr>
        <w:t>区域</w:t>
      </w:r>
      <w:r>
        <w:rPr>
          <w:rFonts w:cstheme="majorBidi"/>
          <w:color w:val="auto"/>
          <w:kern w:val="2"/>
          <w:szCs w:val="28"/>
          <w:lang w:bidi="ar-SA"/>
        </w:rPr>
        <w:t>发展战略从</w:t>
      </w:r>
      <w:r>
        <w:rPr>
          <w:rFonts w:hint="eastAsia" w:cstheme="majorBidi"/>
          <w:color w:val="auto"/>
          <w:kern w:val="2"/>
          <w:szCs w:val="28"/>
          <w:lang w:bidi="ar-SA"/>
        </w:rPr>
        <w:t>“</w:t>
      </w:r>
      <w:r>
        <w:rPr>
          <w:rFonts w:cstheme="majorBidi"/>
          <w:color w:val="auto"/>
          <w:kern w:val="2"/>
          <w:szCs w:val="28"/>
          <w:lang w:bidi="ar-SA"/>
        </w:rPr>
        <w:t>数字龙华</w:t>
      </w:r>
      <w:r>
        <w:rPr>
          <w:rFonts w:hint="eastAsia" w:cstheme="majorBidi"/>
          <w:color w:val="auto"/>
          <w:kern w:val="2"/>
          <w:szCs w:val="28"/>
          <w:lang w:bidi="ar-SA"/>
        </w:rPr>
        <w:t>”</w:t>
      </w:r>
      <w:r>
        <w:rPr>
          <w:rFonts w:cstheme="majorBidi"/>
          <w:color w:val="auto"/>
          <w:kern w:val="2"/>
          <w:szCs w:val="28"/>
          <w:lang w:bidi="ar-SA"/>
        </w:rPr>
        <w:t>向</w:t>
      </w:r>
      <w:r>
        <w:rPr>
          <w:rFonts w:hint="eastAsia" w:cstheme="majorBidi"/>
          <w:color w:val="auto"/>
          <w:kern w:val="2"/>
          <w:szCs w:val="28"/>
          <w:lang w:bidi="ar-SA"/>
        </w:rPr>
        <w:t>“</w:t>
      </w:r>
      <w:r>
        <w:rPr>
          <w:rFonts w:cstheme="majorBidi"/>
          <w:color w:val="auto"/>
          <w:kern w:val="2"/>
          <w:szCs w:val="28"/>
          <w:lang w:bidi="ar-SA"/>
        </w:rPr>
        <w:t>数智龙华</w:t>
      </w:r>
      <w:r>
        <w:rPr>
          <w:rFonts w:hint="eastAsia" w:cstheme="majorBidi"/>
          <w:color w:val="auto"/>
          <w:kern w:val="2"/>
          <w:szCs w:val="28"/>
          <w:lang w:bidi="ar-SA"/>
        </w:rPr>
        <w:t>”</w:t>
      </w:r>
      <w:r>
        <w:rPr>
          <w:rFonts w:cstheme="majorBidi"/>
          <w:color w:val="auto"/>
          <w:kern w:val="2"/>
          <w:szCs w:val="28"/>
          <w:lang w:bidi="ar-SA"/>
        </w:rPr>
        <w:t>升级，实现自身发展战略与国家战略同频共振，</w:t>
      </w:r>
      <w:r>
        <w:rPr>
          <w:rFonts w:hint="eastAsia" w:cstheme="majorBidi"/>
          <w:color w:val="auto"/>
          <w:kern w:val="2"/>
          <w:szCs w:val="28"/>
          <w:lang w:bidi="ar-SA"/>
        </w:rPr>
        <w:t>推动制造业从“规模扩张”向“质量提升”转型，稳步实现</w:t>
      </w:r>
      <w:r>
        <w:rPr>
          <w:rFonts w:cstheme="majorBidi"/>
          <w:color w:val="auto"/>
          <w:kern w:val="2"/>
          <w:szCs w:val="28"/>
          <w:lang w:bidi="ar-SA"/>
        </w:rPr>
        <w:t>从</w:t>
      </w:r>
      <w:r>
        <w:rPr>
          <w:rFonts w:hint="eastAsia" w:cstheme="majorBidi"/>
          <w:color w:val="auto"/>
          <w:kern w:val="2"/>
          <w:szCs w:val="28"/>
          <w:lang w:bidi="ar-SA"/>
        </w:rPr>
        <w:t>“</w:t>
      </w:r>
      <w:r>
        <w:rPr>
          <w:rFonts w:cstheme="majorBidi"/>
          <w:color w:val="auto"/>
          <w:kern w:val="2"/>
          <w:szCs w:val="28"/>
          <w:lang w:bidi="ar-SA"/>
        </w:rPr>
        <w:t>制造大区</w:t>
      </w:r>
      <w:r>
        <w:rPr>
          <w:rFonts w:hint="eastAsia" w:cstheme="majorBidi"/>
          <w:color w:val="auto"/>
          <w:kern w:val="2"/>
          <w:szCs w:val="28"/>
          <w:lang w:bidi="ar-SA"/>
        </w:rPr>
        <w:t>”</w:t>
      </w:r>
      <w:r>
        <w:rPr>
          <w:rFonts w:cstheme="majorBidi"/>
          <w:color w:val="auto"/>
          <w:kern w:val="2"/>
          <w:szCs w:val="28"/>
          <w:lang w:bidi="ar-SA"/>
        </w:rPr>
        <w:t>向</w:t>
      </w:r>
      <w:r>
        <w:rPr>
          <w:rFonts w:hint="eastAsia" w:cstheme="majorBidi"/>
          <w:color w:val="auto"/>
          <w:kern w:val="2"/>
          <w:szCs w:val="28"/>
          <w:lang w:bidi="ar-SA"/>
        </w:rPr>
        <w:t>“</w:t>
      </w:r>
      <w:r>
        <w:rPr>
          <w:rFonts w:cstheme="majorBidi"/>
          <w:color w:val="auto"/>
          <w:kern w:val="2"/>
          <w:szCs w:val="28"/>
          <w:lang w:bidi="ar-SA"/>
        </w:rPr>
        <w:t>智造强区</w:t>
      </w:r>
      <w:r>
        <w:rPr>
          <w:rFonts w:hint="eastAsia" w:cstheme="majorBidi"/>
          <w:color w:val="auto"/>
          <w:kern w:val="2"/>
          <w:szCs w:val="28"/>
          <w:lang w:bidi="ar-SA"/>
        </w:rPr>
        <w:t>”</w:t>
      </w:r>
      <w:r>
        <w:rPr>
          <w:rFonts w:cstheme="majorBidi"/>
          <w:color w:val="auto"/>
          <w:kern w:val="2"/>
          <w:szCs w:val="28"/>
          <w:lang w:bidi="ar-SA"/>
        </w:rPr>
        <w:t>的跨越</w:t>
      </w:r>
      <w:r>
        <w:rPr>
          <w:rFonts w:hint="eastAsia" w:cstheme="majorBidi"/>
          <w:color w:val="auto"/>
          <w:kern w:val="2"/>
          <w:szCs w:val="28"/>
          <w:lang w:bidi="ar-SA"/>
        </w:rPr>
        <w:t>发展</w:t>
      </w:r>
      <w:r>
        <w:rPr>
          <w:rFonts w:cstheme="majorBidi"/>
          <w:color w:val="auto"/>
          <w:kern w:val="2"/>
          <w:szCs w:val="28"/>
          <w:lang w:bidi="ar-SA"/>
        </w:rPr>
        <w:t>。</w:t>
      </w:r>
    </w:p>
    <w:p>
      <w:pPr>
        <w:pStyle w:val="24"/>
        <w:ind w:firstLine="640"/>
        <w:outlineLvl w:val="2"/>
        <w:rPr>
          <w:rFonts w:cstheme="majorBidi"/>
          <w:color w:val="auto"/>
          <w:kern w:val="2"/>
          <w:szCs w:val="28"/>
          <w:lang w:bidi="ar-SA"/>
        </w:rPr>
      </w:pPr>
      <w:r>
        <w:rPr>
          <w:rFonts w:hint="eastAsia" w:cstheme="majorBidi"/>
          <w:b/>
          <w:bCs/>
          <w:color w:val="auto"/>
          <w:kern w:val="2"/>
          <w:szCs w:val="28"/>
          <w:lang w:bidi="ar-SA"/>
        </w:rPr>
        <w:t>3.粤港澳大湾区发展向纵深推进，推动龙华区产业战略地位提档升级。</w:t>
      </w:r>
      <w:r>
        <w:rPr>
          <w:rFonts w:hint="eastAsia" w:cstheme="majorBidi"/>
          <w:color w:val="auto"/>
          <w:kern w:val="2"/>
          <w:szCs w:val="28"/>
          <w:lang w:bidi="ar-SA"/>
        </w:rPr>
        <w:t>“十五五”时期是粤港澳大湾区由“框架建设”向“深度融合”跨越的关键阶段，世界级先进制造业集群建设加速推进，广深港澳科技创新走廊协同效应持续释放，区域间要素流动、产业协同、规则衔接进一步深化。龙华区地处深圳中轴，坐拥深圳北站交通枢纽区位优势，随着大湾区“一小时经济圈”构建，向南可以承接香港、河套地区科技创新资源外溢，与香港高校、科研机构形成“前端研发—中试转化—规模制造”的跨区域创新协同产业链；向北联动东莞、惠州，加速打造深莞惠都市圈一体化，构建“龙华产业总部+湾区生产基地”的梯度分工体系，推动龙华区由深圳的产业腹地转变为辐射带动周边区域的前沿阵地。未来，龙华将抢抓深港融合深化战略机遇，发挥自身产业优势深度融入湾区</w:t>
      </w:r>
      <w:r>
        <w:rPr>
          <w:rFonts w:hint="eastAsia" w:cstheme="majorBidi"/>
          <w:color w:val="auto"/>
          <w:kern w:val="2"/>
          <w:szCs w:val="28"/>
          <w:lang w:eastAsia="zh-CN" w:bidi="ar-SA"/>
        </w:rPr>
        <w:t>现代化产业体系</w:t>
      </w:r>
      <w:r>
        <w:rPr>
          <w:rFonts w:hint="eastAsia" w:cstheme="majorBidi"/>
          <w:color w:val="auto"/>
          <w:kern w:val="2"/>
          <w:szCs w:val="28"/>
          <w:lang w:bidi="ar-SA"/>
        </w:rPr>
        <w:t>，在推动粤港澳大湾区建设中贡献“龙华力量”。</w:t>
      </w:r>
    </w:p>
    <w:bookmarkEnd w:id="41"/>
    <w:bookmarkEnd w:id="42"/>
    <w:p>
      <w:pPr>
        <w:pStyle w:val="24"/>
        <w:ind w:firstLine="640"/>
        <w:outlineLvl w:val="2"/>
        <w:rPr>
          <w:rFonts w:cs="Times New Roman"/>
          <w:color w:val="auto"/>
          <w:kern w:val="24"/>
        </w:rPr>
      </w:pPr>
      <w:bookmarkStart w:id="44" w:name="_Toc2193"/>
      <w:bookmarkStart w:id="45" w:name="_Toc18486"/>
      <w:r>
        <w:rPr>
          <w:rFonts w:hint="eastAsia" w:cs="Times New Roman"/>
          <w:b/>
          <w:bCs/>
          <w:color w:val="auto"/>
          <w:kern w:val="24"/>
        </w:rPr>
        <w:t>4.深圳市工业立市战略持续深化，为龙华区工业发展注入强大动力。</w:t>
      </w:r>
      <w:r>
        <w:rPr>
          <w:rFonts w:hint="eastAsia" w:cs="Times New Roman"/>
          <w:color w:val="auto"/>
          <w:kern w:val="24"/>
        </w:rPr>
        <w:t>深圳市始终坚守“工业立市、制造强市”核心战略不动摇，将工业发展摆在社会经济发展的突出位置，持续巩固工业压舱石经济地位，全力建设全球先进制造业中心，通过出台一系列精准有效的政策举措、搭建高能级产业平台、强化创新要素资源保障，为龙华区工业发展锚定了目标航向和提供了全方位的赋能支撑。龙华区作为深圳工业大区，始终立足自身产业根基，主动对接市级发展要求，持续优化产业发展环境，推动制造业发展实现规模与质量的全面跃升。在新发展征程中，</w:t>
      </w:r>
      <w:r>
        <w:rPr>
          <w:rFonts w:hint="eastAsia" w:cs="Times New Roman"/>
          <w:color w:val="auto"/>
          <w:kern w:val="24"/>
          <w:shd w:val="clear" w:color="auto" w:fill="FFFFFF"/>
        </w:rPr>
        <w:t>龙华</w:t>
      </w:r>
      <w:r>
        <w:rPr>
          <w:rFonts w:hint="eastAsia" w:cs="Times New Roman"/>
          <w:color w:val="auto"/>
          <w:kern w:val="24"/>
        </w:rPr>
        <w:t>顺势而为、</w:t>
      </w:r>
      <w:r>
        <w:rPr>
          <w:rFonts w:hint="eastAsia" w:cs="Times New Roman"/>
          <w:color w:val="auto"/>
          <w:kern w:val="24"/>
          <w:shd w:val="clear" w:color="auto" w:fill="FFFFFF"/>
        </w:rPr>
        <w:t>乘势而上，在深圳建设全球先进制造业中心进程中，</w:t>
      </w:r>
      <w:r>
        <w:rPr>
          <w:rFonts w:hint="eastAsia" w:cs="Times New Roman"/>
          <w:color w:val="auto"/>
          <w:kern w:val="24"/>
        </w:rPr>
        <w:t>扛起核心引擎的责任担当，贡献更为坚实的龙华力量。</w:t>
      </w:r>
    </w:p>
    <w:p>
      <w:pPr>
        <w:pStyle w:val="24"/>
        <w:ind w:firstLine="640"/>
        <w:outlineLvl w:val="2"/>
        <w:rPr>
          <w:color w:val="auto"/>
        </w:rPr>
      </w:pPr>
      <w:r>
        <w:rPr>
          <w:rFonts w:hint="eastAsia" w:cs="Times New Roman"/>
          <w:color w:val="auto"/>
          <w:kern w:val="24"/>
        </w:rPr>
        <w:t>对标高标准、高水平，</w:t>
      </w:r>
      <w:r>
        <w:rPr>
          <w:rFonts w:hint="eastAsia" w:cs="Times New Roman"/>
          <w:color w:val="auto"/>
          <w:kern w:val="24"/>
          <w:lang w:val="en-US" w:eastAsia="zh-CN"/>
        </w:rPr>
        <w:t>当前</w:t>
      </w:r>
      <w:r>
        <w:rPr>
          <w:rFonts w:hint="eastAsia" w:cs="Times New Roman"/>
          <w:color w:val="auto"/>
          <w:kern w:val="24"/>
        </w:rPr>
        <w:t>龙华区工业发展</w:t>
      </w:r>
      <w:r>
        <w:rPr>
          <w:rFonts w:hint="eastAsia" w:cs="Times New Roman"/>
          <w:color w:val="auto"/>
          <w:kern w:val="24"/>
          <w:lang w:val="en-US" w:eastAsia="zh-CN"/>
        </w:rPr>
        <w:t>仍存在诸多短板</w:t>
      </w:r>
      <w:r>
        <w:rPr>
          <w:rFonts w:hint="eastAsia" w:cs="Times New Roman"/>
          <w:color w:val="auto"/>
          <w:kern w:val="24"/>
        </w:rPr>
        <w:t>瓶颈。主要表现为：产业链仍需“补链固链强链”，新增长动力仍待培育，创新研发投入力度需持续加大，土地、资金、人才等要素保障有待强化。面向未来，龙华区需全面审视外部环境和自身发展条件，着力破解发展中的瓶颈制约，推动工业发展迈上新台阶。</w:t>
      </w:r>
    </w:p>
    <w:bookmarkEnd w:id="44"/>
    <w:bookmarkEnd w:id="45"/>
    <w:p>
      <w:pPr>
        <w:pStyle w:val="2"/>
        <w:rPr>
          <w:rFonts w:hint="eastAsia"/>
          <w:color w:val="auto"/>
        </w:rPr>
      </w:pPr>
      <w:bookmarkStart w:id="46" w:name="_Toc17030"/>
      <w:bookmarkStart w:id="47" w:name="_Toc27975"/>
      <w:bookmarkStart w:id="48" w:name="_Toc18807"/>
      <w:bookmarkStart w:id="49" w:name="_Toc1956"/>
      <w:bookmarkStart w:id="50" w:name="_Toc25237"/>
      <w:bookmarkStart w:id="51" w:name="_Toc26743"/>
      <w:bookmarkStart w:id="52" w:name="_Toc4087"/>
      <w:bookmarkStart w:id="53" w:name="_Toc14448"/>
      <w:bookmarkStart w:id="54" w:name="_Toc5571"/>
      <w:bookmarkStart w:id="55" w:name="_Toc24437"/>
      <w:bookmarkStart w:id="56" w:name="_Toc7632"/>
      <w:bookmarkStart w:id="57" w:name="_Toc29008"/>
      <w:r>
        <w:rPr>
          <w:rFonts w:hint="eastAsia"/>
          <w:color w:val="auto"/>
        </w:rPr>
        <w:t>二、总体</w:t>
      </w:r>
      <w:bookmarkEnd w:id="46"/>
      <w:r>
        <w:rPr>
          <w:rFonts w:hint="eastAsia"/>
          <w:color w:val="auto"/>
        </w:rPr>
        <w:t>要求</w:t>
      </w:r>
      <w:bookmarkEnd w:id="47"/>
      <w:bookmarkEnd w:id="48"/>
      <w:bookmarkEnd w:id="49"/>
      <w:bookmarkEnd w:id="50"/>
      <w:bookmarkEnd w:id="51"/>
      <w:bookmarkEnd w:id="52"/>
      <w:bookmarkEnd w:id="53"/>
      <w:bookmarkEnd w:id="54"/>
      <w:bookmarkEnd w:id="55"/>
      <w:bookmarkEnd w:id="56"/>
      <w:bookmarkEnd w:id="57"/>
    </w:p>
    <w:p>
      <w:pPr>
        <w:pStyle w:val="3"/>
        <w:rPr>
          <w:rFonts w:hint="eastAsia"/>
          <w:b/>
          <w:bCs/>
          <w:color w:val="auto"/>
          <w:highlight w:val="yellow"/>
        </w:rPr>
      </w:pPr>
      <w:bookmarkStart w:id="58" w:name="_Toc30489"/>
      <w:bookmarkStart w:id="59" w:name="_Toc18795"/>
      <w:bookmarkStart w:id="60" w:name="_Toc2855"/>
      <w:bookmarkStart w:id="61" w:name="_Toc19704"/>
      <w:bookmarkStart w:id="62" w:name="_Toc21186"/>
      <w:bookmarkStart w:id="63" w:name="_Toc2683"/>
      <w:bookmarkStart w:id="64" w:name="_Toc184"/>
      <w:bookmarkStart w:id="65" w:name="_Toc5519"/>
      <w:bookmarkStart w:id="66" w:name="_Toc8056"/>
      <w:bookmarkStart w:id="67" w:name="_Toc11089"/>
      <w:bookmarkStart w:id="68" w:name="_Toc19788"/>
      <w:r>
        <w:rPr>
          <w:rFonts w:hint="eastAsia"/>
          <w:color w:val="auto"/>
        </w:rPr>
        <w:t>（一）指导思想</w:t>
      </w:r>
      <w:bookmarkEnd w:id="58"/>
      <w:bookmarkEnd w:id="59"/>
      <w:bookmarkEnd w:id="60"/>
      <w:bookmarkEnd w:id="61"/>
      <w:bookmarkEnd w:id="62"/>
      <w:bookmarkEnd w:id="63"/>
      <w:bookmarkEnd w:id="64"/>
      <w:bookmarkEnd w:id="65"/>
      <w:bookmarkEnd w:id="66"/>
      <w:bookmarkEnd w:id="67"/>
      <w:bookmarkEnd w:id="68"/>
    </w:p>
    <w:p>
      <w:pPr>
        <w:rPr>
          <w:color w:val="auto"/>
        </w:rPr>
      </w:pPr>
      <w:r>
        <w:rPr>
          <w:rFonts w:hint="eastAsia" w:ascii="仿宋_GB2312" w:hAnsi="仿宋_GB2312" w:cs="仿宋_GB2312"/>
          <w:color w:val="auto"/>
        </w:rPr>
        <w:t>以习近平新时代中国特色社会主义思想为指导，全面贯彻落实党的二十大和二十届历次全会精神，深入落实习近平总书记关于</w:t>
      </w:r>
      <w:r>
        <w:rPr>
          <w:rFonts w:hint="eastAsia" w:ascii="仿宋_GB2312" w:hAnsi="仿宋_GB2312" w:cs="仿宋_GB2312"/>
          <w:color w:val="auto"/>
          <w:lang w:eastAsia="zh-CN"/>
        </w:rPr>
        <w:t>推进</w:t>
      </w:r>
      <w:bookmarkStart w:id="479" w:name="_GoBack"/>
      <w:bookmarkEnd w:id="479"/>
      <w:r>
        <w:rPr>
          <w:rFonts w:hint="eastAsia" w:ascii="仿宋_GB2312" w:hAnsi="仿宋_GB2312" w:cs="仿宋_GB2312"/>
          <w:color w:val="auto"/>
        </w:rPr>
        <w:t>新型工业化的重要论述和对广东、深圳系列重要讲话、重要指示精神，遵循建设制造强国的战略部署，锚定深圳“工业立市、制造强市”的总战略和建设全球先进制造业中心的总目标，以加快发展新质生产力为主线，以推进新型工业化为核心任务，坚持智能化、绿色化、融合化发展方向，以产业重点发展方向为着力点，推动产业基础高级化，提高产业链现代化水平，打造更具影响力的现代化产业体系，</w:t>
      </w:r>
      <w:r>
        <w:rPr>
          <w:rFonts w:hint="eastAsia"/>
          <w:color w:val="auto"/>
        </w:rPr>
        <w:t>为深圳建设全球领先的先进制造业中心贡献龙华力量。</w:t>
      </w:r>
    </w:p>
    <w:p>
      <w:pPr>
        <w:pStyle w:val="3"/>
        <w:rPr>
          <w:rFonts w:hint="eastAsia"/>
          <w:color w:val="auto"/>
        </w:rPr>
      </w:pPr>
      <w:bookmarkStart w:id="69" w:name="_Toc2652"/>
      <w:bookmarkStart w:id="70" w:name="_Toc12412"/>
      <w:bookmarkStart w:id="71" w:name="_Toc21395"/>
      <w:bookmarkStart w:id="72" w:name="_Toc21309"/>
      <w:bookmarkStart w:id="73" w:name="_Toc26429"/>
      <w:bookmarkStart w:id="74" w:name="_Toc31384"/>
      <w:bookmarkStart w:id="75" w:name="_Toc26438"/>
      <w:bookmarkStart w:id="76" w:name="_Toc9905"/>
      <w:bookmarkStart w:id="77" w:name="_Toc3544"/>
      <w:bookmarkStart w:id="78" w:name="_Toc12466"/>
      <w:r>
        <w:rPr>
          <w:rFonts w:hint="eastAsia"/>
          <w:color w:val="auto"/>
        </w:rPr>
        <w:t>（二）发展原则</w:t>
      </w:r>
      <w:bookmarkEnd w:id="69"/>
      <w:bookmarkEnd w:id="70"/>
      <w:bookmarkEnd w:id="71"/>
      <w:bookmarkEnd w:id="72"/>
      <w:bookmarkEnd w:id="73"/>
      <w:bookmarkEnd w:id="74"/>
      <w:bookmarkEnd w:id="75"/>
      <w:bookmarkEnd w:id="76"/>
      <w:bookmarkEnd w:id="77"/>
      <w:bookmarkEnd w:id="78"/>
    </w:p>
    <w:p>
      <w:pPr>
        <w:rPr>
          <w:rFonts w:hint="eastAsia" w:ascii="仿宋_GB2312" w:hAnsi="仿宋_GB2312" w:cs="仿宋_GB2312"/>
          <w:color w:val="auto"/>
        </w:rPr>
      </w:pPr>
      <w:r>
        <w:rPr>
          <w:rFonts w:hint="eastAsia"/>
          <w:b/>
          <w:bCs/>
          <w:color w:val="auto"/>
        </w:rPr>
        <w:t>——</w:t>
      </w:r>
      <w:r>
        <w:rPr>
          <w:rFonts w:hint="eastAsia" w:cs="仿宋_GB2312"/>
          <w:b/>
          <w:bCs/>
          <w:color w:val="auto"/>
          <w:kern w:val="2"/>
          <w:szCs w:val="20"/>
          <w:lang w:bidi="ar"/>
        </w:rPr>
        <w:t>创新引领</w:t>
      </w:r>
      <w:r>
        <w:rPr>
          <w:rFonts w:hint="eastAsia"/>
          <w:b/>
          <w:bCs/>
          <w:color w:val="auto"/>
        </w:rPr>
        <w:t>。</w:t>
      </w:r>
      <w:r>
        <w:rPr>
          <w:rFonts w:hint="eastAsia"/>
          <w:color w:val="auto"/>
        </w:rPr>
        <w:t>坚持创新在制造业发展中的核心地位，围绕产业发展核心技术开展攻关，</w:t>
      </w:r>
      <w:r>
        <w:rPr>
          <w:rFonts w:hint="eastAsia" w:ascii="仿宋_GB2312" w:hAnsi="仿宋_GB2312" w:cs="仿宋_GB2312"/>
          <w:color w:val="auto"/>
        </w:rPr>
        <w:t>扎实推进科技创新和产业创新深度融合，以科技创新引领制造业高质量发展。</w:t>
      </w:r>
    </w:p>
    <w:p>
      <w:pPr>
        <w:rPr>
          <w:color w:val="auto"/>
        </w:rPr>
      </w:pPr>
      <w:r>
        <w:rPr>
          <w:rFonts w:hint="eastAsia"/>
          <w:b/>
          <w:bCs/>
          <w:color w:val="auto"/>
        </w:rPr>
        <w:t>——突出重点。</w:t>
      </w:r>
      <w:r>
        <w:rPr>
          <w:rFonts w:hint="eastAsia"/>
          <w:color w:val="auto"/>
        </w:rPr>
        <w:t>聚焦智能终端、新能源、高端医疗器械等重点产业，</w:t>
      </w:r>
      <w:r>
        <w:rPr>
          <w:rFonts w:cs="仿宋_GB2312"/>
          <w:bCs/>
          <w:color w:val="auto"/>
        </w:rPr>
        <w:t>推动资源要素向</w:t>
      </w:r>
      <w:r>
        <w:rPr>
          <w:rFonts w:hint="eastAsia" w:cs="仿宋_GB2312"/>
          <w:bCs/>
          <w:color w:val="auto"/>
        </w:rPr>
        <w:t>重点产业</w:t>
      </w:r>
      <w:r>
        <w:rPr>
          <w:rFonts w:cs="仿宋_GB2312"/>
          <w:bCs/>
          <w:color w:val="auto"/>
        </w:rPr>
        <w:t>集聚、政策措施向</w:t>
      </w:r>
      <w:r>
        <w:rPr>
          <w:rFonts w:hint="eastAsia" w:cs="仿宋_GB2312"/>
          <w:bCs/>
          <w:color w:val="auto"/>
        </w:rPr>
        <w:t>重点产业</w:t>
      </w:r>
      <w:r>
        <w:rPr>
          <w:rFonts w:cs="仿宋_GB2312"/>
          <w:bCs/>
          <w:color w:val="auto"/>
        </w:rPr>
        <w:t>倾斜，</w:t>
      </w:r>
      <w:r>
        <w:rPr>
          <w:rFonts w:hint="eastAsia" w:cs="仿宋_GB2312"/>
          <w:color w:val="auto"/>
          <w:kern w:val="2"/>
          <w:szCs w:val="20"/>
          <w:lang w:bidi="ar"/>
        </w:rPr>
        <w:t>全面提升产业发展能级和</w:t>
      </w:r>
      <w:r>
        <w:rPr>
          <w:rFonts w:hint="eastAsia"/>
          <w:color w:val="auto"/>
        </w:rPr>
        <w:t>竞争力。</w:t>
      </w:r>
    </w:p>
    <w:p>
      <w:pPr>
        <w:rPr>
          <w:color w:val="auto"/>
        </w:rPr>
      </w:pPr>
      <w:r>
        <w:rPr>
          <w:rFonts w:hint="eastAsia"/>
          <w:b/>
          <w:bCs/>
          <w:color w:val="auto"/>
        </w:rPr>
        <w:t>——融合发展。</w:t>
      </w:r>
      <w:r>
        <w:rPr>
          <w:rFonts w:hint="eastAsia" w:ascii="仿宋_GB2312" w:hAnsi="仿宋_GB2312" w:eastAsia="仿宋_GB2312" w:cs="仿宋_GB2312"/>
          <w:color w:val="auto"/>
        </w:rPr>
        <w:t>加强数智赋能，推动人工智能、5G、大数据、云计算等数字技术的广泛应用，推动实体经济和数字经济深度融合，推动</w:t>
      </w:r>
      <w:r>
        <w:rPr>
          <w:rFonts w:hint="eastAsia" w:ascii="仿宋_GB2312" w:hAnsi="仿宋_GB2312" w:eastAsia="仿宋_GB2312" w:cs="仿宋_GB2312"/>
          <w:color w:val="auto"/>
          <w:kern w:val="2"/>
          <w:szCs w:val="20"/>
          <w:lang w:bidi="ar"/>
        </w:rPr>
        <w:t>先进制造业和生产性服务业</w:t>
      </w:r>
      <w:r>
        <w:rPr>
          <w:rFonts w:hint="eastAsia" w:ascii="仿宋_GB2312" w:hAnsi="仿宋_GB2312" w:eastAsia="仿宋_GB2312" w:cs="仿宋_GB2312"/>
          <w:color w:val="auto"/>
        </w:rPr>
        <w:t>深度融合。</w:t>
      </w:r>
    </w:p>
    <w:p>
      <w:pPr>
        <w:rPr>
          <w:color w:val="auto"/>
        </w:rPr>
      </w:pPr>
      <w:r>
        <w:rPr>
          <w:rFonts w:hint="eastAsia"/>
          <w:b/>
          <w:bCs/>
          <w:color w:val="auto"/>
        </w:rPr>
        <w:t>——开放合作。</w:t>
      </w:r>
      <w:r>
        <w:rPr>
          <w:rFonts w:hint="eastAsia" w:cs="仿宋_GB2312"/>
          <w:color w:val="auto"/>
          <w:kern w:val="2"/>
          <w:szCs w:val="20"/>
          <w:lang w:bidi="ar"/>
        </w:rPr>
        <w:t>坚持引进来与走出去并重，发展更高层次的开放型经济，加强与粤港澳大湾区城市合作交流，支持企业出海，</w:t>
      </w:r>
      <w:r>
        <w:rPr>
          <w:rFonts w:hint="eastAsia" w:ascii="仿宋_GB2312" w:hAnsi="仿宋_GB2312" w:cs="仿宋_GB2312"/>
          <w:color w:val="auto"/>
        </w:rPr>
        <w:t>着力构建制造业高水平开放协同发展格局。</w:t>
      </w:r>
    </w:p>
    <w:bookmarkEnd w:id="22"/>
    <w:p>
      <w:pPr>
        <w:pStyle w:val="3"/>
        <w:rPr>
          <w:rFonts w:hint="eastAsia"/>
          <w:color w:val="auto"/>
        </w:rPr>
      </w:pPr>
      <w:bookmarkStart w:id="79" w:name="_Toc1031"/>
      <w:bookmarkStart w:id="80" w:name="_Toc13373"/>
      <w:bookmarkStart w:id="81" w:name="_Toc28474"/>
      <w:bookmarkStart w:id="82" w:name="_Toc17837"/>
      <w:bookmarkStart w:id="83" w:name="_Toc26353"/>
      <w:bookmarkStart w:id="84" w:name="_Toc23869"/>
      <w:bookmarkStart w:id="85" w:name="_Toc25949"/>
      <w:bookmarkStart w:id="86" w:name="_Toc1202"/>
      <w:bookmarkStart w:id="87" w:name="_Toc14466"/>
      <w:bookmarkStart w:id="88" w:name="_Toc25760"/>
      <w:bookmarkStart w:id="89" w:name="_Toc18043"/>
      <w:bookmarkStart w:id="90" w:name="_Toc13747"/>
      <w:bookmarkStart w:id="91" w:name="_Toc8272"/>
      <w:bookmarkStart w:id="92" w:name="_Toc11170"/>
      <w:bookmarkStart w:id="93" w:name="_Toc15134"/>
      <w:r>
        <w:rPr>
          <w:rFonts w:hint="eastAsia"/>
          <w:color w:val="auto"/>
        </w:rPr>
        <w:t>（三）发展目标</w:t>
      </w:r>
      <w:bookmarkEnd w:id="79"/>
      <w:bookmarkEnd w:id="80"/>
      <w:bookmarkEnd w:id="81"/>
      <w:bookmarkEnd w:id="82"/>
      <w:bookmarkEnd w:id="83"/>
      <w:bookmarkEnd w:id="84"/>
      <w:bookmarkEnd w:id="85"/>
      <w:bookmarkEnd w:id="86"/>
      <w:bookmarkEnd w:id="87"/>
      <w:bookmarkEnd w:id="88"/>
    </w:p>
    <w:p>
      <w:pPr>
        <w:rPr>
          <w:rFonts w:hint="eastAsia" w:ascii="仿宋_GB2312" w:hAnsi="仿宋_GB2312" w:eastAsia="仿宋_GB2312" w:cs="仿宋_GB2312"/>
          <w:color w:val="auto"/>
        </w:rPr>
      </w:pPr>
      <w:r>
        <w:rPr>
          <w:rFonts w:hint="eastAsia" w:ascii="仿宋_GB2312" w:hAnsi="仿宋_GB2312" w:eastAsia="仿宋_GB2312" w:cs="仿宋_GB2312"/>
          <w:color w:val="auto"/>
        </w:rPr>
        <w:t>到2030年，</w:t>
      </w:r>
      <w:r>
        <w:rPr>
          <w:rFonts w:hint="eastAsia" w:ascii="仿宋_GB2312" w:hAnsi="仿宋_GB2312" w:eastAsia="仿宋_GB2312" w:cs="仿宋_GB2312"/>
          <w:color w:val="auto"/>
          <w:highlight w:val="none"/>
        </w:rPr>
        <w:t>全区</w:t>
      </w:r>
      <w:r>
        <w:rPr>
          <w:rFonts w:hint="eastAsia" w:ascii="仿宋_GB2312" w:hAnsi="仿宋_GB2312" w:eastAsia="仿宋_GB2312" w:cs="仿宋_GB2312"/>
          <w:color w:val="auto"/>
        </w:rPr>
        <w:t>工业总量规模实现万亿级跨越，</w:t>
      </w:r>
      <w:r>
        <w:rPr>
          <w:rFonts w:hint="eastAsia" w:ascii="仿宋_GB2312" w:hAnsi="仿宋_GB2312" w:eastAsia="仿宋_GB2312" w:cs="仿宋_GB2312"/>
          <w:color w:val="auto"/>
          <w:lang w:val="en-US" w:eastAsia="zh-CN"/>
        </w:rPr>
        <w:t>发展</w:t>
      </w:r>
      <w:r>
        <w:rPr>
          <w:rFonts w:hint="eastAsia" w:ascii="仿宋_GB2312" w:hAnsi="仿宋_GB2312" w:eastAsia="仿宋_GB2312" w:cs="仿宋_GB2312"/>
          <w:color w:val="auto"/>
        </w:rPr>
        <w:t>增速、</w:t>
      </w:r>
      <w:r>
        <w:rPr>
          <w:rFonts w:hint="eastAsia" w:ascii="仿宋_GB2312" w:hAnsi="仿宋_GB2312" w:eastAsia="仿宋_GB2312" w:cs="仿宋_GB2312"/>
          <w:color w:val="auto"/>
          <w:lang w:val="en-US" w:eastAsia="zh-CN"/>
        </w:rPr>
        <w:t>发展</w:t>
      </w:r>
      <w:r>
        <w:rPr>
          <w:rFonts w:hint="eastAsia" w:ascii="仿宋_GB2312" w:hAnsi="仿宋_GB2312" w:eastAsia="仿宋_GB2312" w:cs="仿宋_GB2312"/>
          <w:color w:val="auto"/>
        </w:rPr>
        <w:t>质量、</w:t>
      </w:r>
      <w:r>
        <w:rPr>
          <w:rFonts w:hint="eastAsia" w:ascii="仿宋_GB2312" w:hAnsi="仿宋_GB2312" w:eastAsia="仿宋_GB2312" w:cs="仿宋_GB2312"/>
          <w:color w:val="auto"/>
          <w:lang w:val="en-US" w:eastAsia="zh-CN"/>
        </w:rPr>
        <w:t>综合</w:t>
      </w:r>
      <w:r>
        <w:rPr>
          <w:rFonts w:hint="eastAsia" w:ascii="仿宋_GB2312" w:hAnsi="仿宋_GB2312" w:eastAsia="仿宋_GB2312" w:cs="仿宋_GB2312"/>
          <w:color w:val="auto"/>
        </w:rPr>
        <w:t>效益、创新能力更上新台阶，</w:t>
      </w:r>
      <w:r>
        <w:rPr>
          <w:rFonts w:hint="eastAsia" w:ascii="仿宋_GB2312" w:hAnsi="仿宋_GB2312" w:eastAsia="仿宋_GB2312" w:cs="仿宋_GB2312"/>
          <w:color w:val="auto"/>
          <w:lang w:val="en-US" w:eastAsia="zh-CN"/>
        </w:rPr>
        <w:t>实现“开创一个新龙华”。产业</w:t>
      </w:r>
      <w:r>
        <w:rPr>
          <w:rFonts w:hint="eastAsia" w:ascii="仿宋_GB2312" w:hAnsi="仿宋_GB2312" w:eastAsia="仿宋_GB2312" w:cs="仿宋_GB2312"/>
          <w:color w:val="auto"/>
        </w:rPr>
        <w:t>内部结构更加合理，发展动力更加强劲，集聚一批具有国际影响力的领军企业和标志性品牌，产业链供应链的稳定性和竞争力显著提升，基本形成以智能制造为主导的现代化产业体系，建设成为</w:t>
      </w:r>
      <w:r>
        <w:rPr>
          <w:rFonts w:hint="eastAsia" w:ascii="仿宋_GB2312" w:hAnsi="仿宋_GB2312" w:eastAsia="仿宋_GB2312" w:cs="仿宋_GB2312"/>
          <w:b w:val="0"/>
          <w:bCs w:val="0"/>
          <w:color w:val="auto"/>
          <w:highlight w:val="none"/>
        </w:rPr>
        <w:t>国际先进制造强区。</w:t>
      </w:r>
    </w:p>
    <w:p>
      <w:pPr>
        <w:rPr>
          <w:rFonts w:hint="eastAsia" w:ascii="仿宋_GB2312" w:hAnsi="仿宋_GB2312" w:eastAsia="仿宋_GB2312" w:cs="仿宋_GB2312"/>
          <w:color w:val="auto"/>
          <w:kern w:val="2"/>
          <w:szCs w:val="22"/>
          <w:lang w:bidi="ar-SA"/>
        </w:rPr>
      </w:pPr>
      <w:r>
        <w:rPr>
          <w:rFonts w:hint="eastAsia"/>
          <w:b/>
          <w:bCs/>
          <w:color w:val="auto"/>
          <w:kern w:val="2"/>
          <w:szCs w:val="22"/>
          <w:lang w:bidi="ar-SA"/>
        </w:rPr>
        <w:t>工业综合实力大幅跃升。</w:t>
      </w:r>
      <w:r>
        <w:rPr>
          <w:rFonts w:hint="eastAsia" w:ascii="仿宋_GB2312" w:hAnsi="仿宋_GB2312" w:eastAsia="仿宋_GB2312" w:cs="仿宋_GB2312"/>
          <w:b w:val="0"/>
          <w:bCs w:val="0"/>
          <w:color w:val="auto"/>
          <w:kern w:val="2"/>
          <w:szCs w:val="22"/>
          <w:lang w:bidi="ar-SA"/>
        </w:rPr>
        <w:t>工业发展规模</w:t>
      </w:r>
      <w:r>
        <w:rPr>
          <w:rFonts w:hint="eastAsia" w:ascii="仿宋_GB2312" w:hAnsi="仿宋_GB2312" w:eastAsia="仿宋_GB2312" w:cs="仿宋_GB2312"/>
          <w:color w:val="auto"/>
          <w:kern w:val="2"/>
          <w:szCs w:val="22"/>
          <w:lang w:bidi="ar-SA"/>
        </w:rPr>
        <w:t>迈上新台阶，到2030年，全区规上工业总产值突破10000亿元，</w:t>
      </w:r>
      <w:r>
        <w:rPr>
          <w:rFonts w:hint="eastAsia" w:ascii="仿宋_GB2312" w:hAnsi="仿宋_GB2312" w:eastAsia="仿宋_GB2312" w:cs="仿宋_GB2312"/>
          <w:color w:val="auto"/>
          <w:kern w:val="2"/>
          <w:szCs w:val="22"/>
          <w:lang w:val="en-US" w:eastAsia="zh-CN" w:bidi="ar-SA"/>
        </w:rPr>
        <w:t>数字经济核心产业总产出达到10000亿元</w:t>
      </w:r>
      <w:r>
        <w:rPr>
          <w:rFonts w:hint="eastAsia" w:ascii="仿宋_GB2312" w:hAnsi="仿宋_GB2312" w:eastAsia="仿宋_GB2312" w:cs="仿宋_GB2312"/>
          <w:color w:val="auto"/>
          <w:kern w:val="2"/>
          <w:szCs w:val="22"/>
          <w:lang w:bidi="ar-SA"/>
        </w:rPr>
        <w:t>。</w:t>
      </w:r>
    </w:p>
    <w:p>
      <w:pPr>
        <w:rPr>
          <w:rFonts w:hint="eastAsia" w:ascii="仿宋_GB2312" w:hAnsi="仿宋_GB2312" w:eastAsia="仿宋_GB2312" w:cs="仿宋_GB2312"/>
          <w:b/>
          <w:bCs/>
          <w:color w:val="auto"/>
          <w:kern w:val="2"/>
          <w:szCs w:val="22"/>
          <w:lang w:bidi="ar-SA"/>
        </w:rPr>
      </w:pPr>
      <w:r>
        <w:rPr>
          <w:rFonts w:hint="eastAsia"/>
          <w:b/>
          <w:bCs/>
          <w:color w:val="auto"/>
          <w:kern w:val="2"/>
          <w:szCs w:val="22"/>
          <w:lang w:bidi="ar-SA"/>
        </w:rPr>
        <w:t>新质生产力引领发展。</w:t>
      </w:r>
      <w:r>
        <w:rPr>
          <w:rFonts w:hint="eastAsia" w:ascii="仿宋_GB2312" w:hAnsi="仿宋_GB2312" w:eastAsia="仿宋_GB2312" w:cs="仿宋_GB2312"/>
          <w:b w:val="0"/>
          <w:bCs w:val="0"/>
          <w:color w:val="auto"/>
          <w:kern w:val="2"/>
          <w:szCs w:val="22"/>
          <w:lang w:bidi="ar-SA"/>
        </w:rPr>
        <w:t>战略性新兴产业支柱作用更加凸显，</w:t>
      </w:r>
      <w:r>
        <w:rPr>
          <w:rFonts w:hint="eastAsia" w:ascii="仿宋_GB2312" w:hAnsi="仿宋_GB2312" w:eastAsia="仿宋_GB2312" w:cs="仿宋_GB2312"/>
          <w:color w:val="auto"/>
          <w:kern w:val="2"/>
          <w:szCs w:val="22"/>
          <w:lang w:bidi="ar-SA"/>
        </w:rPr>
        <w:t>到2030年，战略性新兴产业</w:t>
      </w:r>
      <w:r>
        <w:rPr>
          <w:rFonts w:hint="eastAsia" w:ascii="仿宋_GB2312" w:hAnsi="仿宋_GB2312" w:eastAsia="仿宋_GB2312" w:cs="仿宋_GB2312"/>
          <w:color w:val="auto"/>
          <w:kern w:val="2"/>
          <w:szCs w:val="22"/>
          <w:lang w:eastAsia="zh-CN" w:bidi="ar-SA"/>
        </w:rPr>
        <w:t>增加值</w:t>
      </w:r>
      <w:r>
        <w:rPr>
          <w:rFonts w:hint="eastAsia" w:ascii="仿宋_GB2312" w:hAnsi="仿宋_GB2312" w:eastAsia="仿宋_GB2312" w:cs="仿宋_GB2312"/>
          <w:color w:val="auto"/>
          <w:kern w:val="2"/>
          <w:szCs w:val="22"/>
          <w:lang w:bidi="ar-SA"/>
        </w:rPr>
        <w:t>占</w:t>
      </w:r>
      <w:r>
        <w:rPr>
          <w:rFonts w:hint="eastAsia" w:ascii="仿宋_GB2312" w:hAnsi="仿宋_GB2312" w:eastAsia="仿宋_GB2312" w:cs="仿宋_GB2312"/>
          <w:color w:val="auto"/>
          <w:kern w:val="2"/>
          <w:szCs w:val="22"/>
          <w:lang w:val="en-US" w:eastAsia="zh-CN" w:bidi="ar-SA"/>
        </w:rPr>
        <w:t>地区</w:t>
      </w:r>
      <w:r>
        <w:rPr>
          <w:rFonts w:hint="eastAsia" w:ascii="仿宋_GB2312" w:hAnsi="仿宋_GB2312" w:eastAsia="仿宋_GB2312" w:cs="仿宋_GB2312"/>
          <w:color w:val="auto"/>
          <w:kern w:val="2"/>
          <w:szCs w:val="22"/>
          <w:lang w:bidi="ar-SA"/>
        </w:rPr>
        <w:t>生产总值比重超46.5%。经济增长新动能更加强劲，</w:t>
      </w:r>
      <w:r>
        <w:rPr>
          <w:rFonts w:hint="eastAsia" w:ascii="仿宋_GB2312" w:hAnsi="仿宋_GB2312" w:eastAsia="仿宋_GB2312" w:cs="仿宋_GB2312"/>
          <w:color w:val="auto"/>
          <w:kern w:val="2"/>
          <w:szCs w:val="22"/>
          <w:lang w:val="en-US" w:eastAsia="zh-CN" w:bidi="ar-SA"/>
        </w:rPr>
        <w:t>数字</w:t>
      </w:r>
      <w:r>
        <w:rPr>
          <w:rFonts w:hint="eastAsia" w:ascii="仿宋_GB2312" w:hAnsi="仿宋_GB2312" w:eastAsia="仿宋_GB2312" w:cs="仿宋_GB2312"/>
          <w:color w:val="auto"/>
          <w:kern w:val="2"/>
          <w:szCs w:val="22"/>
          <w:lang w:bidi="ar-SA"/>
        </w:rPr>
        <w:t>经济产业能力不断夯实，产业规模实现新跨越。</w:t>
      </w:r>
    </w:p>
    <w:p>
      <w:pPr>
        <w:rPr>
          <w:rFonts w:hint="eastAsia" w:ascii="仿宋_GB2312" w:hAnsi="仿宋_GB2312" w:eastAsia="仿宋_GB2312" w:cs="仿宋_GB2312"/>
          <w:color w:val="auto"/>
          <w:kern w:val="2"/>
          <w:szCs w:val="22"/>
          <w:lang w:bidi="ar-SA"/>
        </w:rPr>
      </w:pPr>
      <w:r>
        <w:rPr>
          <w:rFonts w:hint="eastAsia"/>
          <w:b/>
          <w:bCs/>
          <w:color w:val="auto"/>
          <w:kern w:val="2"/>
          <w:szCs w:val="22"/>
          <w:lang w:bidi="ar-SA"/>
        </w:rPr>
        <w:t>创新引领力显著提升。</w:t>
      </w:r>
      <w:r>
        <w:rPr>
          <w:rFonts w:hint="eastAsia" w:ascii="仿宋_GB2312" w:hAnsi="仿宋_GB2312" w:eastAsia="仿宋_GB2312" w:cs="仿宋_GB2312"/>
          <w:color w:val="auto"/>
          <w:kern w:val="2"/>
          <w:sz w:val="32"/>
          <w:szCs w:val="22"/>
          <w:shd w:val="clear" w:color="auto" w:fill="auto"/>
          <w:lang w:bidi="ar-SA"/>
        </w:rPr>
        <w:t>高标准高水平创新载体不断丰富，一批关键核心技术取得重要突破，</w:t>
      </w:r>
      <w:r>
        <w:rPr>
          <w:rFonts w:hint="eastAsia" w:ascii="仿宋_GB2312" w:hAnsi="仿宋_GB2312" w:eastAsia="仿宋_GB2312" w:cs="仿宋_GB2312"/>
          <w:color w:val="auto"/>
          <w:kern w:val="2"/>
          <w:szCs w:val="22"/>
          <w:lang w:bidi="ar-SA"/>
        </w:rPr>
        <w:t>到2030年，全社会研发投入比重提升至6.0%，每万人高价值发明专利拥有量达到38件，彰显龙华工业创新硬实力。</w:t>
      </w:r>
    </w:p>
    <w:p>
      <w:pPr>
        <w:rPr>
          <w:rFonts w:hint="eastAsia" w:ascii="仿宋_GB2312" w:hAnsi="仿宋_GB2312" w:eastAsia="仿宋_GB2312" w:cs="仿宋_GB2312"/>
          <w:color w:val="auto"/>
          <w:kern w:val="2"/>
          <w:szCs w:val="22"/>
          <w:lang w:bidi="ar-SA"/>
        </w:rPr>
      </w:pPr>
      <w:r>
        <w:rPr>
          <w:rFonts w:hint="eastAsia"/>
          <w:b/>
          <w:bCs/>
          <w:color w:val="auto"/>
          <w:kern w:val="2"/>
          <w:szCs w:val="22"/>
          <w:lang w:bidi="ar-SA"/>
        </w:rPr>
        <w:t>企业竞争力持续增强。</w:t>
      </w:r>
      <w:r>
        <w:rPr>
          <w:rFonts w:hint="eastAsia" w:ascii="仿宋_GB2312" w:hAnsi="仿宋_GB2312" w:eastAsia="仿宋_GB2312" w:cs="仿宋_GB2312"/>
          <w:b w:val="0"/>
          <w:bCs w:val="0"/>
          <w:color w:val="auto"/>
          <w:kern w:val="2"/>
          <w:szCs w:val="22"/>
          <w:lang w:bidi="ar-SA"/>
        </w:rPr>
        <w:t>市场主体</w:t>
      </w:r>
      <w:r>
        <w:rPr>
          <w:rFonts w:hint="eastAsia" w:ascii="仿宋_GB2312" w:hAnsi="仿宋_GB2312" w:eastAsia="仿宋_GB2312" w:cs="仿宋_GB2312"/>
          <w:color w:val="auto"/>
          <w:kern w:val="2"/>
          <w:szCs w:val="22"/>
          <w:lang w:bidi="ar-SA"/>
        </w:rPr>
        <w:t>活力显著提升，各类企业蓬勃发展，建立一支竞争优势突出的制造业优质企业队伍。到2030年，规模以上工业企业达2360家，国家高新技术企业突破4600家，累计培育国家级专精特新“小巨人”企业300家，构建起以龙头企业为引领、中小企业协同发展的良好产业生态。</w:t>
      </w:r>
    </w:p>
    <w:p>
      <w:pPr>
        <w:rPr>
          <w:rFonts w:hint="default"/>
          <w:color w:val="auto"/>
          <w:kern w:val="0"/>
          <w:szCs w:val="32"/>
          <w:lang w:bidi="ar-SA"/>
        </w:rPr>
      </w:pPr>
    </w:p>
    <w:p>
      <w:pPr>
        <w:rPr>
          <w:rFonts w:hint="default"/>
          <w:color w:val="auto"/>
          <w:kern w:val="0"/>
          <w:szCs w:val="32"/>
          <w:lang w:bidi="ar-SA"/>
        </w:rPr>
      </w:pPr>
    </w:p>
    <w:p>
      <w:pPr>
        <w:rPr>
          <w:rFonts w:hint="default"/>
          <w:color w:val="auto"/>
          <w:kern w:val="0"/>
          <w:szCs w:val="32"/>
          <w:lang w:bidi="ar-SA"/>
        </w:rPr>
      </w:pPr>
    </w:p>
    <w:p>
      <w:pPr>
        <w:spacing w:before="156" w:beforeLines="50" w:after="156" w:afterLines="50" w:line="240" w:lineRule="auto"/>
        <w:ind w:firstLine="0" w:firstLineChars="0"/>
        <w:jc w:val="center"/>
        <w:rPr>
          <w:rFonts w:hint="eastAsia" w:ascii="黑体" w:hAnsi="黑体" w:eastAsia="黑体" w:cs="黑体"/>
          <w:color w:val="auto"/>
          <w:sz w:val="24"/>
          <w:szCs w:val="20"/>
        </w:rPr>
      </w:pPr>
      <w:r>
        <w:rPr>
          <w:rFonts w:hint="eastAsia" w:ascii="黑体" w:hAnsi="黑体" w:eastAsia="黑体" w:cs="黑体"/>
          <w:color w:val="auto"/>
          <w:sz w:val="24"/>
          <w:szCs w:val="20"/>
        </w:rPr>
        <w:t>表</w:t>
      </w:r>
      <w:r>
        <w:rPr>
          <w:rFonts w:hint="eastAsia" w:ascii="黑体" w:hAnsi="黑体" w:eastAsia="黑体" w:cs="黑体"/>
          <w:color w:val="auto"/>
          <w:sz w:val="24"/>
          <w:szCs w:val="20"/>
          <w:lang w:val="en-US" w:eastAsia="zh-CN"/>
        </w:rPr>
        <w:t>1</w:t>
      </w:r>
      <w:r>
        <w:rPr>
          <w:rFonts w:hint="eastAsia" w:ascii="黑体" w:hAnsi="黑体" w:eastAsia="黑体" w:cs="黑体"/>
          <w:color w:val="auto"/>
          <w:sz w:val="24"/>
          <w:szCs w:val="20"/>
        </w:rPr>
        <w:t xml:space="preserve"> 龙华区工业</w:t>
      </w:r>
      <w:r>
        <w:rPr>
          <w:rFonts w:hint="eastAsia" w:ascii="黑体" w:hAnsi="黑体" w:eastAsia="黑体" w:cs="黑体"/>
          <w:color w:val="auto"/>
          <w:sz w:val="24"/>
          <w:szCs w:val="20"/>
          <w:lang w:val="en-US" w:eastAsia="zh-CN"/>
        </w:rPr>
        <w:t>经济</w:t>
      </w:r>
      <w:r>
        <w:rPr>
          <w:rFonts w:hint="eastAsia" w:ascii="黑体" w:hAnsi="黑体" w:eastAsia="黑体" w:cs="黑体"/>
          <w:color w:val="auto"/>
          <w:sz w:val="24"/>
          <w:szCs w:val="20"/>
        </w:rPr>
        <w:t>“十五五”指标体系</w:t>
      </w:r>
    </w:p>
    <w:tbl>
      <w:tblPr>
        <w:tblStyle w:val="16"/>
        <w:tblW w:w="4996" w:type="pct"/>
        <w:tblInd w:w="0" w:type="dxa"/>
        <w:tblLayout w:type="fixed"/>
        <w:tblCellMar>
          <w:top w:w="0" w:type="dxa"/>
          <w:left w:w="108" w:type="dxa"/>
          <w:bottom w:w="0" w:type="dxa"/>
          <w:right w:w="108" w:type="dxa"/>
        </w:tblCellMar>
      </w:tblPr>
      <w:tblGrid>
        <w:gridCol w:w="843"/>
        <w:gridCol w:w="4672"/>
        <w:gridCol w:w="1961"/>
        <w:gridCol w:w="1691"/>
      </w:tblGrid>
      <w:tr>
        <w:tblPrEx>
          <w:tblCellMar>
            <w:top w:w="0" w:type="dxa"/>
            <w:left w:w="108" w:type="dxa"/>
            <w:bottom w:w="0" w:type="dxa"/>
            <w:right w:w="108" w:type="dxa"/>
          </w:tblCellMar>
        </w:tblPrEx>
        <w:trPr>
          <w:trHeight w:val="489" w:hRule="atLeast"/>
          <w:tblHeader/>
        </w:trPr>
        <w:tc>
          <w:tcPr>
            <w:tcW w:w="4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黑体" w:hAnsi="黑体" w:eastAsia="黑体" w:cs="黑体"/>
                <w:color w:val="auto"/>
                <w:sz w:val="24"/>
                <w:szCs w:val="24"/>
              </w:rPr>
            </w:pPr>
            <w:r>
              <w:rPr>
                <w:rFonts w:hint="eastAsia" w:ascii="黑体" w:hAnsi="黑体" w:eastAsia="黑体" w:cs="黑体"/>
                <w:color w:val="auto"/>
                <w:sz w:val="24"/>
                <w:szCs w:val="24"/>
                <w:lang w:bidi="ar"/>
              </w:rPr>
              <w:t>序号</w:t>
            </w:r>
          </w:p>
        </w:tc>
        <w:tc>
          <w:tcPr>
            <w:tcW w:w="254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黑体" w:hAnsi="黑体" w:eastAsia="黑体" w:cs="黑体"/>
                <w:color w:val="auto"/>
                <w:sz w:val="24"/>
                <w:szCs w:val="24"/>
              </w:rPr>
            </w:pPr>
            <w:r>
              <w:rPr>
                <w:rFonts w:hint="eastAsia" w:ascii="黑体" w:hAnsi="黑体" w:eastAsia="黑体" w:cs="黑体"/>
                <w:color w:val="auto"/>
                <w:sz w:val="24"/>
                <w:szCs w:val="24"/>
                <w:lang w:bidi="ar"/>
              </w:rPr>
              <w:t>指标名称</w:t>
            </w:r>
          </w:p>
        </w:tc>
        <w:tc>
          <w:tcPr>
            <w:tcW w:w="106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黑体" w:hAnsi="黑体" w:eastAsia="黑体" w:cs="黑体"/>
                <w:color w:val="auto"/>
                <w:sz w:val="24"/>
                <w:szCs w:val="24"/>
                <w:lang w:val="en-US" w:eastAsia="zh-CN"/>
              </w:rPr>
            </w:pPr>
            <w:r>
              <w:rPr>
                <w:rFonts w:hint="eastAsia" w:ascii="黑体" w:hAnsi="黑体" w:eastAsia="黑体" w:cs="黑体"/>
                <w:color w:val="auto"/>
                <w:sz w:val="24"/>
                <w:szCs w:val="24"/>
                <w:lang w:val="en-US" w:eastAsia="zh-CN" w:bidi="ar"/>
              </w:rPr>
              <w:t>指标属性</w:t>
            </w:r>
          </w:p>
        </w:tc>
        <w:tc>
          <w:tcPr>
            <w:tcW w:w="92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黑体" w:hAnsi="黑体" w:eastAsia="黑体" w:cs="黑体"/>
                <w:color w:val="auto"/>
                <w:sz w:val="24"/>
                <w:szCs w:val="24"/>
              </w:rPr>
            </w:pPr>
            <w:r>
              <w:rPr>
                <w:rFonts w:hint="eastAsia" w:ascii="黑体" w:hAnsi="黑体" w:eastAsia="黑体" w:cs="黑体"/>
                <w:color w:val="auto"/>
                <w:sz w:val="24"/>
                <w:szCs w:val="24"/>
                <w:lang w:bidi="ar"/>
              </w:rPr>
              <w:t>2030年目标值</w:t>
            </w:r>
          </w:p>
        </w:tc>
      </w:tr>
      <w:tr>
        <w:tblPrEx>
          <w:tblCellMar>
            <w:top w:w="0" w:type="dxa"/>
            <w:left w:w="108" w:type="dxa"/>
            <w:bottom w:w="0" w:type="dxa"/>
            <w:right w:w="108" w:type="dxa"/>
          </w:tblCellMar>
        </w:tblPrEx>
        <w:trPr>
          <w:trHeight w:val="482" w:hRule="atLeast"/>
        </w:trPr>
        <w:tc>
          <w:tcPr>
            <w:tcW w:w="4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1</w:t>
            </w:r>
          </w:p>
        </w:tc>
        <w:tc>
          <w:tcPr>
            <w:tcW w:w="2548"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规模以上工业总产值（亿元）</w:t>
            </w:r>
          </w:p>
        </w:tc>
        <w:tc>
          <w:tcPr>
            <w:tcW w:w="1069"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highlight w:val="none"/>
                <w:lang w:val="en-US" w:eastAsia="zh-CN" w:bidi="ar"/>
              </w:rPr>
              <w:t>预期性</w:t>
            </w:r>
          </w:p>
        </w:tc>
        <w:tc>
          <w:tcPr>
            <w:tcW w:w="922"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10000</w:t>
            </w:r>
          </w:p>
        </w:tc>
      </w:tr>
      <w:tr>
        <w:tblPrEx>
          <w:tblCellMar>
            <w:top w:w="0" w:type="dxa"/>
            <w:left w:w="108" w:type="dxa"/>
            <w:bottom w:w="0" w:type="dxa"/>
            <w:right w:w="108" w:type="dxa"/>
          </w:tblCellMar>
        </w:tblPrEx>
        <w:trPr>
          <w:trHeight w:val="482" w:hRule="atLeast"/>
        </w:trPr>
        <w:tc>
          <w:tcPr>
            <w:tcW w:w="4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color w:val="auto"/>
                <w:sz w:val="24"/>
                <w:szCs w:val="24"/>
                <w:lang w:eastAsia="zh-CN"/>
              </w:rPr>
            </w:pPr>
            <w:r>
              <w:rPr>
                <w:rFonts w:hint="eastAsia" w:ascii="仿宋_GB2312" w:hAnsi="仿宋_GB2312" w:cs="仿宋_GB2312"/>
                <w:color w:val="auto"/>
                <w:sz w:val="24"/>
                <w:szCs w:val="24"/>
                <w:lang w:val="en-US" w:eastAsia="zh-CN" w:bidi="ar"/>
              </w:rPr>
              <w:t>2</w:t>
            </w:r>
          </w:p>
        </w:tc>
        <w:tc>
          <w:tcPr>
            <w:tcW w:w="2548"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战略性新兴产业增加值占</w:t>
            </w:r>
            <w:r>
              <w:rPr>
                <w:rFonts w:hint="eastAsia" w:ascii="仿宋_GB2312" w:hAnsi="仿宋_GB2312" w:cs="仿宋_GB2312"/>
                <w:color w:val="auto"/>
                <w:sz w:val="24"/>
                <w:szCs w:val="24"/>
                <w:lang w:val="en-US" w:eastAsia="zh-CN" w:bidi="ar"/>
              </w:rPr>
              <w:t>地区</w:t>
            </w:r>
            <w:r>
              <w:rPr>
                <w:rFonts w:hint="eastAsia" w:ascii="仿宋_GB2312" w:hAnsi="仿宋_GB2312" w:cs="仿宋_GB2312"/>
                <w:color w:val="auto"/>
                <w:sz w:val="24"/>
                <w:szCs w:val="24"/>
                <w:lang w:bidi="ar"/>
              </w:rPr>
              <w:t>生产总值比重（%）</w:t>
            </w:r>
          </w:p>
        </w:tc>
        <w:tc>
          <w:tcPr>
            <w:tcW w:w="1069"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highlight w:val="none"/>
                <w:lang w:val="en-US" w:eastAsia="zh-CN" w:bidi="ar"/>
              </w:rPr>
              <w:t>预期性</w:t>
            </w:r>
          </w:p>
        </w:tc>
        <w:tc>
          <w:tcPr>
            <w:tcW w:w="922"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46.5%</w:t>
            </w:r>
          </w:p>
        </w:tc>
      </w:tr>
      <w:tr>
        <w:tblPrEx>
          <w:tblCellMar>
            <w:top w:w="0" w:type="dxa"/>
            <w:left w:w="108" w:type="dxa"/>
            <w:bottom w:w="0" w:type="dxa"/>
            <w:right w:w="108" w:type="dxa"/>
          </w:tblCellMar>
        </w:tblPrEx>
        <w:trPr>
          <w:trHeight w:val="651" w:hRule="atLeast"/>
        </w:trPr>
        <w:tc>
          <w:tcPr>
            <w:tcW w:w="4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color w:val="auto"/>
                <w:sz w:val="24"/>
                <w:szCs w:val="24"/>
                <w:lang w:val="en-US" w:eastAsia="zh-CN" w:bidi="ar"/>
              </w:rPr>
            </w:pPr>
            <w:r>
              <w:rPr>
                <w:rFonts w:hint="eastAsia" w:ascii="仿宋_GB2312" w:hAnsi="仿宋_GB2312" w:cs="仿宋_GB2312"/>
                <w:color w:val="auto"/>
                <w:sz w:val="24"/>
                <w:szCs w:val="24"/>
                <w:lang w:val="en-US" w:eastAsia="zh-CN" w:bidi="ar"/>
              </w:rPr>
              <w:t>3</w:t>
            </w:r>
          </w:p>
        </w:tc>
        <w:tc>
          <w:tcPr>
            <w:tcW w:w="2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snapToGrid/>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eastAsia="zh-CN" w:bidi="ar"/>
              </w:rPr>
              <w:t>数</w:t>
            </w:r>
            <w:r>
              <w:rPr>
                <w:rFonts w:hint="eastAsia" w:ascii="仿宋_GB2312" w:hAnsi="仿宋_GB2312" w:cs="仿宋_GB2312"/>
                <w:color w:val="auto"/>
                <w:kern w:val="0"/>
                <w:sz w:val="24"/>
                <w:szCs w:val="24"/>
                <w:lang w:val="en-US" w:eastAsia="zh-CN" w:bidi="ar"/>
              </w:rPr>
              <w:t>字</w:t>
            </w:r>
            <w:r>
              <w:rPr>
                <w:rFonts w:hint="eastAsia" w:ascii="仿宋_GB2312" w:hAnsi="仿宋_GB2312" w:eastAsia="仿宋_GB2312" w:cs="仿宋_GB2312"/>
                <w:color w:val="auto"/>
                <w:kern w:val="0"/>
                <w:sz w:val="24"/>
                <w:szCs w:val="24"/>
                <w:lang w:eastAsia="zh-CN" w:bidi="ar"/>
              </w:rPr>
              <w:t>经济</w:t>
            </w:r>
            <w:r>
              <w:rPr>
                <w:rFonts w:hint="eastAsia" w:ascii="仿宋_GB2312" w:hAnsi="仿宋_GB2312" w:eastAsia="仿宋_GB2312" w:cs="仿宋_GB2312"/>
                <w:color w:val="auto"/>
                <w:kern w:val="0"/>
                <w:sz w:val="24"/>
                <w:szCs w:val="24"/>
                <w:lang w:bidi="ar"/>
              </w:rPr>
              <w:t>核心产业总产出（亿元）</w:t>
            </w:r>
          </w:p>
        </w:tc>
        <w:tc>
          <w:tcPr>
            <w:tcW w:w="10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snapToGrid/>
              <w:spacing w:before="0" w:beforeAutospacing="0" w:after="0" w:afterAutospacing="0" w:line="240" w:lineRule="auto"/>
              <w:ind w:left="0" w:right="0" w:firstLine="0" w:firstLineChars="0"/>
              <w:jc w:val="center"/>
              <w:textAlignment w:val="center"/>
              <w:rPr>
                <w:rFonts w:hint="default" w:ascii="仿宋_GB2312" w:hAnsi="仿宋_GB2312" w:eastAsia="仿宋_GB2312" w:cs="仿宋_GB2312"/>
                <w:color w:val="auto"/>
                <w:kern w:val="0"/>
                <w:sz w:val="24"/>
                <w:szCs w:val="24"/>
                <w:lang w:val="en-US" w:eastAsia="zh-CN" w:bidi="ar"/>
              </w:rPr>
            </w:pPr>
            <w:r>
              <w:rPr>
                <w:rFonts w:hint="eastAsia" w:ascii="仿宋_GB2312" w:hAnsi="仿宋_GB2312" w:cs="仿宋_GB2312"/>
                <w:color w:val="auto"/>
                <w:sz w:val="24"/>
                <w:szCs w:val="24"/>
                <w:highlight w:val="none"/>
                <w:lang w:val="en-US" w:eastAsia="zh-CN" w:bidi="ar"/>
              </w:rPr>
              <w:t>预期性</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snapToGrid/>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10000</w:t>
            </w:r>
          </w:p>
        </w:tc>
      </w:tr>
      <w:tr>
        <w:tblPrEx>
          <w:tblCellMar>
            <w:top w:w="0" w:type="dxa"/>
            <w:left w:w="108" w:type="dxa"/>
            <w:bottom w:w="0" w:type="dxa"/>
            <w:right w:w="108" w:type="dxa"/>
          </w:tblCellMar>
        </w:tblPrEx>
        <w:trPr>
          <w:trHeight w:val="651" w:hRule="atLeast"/>
        </w:trPr>
        <w:tc>
          <w:tcPr>
            <w:tcW w:w="4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color w:val="auto"/>
                <w:sz w:val="24"/>
                <w:szCs w:val="24"/>
                <w:lang w:eastAsia="zh-CN"/>
              </w:rPr>
            </w:pPr>
            <w:r>
              <w:rPr>
                <w:rFonts w:hint="eastAsia" w:ascii="仿宋_GB2312" w:hAnsi="仿宋_GB2312" w:cs="仿宋_GB2312"/>
                <w:color w:val="auto"/>
                <w:sz w:val="24"/>
                <w:szCs w:val="24"/>
                <w:lang w:val="en-US" w:eastAsia="zh-CN" w:bidi="ar"/>
              </w:rPr>
              <w:t>4</w:t>
            </w:r>
          </w:p>
        </w:tc>
        <w:tc>
          <w:tcPr>
            <w:tcW w:w="2548"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val="en-US" w:eastAsia="zh-CN" w:bidi="ar"/>
              </w:rPr>
              <w:t>数字</w:t>
            </w:r>
            <w:r>
              <w:rPr>
                <w:rFonts w:hint="eastAsia" w:ascii="仿宋_GB2312" w:hAnsi="仿宋_GB2312" w:cs="仿宋_GB2312"/>
                <w:color w:val="auto"/>
                <w:sz w:val="24"/>
                <w:szCs w:val="24"/>
                <w:lang w:bidi="ar"/>
              </w:rPr>
              <w:t>经济</w:t>
            </w:r>
            <w:r>
              <w:rPr>
                <w:rFonts w:hint="eastAsia" w:ascii="仿宋_GB2312" w:hAnsi="仿宋_GB2312" w:cs="仿宋_GB2312"/>
                <w:color w:val="auto"/>
                <w:sz w:val="24"/>
                <w:szCs w:val="24"/>
                <w:lang w:val="en-US" w:eastAsia="zh-CN" w:bidi="ar"/>
              </w:rPr>
              <w:t>核心产业增加值占地区生产总值比重</w:t>
            </w:r>
            <w:r>
              <w:rPr>
                <w:rFonts w:hint="eastAsia" w:ascii="仿宋_GB2312" w:hAnsi="仿宋_GB2312" w:cs="仿宋_GB2312"/>
                <w:color w:val="auto"/>
                <w:sz w:val="24"/>
                <w:szCs w:val="24"/>
                <w:lang w:bidi="ar"/>
              </w:rPr>
              <w:t>（</w:t>
            </w:r>
            <w:r>
              <w:rPr>
                <w:rFonts w:hint="eastAsia" w:ascii="仿宋_GB2312" w:hAnsi="仿宋_GB2312" w:cs="仿宋_GB2312"/>
                <w:color w:val="auto"/>
                <w:sz w:val="24"/>
                <w:szCs w:val="24"/>
                <w:lang w:val="en-US" w:eastAsia="zh-CN" w:bidi="ar"/>
              </w:rPr>
              <w:t>%</w:t>
            </w:r>
            <w:r>
              <w:rPr>
                <w:rFonts w:hint="eastAsia" w:ascii="仿宋_GB2312" w:hAnsi="仿宋_GB2312" w:cs="仿宋_GB2312"/>
                <w:color w:val="auto"/>
                <w:sz w:val="24"/>
                <w:szCs w:val="24"/>
                <w:lang w:bidi="ar"/>
              </w:rPr>
              <w:t>）</w:t>
            </w:r>
          </w:p>
        </w:tc>
        <w:tc>
          <w:tcPr>
            <w:tcW w:w="1069"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highlight w:val="none"/>
                <w:lang w:val="en-US" w:eastAsia="zh-CN" w:bidi="ar"/>
              </w:rPr>
              <w:t>预期性</w:t>
            </w:r>
          </w:p>
        </w:tc>
        <w:tc>
          <w:tcPr>
            <w:tcW w:w="922"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bidi="ar"/>
              </w:rPr>
              <w:t>40%</w:t>
            </w:r>
          </w:p>
        </w:tc>
      </w:tr>
      <w:tr>
        <w:tblPrEx>
          <w:tblCellMar>
            <w:top w:w="0" w:type="dxa"/>
            <w:left w:w="108" w:type="dxa"/>
            <w:bottom w:w="0" w:type="dxa"/>
            <w:right w:w="108" w:type="dxa"/>
          </w:tblCellMar>
        </w:tblPrEx>
        <w:trPr>
          <w:trHeight w:val="482" w:hRule="atLeast"/>
        </w:trPr>
        <w:tc>
          <w:tcPr>
            <w:tcW w:w="4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color w:val="auto"/>
                <w:sz w:val="24"/>
                <w:szCs w:val="24"/>
                <w:lang w:eastAsia="zh-CN"/>
              </w:rPr>
            </w:pPr>
            <w:r>
              <w:rPr>
                <w:rFonts w:hint="eastAsia" w:ascii="仿宋_GB2312" w:hAnsi="仿宋_GB2312" w:cs="仿宋_GB2312"/>
                <w:color w:val="auto"/>
                <w:sz w:val="24"/>
                <w:szCs w:val="24"/>
                <w:lang w:val="en-US" w:eastAsia="zh-CN" w:bidi="ar"/>
              </w:rPr>
              <w:t>5</w:t>
            </w:r>
          </w:p>
        </w:tc>
        <w:tc>
          <w:tcPr>
            <w:tcW w:w="2548"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全社会研发投入占</w:t>
            </w:r>
            <w:r>
              <w:rPr>
                <w:rFonts w:hint="eastAsia" w:ascii="仿宋_GB2312" w:hAnsi="仿宋_GB2312" w:cs="仿宋_GB2312"/>
                <w:color w:val="auto"/>
                <w:sz w:val="24"/>
                <w:szCs w:val="24"/>
                <w:lang w:val="en-US" w:eastAsia="zh-CN" w:bidi="ar"/>
              </w:rPr>
              <w:t>地区</w:t>
            </w:r>
            <w:r>
              <w:rPr>
                <w:rFonts w:hint="eastAsia" w:ascii="仿宋_GB2312" w:hAnsi="仿宋_GB2312" w:cs="仿宋_GB2312"/>
                <w:color w:val="auto"/>
                <w:sz w:val="24"/>
                <w:szCs w:val="24"/>
                <w:lang w:bidi="ar"/>
              </w:rPr>
              <w:t>生产总值比重（%）</w:t>
            </w:r>
          </w:p>
        </w:tc>
        <w:tc>
          <w:tcPr>
            <w:tcW w:w="1069"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highlight w:val="none"/>
                <w:lang w:val="en-US" w:eastAsia="zh-CN" w:bidi="ar"/>
              </w:rPr>
              <w:t>预期性</w:t>
            </w:r>
          </w:p>
        </w:tc>
        <w:tc>
          <w:tcPr>
            <w:tcW w:w="922"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bidi="ar"/>
              </w:rPr>
              <w:t>6.0</w:t>
            </w:r>
            <w:r>
              <w:rPr>
                <w:rFonts w:hint="eastAsia" w:ascii="仿宋_GB2312" w:hAnsi="仿宋_GB2312" w:cs="仿宋_GB2312"/>
                <w:color w:val="auto"/>
                <w:sz w:val="24"/>
                <w:szCs w:val="24"/>
                <w:lang w:val="en-US" w:eastAsia="zh-CN" w:bidi="ar"/>
              </w:rPr>
              <w:t>%</w:t>
            </w:r>
          </w:p>
        </w:tc>
      </w:tr>
      <w:tr>
        <w:tblPrEx>
          <w:tblCellMar>
            <w:top w:w="0" w:type="dxa"/>
            <w:left w:w="108" w:type="dxa"/>
            <w:bottom w:w="0" w:type="dxa"/>
            <w:right w:w="108" w:type="dxa"/>
          </w:tblCellMar>
        </w:tblPrEx>
        <w:trPr>
          <w:trHeight w:val="482" w:hRule="atLeast"/>
        </w:trPr>
        <w:tc>
          <w:tcPr>
            <w:tcW w:w="4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bidi="ar"/>
              </w:rPr>
              <w:t>6</w:t>
            </w:r>
          </w:p>
        </w:tc>
        <w:tc>
          <w:tcPr>
            <w:tcW w:w="2548"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val="en-US" w:eastAsia="zh-CN" w:bidi="ar"/>
              </w:rPr>
              <w:t>市级以上各类</w:t>
            </w:r>
            <w:r>
              <w:rPr>
                <w:rFonts w:hint="eastAsia" w:ascii="仿宋_GB2312" w:hAnsi="仿宋_GB2312" w:cs="仿宋_GB2312"/>
                <w:color w:val="auto"/>
                <w:sz w:val="24"/>
                <w:szCs w:val="24"/>
                <w:lang w:bidi="ar"/>
              </w:rPr>
              <w:t>创新载体</w:t>
            </w:r>
            <w:r>
              <w:rPr>
                <w:rFonts w:hint="eastAsia" w:ascii="仿宋_GB2312" w:hAnsi="仿宋_GB2312" w:cs="仿宋_GB2312"/>
                <w:color w:val="auto"/>
                <w:sz w:val="24"/>
                <w:szCs w:val="24"/>
                <w:lang w:val="en-US" w:eastAsia="zh-CN" w:bidi="ar"/>
              </w:rPr>
              <w:t>建设</w:t>
            </w:r>
            <w:r>
              <w:rPr>
                <w:rFonts w:hint="eastAsia" w:ascii="仿宋_GB2312" w:hAnsi="仿宋_GB2312" w:cs="仿宋_GB2312"/>
                <w:color w:val="auto"/>
                <w:sz w:val="24"/>
                <w:szCs w:val="24"/>
                <w:lang w:bidi="ar"/>
              </w:rPr>
              <w:t>数量（个）</w:t>
            </w:r>
          </w:p>
        </w:tc>
        <w:tc>
          <w:tcPr>
            <w:tcW w:w="1069"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highlight w:val="none"/>
                <w:lang w:val="en-US" w:eastAsia="zh-CN" w:bidi="ar"/>
              </w:rPr>
              <w:t>预期性</w:t>
            </w:r>
          </w:p>
        </w:tc>
        <w:tc>
          <w:tcPr>
            <w:tcW w:w="922"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450</w:t>
            </w:r>
          </w:p>
        </w:tc>
      </w:tr>
      <w:tr>
        <w:tblPrEx>
          <w:tblCellMar>
            <w:top w:w="0" w:type="dxa"/>
            <w:left w:w="108" w:type="dxa"/>
            <w:bottom w:w="0" w:type="dxa"/>
            <w:right w:w="108" w:type="dxa"/>
          </w:tblCellMar>
        </w:tblPrEx>
        <w:trPr>
          <w:trHeight w:val="482" w:hRule="atLeast"/>
        </w:trPr>
        <w:tc>
          <w:tcPr>
            <w:tcW w:w="4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bidi="ar"/>
              </w:rPr>
              <w:t>7</w:t>
            </w:r>
          </w:p>
        </w:tc>
        <w:tc>
          <w:tcPr>
            <w:tcW w:w="2548"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每万人高价值发明专利拥有量（件）</w:t>
            </w:r>
          </w:p>
        </w:tc>
        <w:tc>
          <w:tcPr>
            <w:tcW w:w="1069"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highlight w:val="none"/>
                <w:lang w:val="en-US" w:eastAsia="zh-CN" w:bidi="ar"/>
              </w:rPr>
              <w:t>预期性</w:t>
            </w:r>
          </w:p>
        </w:tc>
        <w:tc>
          <w:tcPr>
            <w:tcW w:w="922"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38</w:t>
            </w:r>
          </w:p>
        </w:tc>
      </w:tr>
      <w:tr>
        <w:tblPrEx>
          <w:tblCellMar>
            <w:top w:w="0" w:type="dxa"/>
            <w:left w:w="108" w:type="dxa"/>
            <w:bottom w:w="0" w:type="dxa"/>
            <w:right w:w="108" w:type="dxa"/>
          </w:tblCellMar>
        </w:tblPrEx>
        <w:trPr>
          <w:trHeight w:val="482" w:hRule="atLeast"/>
        </w:trPr>
        <w:tc>
          <w:tcPr>
            <w:tcW w:w="4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color w:val="auto"/>
                <w:sz w:val="24"/>
                <w:szCs w:val="24"/>
                <w:lang w:eastAsia="zh-CN"/>
              </w:rPr>
            </w:pPr>
            <w:r>
              <w:rPr>
                <w:rFonts w:hint="eastAsia" w:ascii="仿宋_GB2312" w:hAnsi="仿宋_GB2312" w:cs="仿宋_GB2312"/>
                <w:color w:val="auto"/>
                <w:sz w:val="24"/>
                <w:szCs w:val="24"/>
                <w:lang w:val="en-US" w:eastAsia="zh-CN" w:bidi="ar"/>
              </w:rPr>
              <w:t>8</w:t>
            </w:r>
          </w:p>
        </w:tc>
        <w:tc>
          <w:tcPr>
            <w:tcW w:w="2548"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规模以上工业企业数（家）</w:t>
            </w:r>
          </w:p>
        </w:tc>
        <w:tc>
          <w:tcPr>
            <w:tcW w:w="1069"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color w:val="auto"/>
                <w:sz w:val="24"/>
                <w:szCs w:val="24"/>
                <w:lang w:eastAsia="zh-CN"/>
              </w:rPr>
            </w:pPr>
            <w:r>
              <w:rPr>
                <w:rFonts w:hint="eastAsia" w:ascii="仿宋_GB2312" w:hAnsi="仿宋_GB2312" w:cs="仿宋_GB2312"/>
                <w:color w:val="auto"/>
                <w:sz w:val="24"/>
                <w:szCs w:val="24"/>
                <w:highlight w:val="none"/>
                <w:lang w:val="en-US" w:eastAsia="zh-CN" w:bidi="ar"/>
              </w:rPr>
              <w:t>预期性</w:t>
            </w:r>
          </w:p>
        </w:tc>
        <w:tc>
          <w:tcPr>
            <w:tcW w:w="922"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2360</w:t>
            </w:r>
          </w:p>
        </w:tc>
      </w:tr>
      <w:tr>
        <w:tblPrEx>
          <w:tblCellMar>
            <w:top w:w="0" w:type="dxa"/>
            <w:left w:w="108" w:type="dxa"/>
            <w:bottom w:w="0" w:type="dxa"/>
            <w:right w:w="108" w:type="dxa"/>
          </w:tblCellMar>
        </w:tblPrEx>
        <w:trPr>
          <w:trHeight w:val="482" w:hRule="atLeast"/>
        </w:trPr>
        <w:tc>
          <w:tcPr>
            <w:tcW w:w="4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bidi="ar"/>
              </w:rPr>
              <w:t>9</w:t>
            </w:r>
          </w:p>
        </w:tc>
        <w:tc>
          <w:tcPr>
            <w:tcW w:w="2548"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国家高新技术企业数（家）</w:t>
            </w:r>
          </w:p>
        </w:tc>
        <w:tc>
          <w:tcPr>
            <w:tcW w:w="1069"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highlight w:val="none"/>
                <w:lang w:val="en-US" w:eastAsia="zh-CN" w:bidi="ar"/>
              </w:rPr>
              <w:t>预期性</w:t>
            </w:r>
          </w:p>
        </w:tc>
        <w:tc>
          <w:tcPr>
            <w:tcW w:w="922"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4600</w:t>
            </w:r>
          </w:p>
        </w:tc>
      </w:tr>
      <w:tr>
        <w:tblPrEx>
          <w:tblCellMar>
            <w:top w:w="0" w:type="dxa"/>
            <w:left w:w="108" w:type="dxa"/>
            <w:bottom w:w="0" w:type="dxa"/>
            <w:right w:w="108" w:type="dxa"/>
          </w:tblCellMar>
        </w:tblPrEx>
        <w:trPr>
          <w:trHeight w:val="482" w:hRule="atLeast"/>
        </w:trPr>
        <w:tc>
          <w:tcPr>
            <w:tcW w:w="4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bidi="ar"/>
              </w:rPr>
              <w:t>10</w:t>
            </w:r>
          </w:p>
        </w:tc>
        <w:tc>
          <w:tcPr>
            <w:tcW w:w="2548"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国家级专精特新“小巨人”企业数（家）</w:t>
            </w:r>
          </w:p>
        </w:tc>
        <w:tc>
          <w:tcPr>
            <w:tcW w:w="1069"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highlight w:val="none"/>
                <w:lang w:val="en-US" w:eastAsia="zh-CN" w:bidi="ar"/>
              </w:rPr>
              <w:t>预期性</w:t>
            </w:r>
          </w:p>
        </w:tc>
        <w:tc>
          <w:tcPr>
            <w:tcW w:w="922"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300</w:t>
            </w:r>
          </w:p>
        </w:tc>
      </w:tr>
      <w:tr>
        <w:tblPrEx>
          <w:tblCellMar>
            <w:top w:w="0" w:type="dxa"/>
            <w:left w:w="108" w:type="dxa"/>
            <w:bottom w:w="0" w:type="dxa"/>
            <w:right w:w="108" w:type="dxa"/>
          </w:tblCellMar>
        </w:tblPrEx>
        <w:trPr>
          <w:trHeight w:val="482" w:hRule="atLeast"/>
        </w:trPr>
        <w:tc>
          <w:tcPr>
            <w:tcW w:w="4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bidi="ar"/>
              </w:rPr>
              <w:t>11</w:t>
            </w:r>
          </w:p>
        </w:tc>
        <w:tc>
          <w:tcPr>
            <w:tcW w:w="2548"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制造业单项冠军企业数（家）</w:t>
            </w:r>
          </w:p>
        </w:tc>
        <w:tc>
          <w:tcPr>
            <w:tcW w:w="1069"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highlight w:val="none"/>
                <w:lang w:val="en-US" w:eastAsia="zh-CN" w:bidi="ar"/>
              </w:rPr>
              <w:t>预期性</w:t>
            </w:r>
          </w:p>
        </w:tc>
        <w:tc>
          <w:tcPr>
            <w:tcW w:w="922"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200</w:t>
            </w:r>
          </w:p>
        </w:tc>
      </w:tr>
      <w:bookmarkEnd w:id="89"/>
      <w:bookmarkEnd w:id="90"/>
      <w:bookmarkEnd w:id="91"/>
      <w:bookmarkEnd w:id="92"/>
      <w:bookmarkEnd w:id="93"/>
    </w:tbl>
    <w:p>
      <w:pPr>
        <w:pStyle w:val="24"/>
        <w:ind w:firstLine="640"/>
        <w:outlineLvl w:val="0"/>
        <w:rPr>
          <w:rFonts w:hint="eastAsia" w:ascii="黑体" w:hAnsi="黑体" w:eastAsia="黑体" w:cs="黑体"/>
          <w:color w:val="auto"/>
          <w:kern w:val="24"/>
        </w:rPr>
      </w:pPr>
      <w:bookmarkStart w:id="94" w:name="_Toc4687"/>
      <w:bookmarkStart w:id="95" w:name="_Toc30497"/>
      <w:bookmarkStart w:id="96" w:name="_Toc4660"/>
      <w:bookmarkStart w:id="97" w:name="_Toc29848"/>
      <w:bookmarkStart w:id="98" w:name="_Toc5443"/>
      <w:bookmarkStart w:id="99" w:name="_Toc21953"/>
      <w:bookmarkStart w:id="100" w:name="_Toc2038"/>
      <w:bookmarkStart w:id="101" w:name="_Toc20301"/>
      <w:bookmarkStart w:id="102" w:name="_Toc21908"/>
      <w:bookmarkStart w:id="103" w:name="_Toc6994"/>
      <w:bookmarkStart w:id="104" w:name="_Toc21668"/>
      <w:bookmarkStart w:id="105" w:name="_Toc19052"/>
      <w:bookmarkStart w:id="106" w:name="_Toc24264"/>
      <w:bookmarkStart w:id="107" w:name="_Toc23241"/>
      <w:bookmarkStart w:id="108" w:name="_Toc3177"/>
      <w:r>
        <w:rPr>
          <w:rFonts w:hint="eastAsia" w:ascii="黑体" w:hAnsi="黑体" w:eastAsia="黑体" w:cs="黑体"/>
          <w:color w:val="auto"/>
          <w:kern w:val="24"/>
        </w:rPr>
        <w:t>三、强化</w:t>
      </w:r>
      <w:r>
        <w:rPr>
          <w:rFonts w:hint="eastAsia" w:ascii="黑体" w:hAnsi="黑体" w:eastAsia="黑体" w:cs="黑体"/>
          <w:color w:val="auto"/>
          <w:kern w:val="24"/>
          <w:lang w:val="en-US" w:eastAsia="zh-CN"/>
        </w:rPr>
        <w:t>数智经济</w:t>
      </w:r>
      <w:r>
        <w:rPr>
          <w:rFonts w:hint="eastAsia" w:ascii="黑体" w:hAnsi="黑体" w:eastAsia="黑体" w:cs="黑体"/>
          <w:color w:val="auto"/>
          <w:kern w:val="24"/>
        </w:rPr>
        <w:t>核心引领</w:t>
      </w:r>
      <w:bookmarkEnd w:id="94"/>
      <w:bookmarkEnd w:id="95"/>
      <w:bookmarkEnd w:id="96"/>
      <w:bookmarkEnd w:id="97"/>
      <w:bookmarkEnd w:id="98"/>
      <w:bookmarkEnd w:id="99"/>
      <w:bookmarkEnd w:id="100"/>
      <w:bookmarkEnd w:id="101"/>
    </w:p>
    <w:bookmarkEnd w:id="102"/>
    <w:bookmarkEnd w:id="103"/>
    <w:p>
      <w:pPr>
        <w:outlineLvl w:val="1"/>
        <w:rPr>
          <w:rFonts w:hint="eastAsia" w:ascii="楷体_GB2312" w:hAnsi="楷体_GB2312" w:eastAsia="楷体_GB2312" w:cs="楷体_GB2312"/>
          <w:color w:val="auto"/>
          <w:lang w:val="en-US" w:eastAsia="zh-CN"/>
        </w:rPr>
      </w:pPr>
      <w:bookmarkStart w:id="109" w:name="_Toc8432"/>
      <w:bookmarkStart w:id="110" w:name="_Toc21619"/>
      <w:bookmarkStart w:id="111" w:name="_Toc28599"/>
      <w:bookmarkStart w:id="112" w:name="_Toc26628"/>
      <w:bookmarkStart w:id="113" w:name="_Toc21593"/>
      <w:bookmarkStart w:id="114" w:name="_Toc20245"/>
      <w:bookmarkStart w:id="115" w:name="_Toc25718"/>
      <w:bookmarkStart w:id="116" w:name="_Toc6341"/>
      <w:r>
        <w:rPr>
          <w:rFonts w:hint="eastAsia" w:ascii="楷体_GB2312" w:hAnsi="楷体_GB2312" w:eastAsia="楷体_GB2312" w:cs="楷体_GB2312"/>
          <w:color w:val="auto"/>
        </w:rPr>
        <w:t>（一）</w:t>
      </w:r>
      <w:r>
        <w:rPr>
          <w:rFonts w:hint="eastAsia" w:ascii="楷体_GB2312" w:hAnsi="楷体_GB2312" w:eastAsia="楷体_GB2312" w:cs="楷体_GB2312"/>
          <w:color w:val="auto"/>
          <w:lang w:val="en-US" w:eastAsia="zh-CN"/>
        </w:rPr>
        <w:t>筑牢</w:t>
      </w:r>
      <w:r>
        <w:rPr>
          <w:rFonts w:hint="eastAsia" w:ascii="楷体_GB2312" w:hAnsi="楷体_GB2312" w:eastAsia="楷体_GB2312" w:cs="楷体_GB2312"/>
          <w:color w:val="auto"/>
        </w:rPr>
        <w:t>人工智能</w:t>
      </w:r>
      <w:r>
        <w:rPr>
          <w:rFonts w:hint="eastAsia" w:ascii="楷体_GB2312" w:hAnsi="楷体_GB2312" w:eastAsia="楷体_GB2312" w:cs="楷体_GB2312"/>
          <w:color w:val="auto"/>
          <w:lang w:val="en-US" w:eastAsia="zh-CN"/>
        </w:rPr>
        <w:t>技术</w:t>
      </w:r>
      <w:r>
        <w:rPr>
          <w:rFonts w:hint="eastAsia" w:ascii="楷体_GB2312" w:hAnsi="楷体_GB2312" w:eastAsia="楷体_GB2312" w:cs="楷体_GB2312"/>
          <w:color w:val="auto"/>
        </w:rPr>
        <w:t>底座</w:t>
      </w:r>
      <w:bookmarkEnd w:id="109"/>
      <w:bookmarkEnd w:id="110"/>
      <w:bookmarkEnd w:id="111"/>
      <w:bookmarkEnd w:id="112"/>
      <w:bookmarkEnd w:id="113"/>
      <w:bookmarkEnd w:id="114"/>
      <w:bookmarkEnd w:id="115"/>
      <w:bookmarkEnd w:id="116"/>
    </w:p>
    <w:p>
      <w:pPr>
        <w:widowControl/>
        <w:ind w:firstLine="640"/>
        <w:outlineLvl w:val="9"/>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sz w:val="32"/>
          <w:szCs w:val="32"/>
        </w:rPr>
        <w:t>统筹推进智能芯片研发制造、算力平台枢纽建设和智能模型算法创新，打造“国产芯片—国产算力—国产模型”全栈闭环的人工智能技术底座。</w:t>
      </w:r>
      <w:r>
        <w:rPr>
          <w:rFonts w:hint="eastAsia" w:ascii="仿宋_GB2312" w:hAnsi="仿宋_GB2312" w:eastAsia="仿宋_GB2312" w:cs="仿宋_GB2312"/>
          <w:b/>
          <w:color w:val="auto"/>
          <w:sz w:val="32"/>
          <w:szCs w:val="32"/>
        </w:rPr>
        <w:t>加强底层技术攻关。</w:t>
      </w:r>
      <w:r>
        <w:rPr>
          <w:rFonts w:hint="eastAsia" w:ascii="仿宋_GB2312" w:hAnsi="仿宋_GB2312" w:eastAsia="仿宋_GB2312" w:cs="仿宋_GB2312"/>
          <w:color w:val="auto"/>
          <w:sz w:val="32"/>
          <w:szCs w:val="32"/>
        </w:rPr>
        <w:t>面向智能芯片、智能传感器、多模态算法等重点领域，</w:t>
      </w:r>
      <w:r>
        <w:rPr>
          <w:rFonts w:hint="eastAsia" w:ascii="仿宋_GB2312" w:hAnsi="仿宋_GB2312" w:eastAsia="仿宋_GB2312" w:cs="仿宋_GB2312"/>
          <w:color w:val="auto"/>
          <w:sz w:val="32"/>
          <w:szCs w:val="32"/>
          <w:lang w:val="en-US" w:eastAsia="zh-CN"/>
        </w:rPr>
        <w:t>建设</w:t>
      </w:r>
      <w:r>
        <w:rPr>
          <w:rFonts w:hint="eastAsia" w:ascii="仿宋_GB2312" w:hAnsi="仿宋_GB2312" w:eastAsia="仿宋_GB2312" w:cs="仿宋_GB2312"/>
          <w:color w:val="auto"/>
          <w:sz w:val="32"/>
          <w:szCs w:val="32"/>
        </w:rPr>
        <w:t>全球重要的“开源鸿蒙+RISC-V+AI”指令集生态源头。</w:t>
      </w:r>
      <w:r>
        <w:rPr>
          <w:rFonts w:hint="eastAsia" w:ascii="仿宋_GB2312" w:hAnsi="仿宋_GB2312" w:eastAsia="仿宋_GB2312" w:cs="仿宋_GB2312"/>
          <w:b/>
          <w:color w:val="auto"/>
          <w:sz w:val="32"/>
          <w:szCs w:val="32"/>
        </w:rPr>
        <w:t>提升国产算力供给</w:t>
      </w:r>
      <w:r>
        <w:rPr>
          <w:rFonts w:hint="eastAsia" w:ascii="仿宋_GB2312" w:hAnsi="仿宋_GB2312" w:eastAsia="仿宋_GB2312" w:cs="仿宋_GB2312"/>
          <w:color w:val="auto"/>
          <w:sz w:val="32"/>
          <w:szCs w:val="32"/>
        </w:rPr>
        <w:t>。建设万POPS算力规模的新型国产工业智算中心，开拓边缘智算站、液冷绿色中心、算力银行，打造湾区级算力平台枢纽。</w:t>
      </w:r>
      <w:r>
        <w:rPr>
          <w:rFonts w:hint="eastAsia" w:ascii="仿宋_GB2312" w:hAnsi="仿宋_GB2312" w:eastAsia="仿宋_GB2312" w:cs="仿宋_GB2312"/>
          <w:b/>
          <w:color w:val="auto"/>
          <w:sz w:val="32"/>
          <w:szCs w:val="32"/>
        </w:rPr>
        <w:t>强化大模型研究应用</w:t>
      </w:r>
      <w:r>
        <w:rPr>
          <w:rFonts w:hint="eastAsia" w:ascii="仿宋_GB2312" w:hAnsi="仿宋_GB2312" w:eastAsia="仿宋_GB2312" w:cs="仿宋_GB2312"/>
          <w:color w:val="auto"/>
          <w:sz w:val="32"/>
          <w:szCs w:val="32"/>
        </w:rPr>
        <w:t>。聚焦国产多模态通用模型研究应用，探索一站式输出“模型工厂”建设，拓展模型算法叠加高价值应用场景。</w:t>
      </w:r>
      <w:r>
        <w:rPr>
          <w:rFonts w:hint="eastAsia" w:ascii="仿宋_GB2312" w:hAnsi="仿宋_GB2312" w:eastAsia="仿宋_GB2312" w:cs="仿宋_GB2312"/>
          <w:b/>
          <w:color w:val="auto"/>
          <w:sz w:val="32"/>
          <w:szCs w:val="32"/>
        </w:rPr>
        <w:t>提升数据要素供给能力。</w:t>
      </w:r>
      <w:r>
        <w:rPr>
          <w:rFonts w:hint="eastAsia" w:ascii="仿宋_GB2312" w:hAnsi="仿宋_GB2312" w:eastAsia="仿宋_GB2312" w:cs="仿宋_GB2312"/>
          <w:color w:val="auto"/>
          <w:sz w:val="32"/>
          <w:szCs w:val="32"/>
        </w:rPr>
        <w:t>加强高质量数据集供给，打造特色行业语料库，鼓励企业基于自身积累数据及场景，形成高质量行业数据集并持续更新迭代。培育数据服务集群，积极引进培育一批数据商、第三方服务机构等数据服务企业。</w:t>
      </w:r>
      <w:r>
        <w:rPr>
          <w:rFonts w:hint="eastAsia" w:ascii="仿宋_GB2312" w:hAnsi="仿宋_GB2312" w:eastAsia="仿宋_GB2312" w:cs="仿宋_GB2312"/>
          <w:b/>
          <w:color w:val="auto"/>
          <w:sz w:val="32"/>
          <w:szCs w:val="32"/>
        </w:rPr>
        <w:t>高水平打造人工智能创新平台</w:t>
      </w:r>
      <w:r>
        <w:rPr>
          <w:rFonts w:hint="eastAsia" w:ascii="仿宋_GB2312" w:hAnsi="仿宋_GB2312" w:eastAsia="仿宋_GB2312" w:cs="仿宋_GB2312"/>
          <w:color w:val="auto"/>
          <w:sz w:val="32"/>
          <w:szCs w:val="32"/>
        </w:rPr>
        <w:t>。谋划布局人工智能应用场景联合研发平台、人工智能中试基地、人工智能训练场等公共平台。联合企业、高校和科研机构等，建设一批人工智能新型研发机构、联合创新中心、联合实验室。推动龙头企业建设智能语音平台、数据治理平台。</w:t>
      </w:r>
      <w:r>
        <w:rPr>
          <w:rFonts w:hint="eastAsia" w:ascii="仿宋_GB2312" w:hAnsi="仿宋_GB2312" w:eastAsia="仿宋_GB2312" w:cs="仿宋_GB2312"/>
          <w:color w:val="auto"/>
          <w:sz w:val="32"/>
          <w:szCs w:val="32"/>
          <w:lang w:bidi="ar"/>
        </w:rPr>
        <w:t>高标准建设人工智能OPC社区。</w:t>
      </w:r>
      <w:r>
        <w:rPr>
          <w:rFonts w:hint="eastAsia" w:ascii="仿宋_GB2312" w:hAnsi="仿宋_GB2312" w:eastAsia="仿宋_GB2312" w:cs="仿宋_GB2312"/>
          <w:b/>
          <w:color w:val="auto"/>
          <w:sz w:val="32"/>
          <w:szCs w:val="32"/>
        </w:rPr>
        <w:t>推进“AI+”赋能应用</w:t>
      </w:r>
      <w:r>
        <w:rPr>
          <w:rFonts w:hint="eastAsia" w:ascii="仿宋_GB2312" w:hAnsi="仿宋_GB2312" w:eastAsia="仿宋_GB2312" w:cs="仿宋_GB2312"/>
          <w:color w:val="auto"/>
          <w:sz w:val="32"/>
          <w:szCs w:val="32"/>
        </w:rPr>
        <w:t>。实施“工业AI赋能”试点工程，深耕工业应用场景。实施“场景开放”试点工程，抢占消费端应用新赛道。</w:t>
      </w:r>
      <w:r>
        <w:rPr>
          <w:rFonts w:hint="eastAsia" w:ascii="仿宋_GB2312" w:hAnsi="仿宋_GB2312" w:eastAsia="仿宋_GB2312" w:cs="仿宋_GB2312"/>
          <w:color w:val="auto"/>
          <w:sz w:val="32"/>
          <w:szCs w:val="32"/>
          <w:lang w:bidi="ar"/>
        </w:rPr>
        <w:t>探索建设成为“人工智能+千行百业”场景创新应用集聚区。</w:t>
      </w:r>
    </w:p>
    <w:p>
      <w:pPr>
        <w:outlineLvl w:val="1"/>
        <w:rPr>
          <w:color w:val="auto"/>
        </w:rPr>
      </w:pPr>
      <w:bookmarkStart w:id="117" w:name="_Toc11163"/>
      <w:bookmarkStart w:id="118" w:name="_Toc21637"/>
      <w:bookmarkStart w:id="119" w:name="_Toc15522"/>
      <w:bookmarkStart w:id="120" w:name="_Toc4682"/>
      <w:bookmarkStart w:id="121" w:name="_Toc21841"/>
      <w:bookmarkStart w:id="122" w:name="_Toc3726"/>
      <w:bookmarkStart w:id="123" w:name="_Toc5195"/>
      <w:bookmarkStart w:id="124" w:name="_Toc4650"/>
      <w:r>
        <w:rPr>
          <w:rFonts w:hint="eastAsia" w:ascii="楷体_GB2312" w:hAnsi="楷体_GB2312" w:eastAsia="楷体_GB2312" w:cs="楷体_GB2312"/>
          <w:color w:val="auto"/>
        </w:rPr>
        <w:t>（二）</w:t>
      </w:r>
      <w:r>
        <w:rPr>
          <w:rFonts w:hint="eastAsia" w:ascii="楷体_GB2312" w:hAnsi="楷体_GB2312" w:eastAsia="楷体_GB2312" w:cs="楷体_GB2312"/>
          <w:color w:val="auto"/>
          <w:lang w:val="en-US" w:eastAsia="zh-CN"/>
        </w:rPr>
        <w:t>打造泛</w:t>
      </w:r>
      <w:r>
        <w:rPr>
          <w:rFonts w:hint="eastAsia" w:ascii="楷体_GB2312" w:hAnsi="楷体_GB2312" w:eastAsia="楷体_GB2312" w:cs="楷体_GB2312"/>
          <w:color w:val="auto"/>
        </w:rPr>
        <w:t>终端</w:t>
      </w:r>
      <w:r>
        <w:rPr>
          <w:rFonts w:hint="eastAsia" w:ascii="楷体_GB2312" w:hAnsi="楷体_GB2312" w:eastAsia="楷体_GB2312" w:cs="楷体_GB2312"/>
          <w:color w:val="auto"/>
          <w:lang w:val="en-US" w:eastAsia="zh-CN"/>
        </w:rPr>
        <w:t>产业集群</w:t>
      </w:r>
      <w:bookmarkEnd w:id="117"/>
      <w:bookmarkEnd w:id="118"/>
      <w:bookmarkEnd w:id="119"/>
      <w:bookmarkEnd w:id="120"/>
      <w:bookmarkEnd w:id="121"/>
      <w:bookmarkEnd w:id="122"/>
      <w:bookmarkEnd w:id="123"/>
      <w:bookmarkEnd w:id="124"/>
    </w:p>
    <w:p>
      <w:pPr>
        <w:widowControl/>
        <w:outlineLvl w:val="2"/>
        <w:rPr>
          <w:rFonts w:hint="eastAsia"/>
          <w:b/>
          <w:bCs/>
          <w:color w:val="auto"/>
          <w:lang w:eastAsia="zh-CN"/>
        </w:rPr>
      </w:pPr>
      <w:r>
        <w:rPr>
          <w:rFonts w:hint="eastAsia"/>
          <w:b/>
          <w:bCs/>
          <w:color w:val="auto"/>
          <w:lang w:val="en-US" w:eastAsia="zh-CN"/>
        </w:rPr>
        <w:t>1</w:t>
      </w:r>
      <w:r>
        <w:rPr>
          <w:rFonts w:hint="eastAsia"/>
          <w:b/>
          <w:bCs/>
          <w:color w:val="auto"/>
        </w:rPr>
        <w:t>.</w:t>
      </w:r>
      <w:r>
        <w:rPr>
          <w:rFonts w:hint="eastAsia"/>
          <w:b/>
          <w:bCs/>
          <w:color w:val="auto"/>
          <w:lang w:val="en-US" w:eastAsia="zh-CN"/>
        </w:rPr>
        <w:t>巩固提升</w:t>
      </w:r>
      <w:r>
        <w:rPr>
          <w:rFonts w:hint="eastAsia"/>
          <w:b/>
          <w:bCs/>
          <w:color w:val="auto"/>
        </w:rPr>
        <w:t>智能终端</w:t>
      </w:r>
      <w:r>
        <w:rPr>
          <w:rFonts w:hint="eastAsia"/>
          <w:b/>
          <w:bCs/>
          <w:color w:val="auto"/>
          <w:lang w:val="en-US" w:eastAsia="zh-CN"/>
        </w:rPr>
        <w:t>发展优势</w:t>
      </w:r>
    </w:p>
    <w:p>
      <w:pPr>
        <w:widowControl/>
        <w:outlineLvl w:val="9"/>
        <w:rPr>
          <w:rFonts w:hint="eastAsia" w:ascii="仿宋_GB2312" w:hAnsi="仿宋_GB2312" w:eastAsia="仿宋_GB2312" w:cs="仿宋_GB2312"/>
          <w:color w:val="auto"/>
        </w:rPr>
      </w:pPr>
      <w:r>
        <w:rPr>
          <w:rFonts w:hint="eastAsia" w:ascii="仿宋_GB2312" w:hAnsi="仿宋_GB2312" w:eastAsia="仿宋_GB2312" w:cs="仿宋_GB2312"/>
          <w:color w:val="auto"/>
        </w:rPr>
        <w:t>重点围绕人工智能终端和上游国产替代构建自主</w:t>
      </w:r>
      <w:r>
        <w:rPr>
          <w:rFonts w:hint="eastAsia" w:ascii="仿宋_GB2312" w:hAnsi="仿宋_GB2312" w:eastAsia="仿宋_GB2312" w:cs="仿宋_GB2312"/>
          <w:color w:val="auto"/>
          <w:lang w:eastAsia="zh-CN"/>
        </w:rPr>
        <w:t>生态</w:t>
      </w:r>
      <w:r>
        <w:rPr>
          <w:rFonts w:hint="eastAsia" w:ascii="仿宋_GB2312" w:hAnsi="仿宋_GB2312" w:eastAsia="仿宋_GB2312" w:cs="仿宋_GB2312"/>
          <w:color w:val="auto"/>
        </w:rPr>
        <w:t>，争创国家级Mini PC中小企业特色产业集群，打造全国“智能制造+泛终端”集聚区。</w:t>
      </w:r>
      <w:r>
        <w:rPr>
          <w:rFonts w:hint="eastAsia" w:ascii="仿宋_GB2312" w:hAnsi="仿宋_GB2312" w:eastAsia="仿宋_GB2312" w:cs="仿宋_GB2312"/>
          <w:b/>
          <w:bCs/>
          <w:color w:val="auto"/>
        </w:rPr>
        <w:t>支持人工智能终端产品全生态发展</w:t>
      </w:r>
      <w:r>
        <w:rPr>
          <w:rFonts w:hint="eastAsia" w:ascii="仿宋_GB2312" w:hAnsi="仿宋_GB2312" w:eastAsia="仿宋_GB2312" w:cs="仿宋_GB2312"/>
          <w:color w:val="auto"/>
        </w:rPr>
        <w:t>。着力发展AI手机、AI眼镜等智能穿戴设备、Mini PC等AI PC、大模型一体机、工业终端、智能影像与全屋智能等人工智能终端整机产品，拓展AR/VR/MR设备、智能家居中控等多元化产品形态，提升产品供给能力与产品建设能力，打造人工智能终端产品矩阵。依托人工智能技术赋能，创新新型消费终端产品。大力发展智能原生技术、产品和服务体系，加快培育一批底层架构和运行逻辑基于人工智能的智能原生企业，探索全新商业模式，催生智能原生新业态。</w:t>
      </w:r>
      <w:r>
        <w:rPr>
          <w:rFonts w:hint="eastAsia" w:ascii="仿宋_GB2312" w:hAnsi="仿宋_GB2312" w:eastAsia="仿宋_GB2312" w:cs="仿宋_GB2312"/>
          <w:b/>
          <w:bCs/>
          <w:color w:val="auto"/>
        </w:rPr>
        <w:t>加强核心技术攻关。</w:t>
      </w:r>
      <w:r>
        <w:rPr>
          <w:rFonts w:hint="eastAsia" w:ascii="仿宋_GB2312" w:hAnsi="仿宋_GB2312" w:eastAsia="仿宋_GB2312" w:cs="仿宋_GB2312"/>
          <w:color w:val="auto"/>
        </w:rPr>
        <w:t>鼓励终端品牌企业加快突破关键核心技术，鼓励整机生产制造企业向生态型企业转型，鼓励企业加速全球布局。攻关人机交互与智能化关键技术，重点发展语音、视觉、触控多模态感知融合、低功耗高算力边缘AI芯片、情境感知引擎、端侧或端云协同大模型等核心技术。加快上游核心技术国产化替代，鼓励开展软硬件协同攻关，积极拥抱鸿蒙与RISC-V生态，联合终端企业、芯片企业和软件企业推动开源鸿蒙/RISC-V产业高质量发展，构建自主生态。</w:t>
      </w:r>
      <w:r>
        <w:rPr>
          <w:rFonts w:hint="eastAsia" w:ascii="仿宋_GB2312" w:hAnsi="仿宋_GB2312" w:eastAsia="仿宋_GB2312" w:cs="仿宋_GB2312"/>
          <w:b/>
          <w:bCs/>
          <w:color w:val="auto"/>
        </w:rPr>
        <w:t>深化智能终端应用场景落地。</w:t>
      </w:r>
      <w:r>
        <w:rPr>
          <w:rFonts w:hint="eastAsia" w:ascii="仿宋_GB2312" w:hAnsi="仿宋_GB2312" w:eastAsia="仿宋_GB2312" w:cs="仿宋_GB2312"/>
          <w:color w:val="auto"/>
        </w:rPr>
        <w:t>围绕工业检测、教育现代化、商业营销、智慧办公、智慧养老、文化旅游、智慧社区等场景，开放重点场景资源，支持终端企业进行产品测试、联合创新与规模应用示范，提升人工智能终端渗透率和社会价值。</w:t>
      </w:r>
    </w:p>
    <w:p>
      <w:pPr>
        <w:outlineLvl w:val="2"/>
        <w:rPr>
          <w:rFonts w:hint="eastAsia"/>
          <w:b/>
          <w:bCs/>
          <w:color w:val="auto"/>
          <w:kern w:val="24"/>
          <w:lang w:val="en-US" w:eastAsia="zh-CN"/>
        </w:rPr>
      </w:pPr>
      <w:r>
        <w:rPr>
          <w:rFonts w:hint="eastAsia"/>
          <w:b/>
          <w:bCs/>
          <w:color w:val="auto"/>
          <w:kern w:val="24"/>
          <w:lang w:val="en-US" w:eastAsia="zh-CN"/>
        </w:rPr>
        <w:t>2</w:t>
      </w:r>
      <w:r>
        <w:rPr>
          <w:rFonts w:hint="eastAsia"/>
          <w:b/>
          <w:bCs/>
          <w:color w:val="auto"/>
          <w:kern w:val="24"/>
        </w:rPr>
        <w:t>.</w:t>
      </w:r>
      <w:r>
        <w:rPr>
          <w:rFonts w:hint="eastAsia"/>
          <w:b/>
          <w:bCs/>
          <w:color w:val="auto"/>
          <w:kern w:val="24"/>
          <w:lang w:val="en-US" w:eastAsia="zh-CN"/>
        </w:rPr>
        <w:t>拓展新型网络与通信发展空间</w:t>
      </w:r>
    </w:p>
    <w:p>
      <w:pPr>
        <w:outlineLvl w:val="9"/>
        <w:rPr>
          <w:rFonts w:hint="eastAsia" w:ascii="仿宋_GB2312" w:hAnsi="仿宋_GB2312" w:eastAsia="仿宋_GB2312" w:cs="仿宋_GB2312"/>
          <w:b/>
          <w:bCs/>
          <w:color w:val="auto"/>
          <w:kern w:val="24"/>
        </w:rPr>
      </w:pPr>
      <w:r>
        <w:rPr>
          <w:rFonts w:hint="eastAsia" w:ascii="仿宋_GB2312" w:hAnsi="仿宋_GB2312" w:eastAsia="仿宋_GB2312" w:cs="仿宋_GB2312"/>
          <w:color w:val="auto"/>
          <w:kern w:val="24"/>
          <w:sz w:val="32"/>
          <w:szCs w:val="32"/>
          <w:lang w:val="en-US" w:eastAsia="zh-CN" w:bidi="th-TH"/>
        </w:rPr>
        <w:t>推动第五代移动通信增强型（5G-A）与第六代移动通信（6G）技术向纵深发展，攻坚高端芯片、关键器件等关键环节，加快“连接+算力”融合创新，全栈布局智能算力产业，积极拓展通信感知协同、星地融合等多元应用场景，打造成为全国领先的网络与通信产业创新发展高地。</w:t>
      </w:r>
      <w:r>
        <w:rPr>
          <w:rFonts w:hint="eastAsia" w:ascii="仿宋_GB2312" w:hAnsi="仿宋_GB2312" w:eastAsia="仿宋_GB2312" w:cs="仿宋_GB2312"/>
          <w:b/>
          <w:bCs/>
          <w:color w:val="auto"/>
          <w:kern w:val="24"/>
          <w:sz w:val="32"/>
          <w:szCs w:val="32"/>
          <w:lang w:val="en-US" w:eastAsia="zh-CN" w:bidi="th-TH"/>
        </w:rPr>
        <w:t>超前部署新一代通信网络</w:t>
      </w:r>
      <w:r>
        <w:rPr>
          <w:rFonts w:hint="eastAsia" w:ascii="仿宋_GB2312" w:hAnsi="仿宋_GB2312" w:eastAsia="仿宋_GB2312" w:cs="仿宋_GB2312"/>
          <w:color w:val="auto"/>
          <w:kern w:val="24"/>
          <w:sz w:val="32"/>
          <w:szCs w:val="32"/>
          <w:lang w:val="en-US" w:eastAsia="zh-CN" w:bidi="th-TH"/>
        </w:rPr>
        <w:t>。加快5G-A等先进通信技术的规模化应用，同步开展6G技术的前瞻性研究与布局。推进光通信技术升级，加大对高速光芯片、光电共封等领域研发投入力度，推动光架构与现有电架构体系生态融合。</w:t>
      </w:r>
      <w:r>
        <w:rPr>
          <w:rFonts w:hint="eastAsia" w:ascii="仿宋_GB2312" w:hAnsi="仿宋_GB2312" w:eastAsia="仿宋_GB2312" w:cs="仿宋_GB2312"/>
          <w:b/>
          <w:bCs/>
          <w:color w:val="auto"/>
          <w:kern w:val="24"/>
          <w:sz w:val="32"/>
          <w:szCs w:val="32"/>
          <w:lang w:val="en-US" w:eastAsia="zh-CN" w:bidi="th-TH"/>
        </w:rPr>
        <w:t>加快补足关键环节</w:t>
      </w:r>
      <w:r>
        <w:rPr>
          <w:rFonts w:hint="eastAsia" w:ascii="仿宋_GB2312" w:hAnsi="仿宋_GB2312" w:eastAsia="仿宋_GB2312" w:cs="仿宋_GB2312"/>
          <w:color w:val="auto"/>
          <w:kern w:val="24"/>
          <w:sz w:val="32"/>
          <w:szCs w:val="32"/>
          <w:lang w:val="en-US" w:eastAsia="zh-CN" w:bidi="th-TH"/>
        </w:rPr>
        <w:t>。突破高端芯片、核心算法、基础软件等薄弱环节，加快5G可编程逻辑控制器（PLC）、AI路由器、工业算网交换机等新型工业网络产品攻关。</w:t>
      </w:r>
      <w:r>
        <w:rPr>
          <w:rFonts w:hint="eastAsia" w:ascii="仿宋_GB2312" w:hAnsi="仿宋_GB2312" w:eastAsia="仿宋_GB2312" w:cs="仿宋_GB2312"/>
          <w:b/>
          <w:bCs/>
          <w:color w:val="auto"/>
          <w:kern w:val="24"/>
          <w:sz w:val="32"/>
          <w:szCs w:val="32"/>
          <w:lang w:val="en-US" w:eastAsia="zh-CN" w:bidi="th-TH"/>
        </w:rPr>
        <w:t>全栈布局AI服务器产业链</w:t>
      </w:r>
      <w:r>
        <w:rPr>
          <w:rFonts w:hint="eastAsia" w:ascii="仿宋_GB2312" w:hAnsi="仿宋_GB2312" w:eastAsia="仿宋_GB2312" w:cs="仿宋_GB2312"/>
          <w:color w:val="auto"/>
          <w:kern w:val="24"/>
          <w:sz w:val="32"/>
          <w:szCs w:val="32"/>
          <w:lang w:val="en-US" w:eastAsia="zh-CN" w:bidi="th-TH"/>
        </w:rPr>
        <w:t>。加强芯片、液冷、服务器、交换机、供电等硬件环节布局，提升软件工具链与系统优化能力，加快对多体系芯片、多类型软件、多元化系统的兼容适用。</w:t>
      </w:r>
      <w:r>
        <w:rPr>
          <w:rFonts w:hint="eastAsia" w:ascii="仿宋_GB2312" w:hAnsi="仿宋_GB2312" w:eastAsia="仿宋_GB2312" w:cs="仿宋_GB2312"/>
          <w:b/>
          <w:bCs/>
          <w:color w:val="auto"/>
          <w:kern w:val="24"/>
          <w:sz w:val="32"/>
          <w:szCs w:val="32"/>
          <w:lang w:val="en-US" w:eastAsia="zh-CN" w:bidi="th-TH"/>
        </w:rPr>
        <w:t>拓展网络通信融合应用空间</w:t>
      </w:r>
      <w:r>
        <w:rPr>
          <w:rFonts w:hint="eastAsia" w:ascii="仿宋_GB2312" w:hAnsi="仿宋_GB2312" w:eastAsia="仿宋_GB2312" w:cs="仿宋_GB2312"/>
          <w:color w:val="auto"/>
          <w:kern w:val="24"/>
          <w:sz w:val="32"/>
          <w:szCs w:val="32"/>
          <w:lang w:val="en-US" w:eastAsia="zh-CN" w:bidi="th-TH"/>
        </w:rPr>
        <w:t>。重点推动通信感知协同、超高速光传输、海洋通信、星地融合组网、智能机器人通信、新一代端侧AI应用等场景的网络通信融合创新。</w:t>
      </w:r>
    </w:p>
    <w:p>
      <w:pPr>
        <w:outlineLvl w:val="2"/>
        <w:rPr>
          <w:rFonts w:hint="eastAsia"/>
          <w:b/>
          <w:bCs/>
          <w:color w:val="auto"/>
          <w:kern w:val="24"/>
          <w:lang w:eastAsia="zh-CN"/>
        </w:rPr>
      </w:pPr>
      <w:r>
        <w:rPr>
          <w:rFonts w:hint="eastAsia"/>
          <w:b/>
          <w:bCs/>
          <w:color w:val="auto"/>
          <w:kern w:val="24"/>
          <w:lang w:val="en-US" w:eastAsia="zh-CN"/>
        </w:rPr>
        <w:t>3</w:t>
      </w:r>
      <w:r>
        <w:rPr>
          <w:rFonts w:hint="eastAsia"/>
          <w:b/>
          <w:bCs/>
          <w:color w:val="auto"/>
          <w:kern w:val="24"/>
        </w:rPr>
        <w:t>.</w:t>
      </w:r>
      <w:r>
        <w:rPr>
          <w:rFonts w:hint="eastAsia"/>
          <w:b/>
          <w:bCs/>
          <w:color w:val="auto"/>
          <w:kern w:val="24"/>
          <w:lang w:val="en-US" w:eastAsia="zh-CN"/>
        </w:rPr>
        <w:t>加快</w:t>
      </w:r>
      <w:r>
        <w:rPr>
          <w:rFonts w:hint="eastAsia"/>
          <w:b/>
          <w:bCs/>
          <w:color w:val="auto"/>
          <w:kern w:val="24"/>
        </w:rPr>
        <w:t>超高清视频</w:t>
      </w:r>
      <w:r>
        <w:rPr>
          <w:rFonts w:hint="eastAsia"/>
          <w:b/>
          <w:bCs/>
          <w:color w:val="auto"/>
          <w:kern w:val="24"/>
          <w:lang w:val="en-US" w:eastAsia="zh-CN"/>
        </w:rPr>
        <w:t>与</w:t>
      </w:r>
      <w:r>
        <w:rPr>
          <w:rFonts w:hint="eastAsia"/>
          <w:b/>
          <w:bCs/>
          <w:color w:val="auto"/>
          <w:kern w:val="24"/>
        </w:rPr>
        <w:t>显示</w:t>
      </w:r>
      <w:r>
        <w:rPr>
          <w:rFonts w:hint="eastAsia"/>
          <w:b/>
          <w:bCs/>
          <w:color w:val="auto"/>
          <w:kern w:val="24"/>
          <w:lang w:val="en-US" w:eastAsia="zh-CN"/>
        </w:rPr>
        <w:t>创新发展</w:t>
      </w:r>
    </w:p>
    <w:p>
      <w:pPr>
        <w:outlineLvl w:val="9"/>
        <w:rPr>
          <w:rFonts w:hint="eastAsia" w:ascii="仿宋_GB2312" w:hAnsi="仿宋_GB2312" w:eastAsia="仿宋_GB2312" w:cs="仿宋_GB2312"/>
          <w:color w:val="auto"/>
          <w:kern w:val="24"/>
        </w:rPr>
      </w:pPr>
      <w:r>
        <w:rPr>
          <w:rFonts w:hint="eastAsia" w:ascii="仿宋_GB2312" w:hAnsi="仿宋_GB2312" w:eastAsia="仿宋_GB2312" w:cs="仿宋_GB2312"/>
          <w:color w:val="auto"/>
          <w:kern w:val="24"/>
        </w:rPr>
        <w:t>聚焦超高清视频</w:t>
      </w:r>
      <w:r>
        <w:rPr>
          <w:rFonts w:hint="eastAsia" w:ascii="仿宋_GB2312" w:hAnsi="仿宋_GB2312" w:eastAsia="仿宋_GB2312" w:cs="仿宋_GB2312"/>
          <w:color w:val="auto"/>
          <w:kern w:val="24"/>
          <w:lang w:val="en-US" w:eastAsia="zh-CN"/>
        </w:rPr>
        <w:t>与</w:t>
      </w:r>
      <w:r>
        <w:rPr>
          <w:rFonts w:hint="eastAsia" w:ascii="仿宋_GB2312" w:hAnsi="仿宋_GB2312" w:eastAsia="仿宋_GB2312" w:cs="仿宋_GB2312"/>
          <w:color w:val="auto"/>
          <w:kern w:val="24"/>
        </w:rPr>
        <w:t>显示产业高质量发展，重点突破Micro LED、8K等关键核心技术，推动全场景“AI+5G+8K”融合应用示范，完善从关键材料到终端应用的完整产业链，打造成为超高清视频显示产业核心承载区和综合应用示范区。</w:t>
      </w:r>
      <w:r>
        <w:rPr>
          <w:rFonts w:hint="eastAsia" w:ascii="仿宋_GB2312" w:hAnsi="仿宋_GB2312" w:eastAsia="仿宋_GB2312" w:cs="仿宋_GB2312"/>
          <w:b/>
          <w:bCs/>
          <w:color w:val="auto"/>
          <w:kern w:val="24"/>
        </w:rPr>
        <w:t>聚焦关键核心技术攻关。</w:t>
      </w:r>
      <w:r>
        <w:rPr>
          <w:rFonts w:hint="eastAsia" w:ascii="仿宋_GB2312" w:hAnsi="仿宋_GB2312" w:eastAsia="仿宋_GB2312" w:cs="仿宋_GB2312"/>
          <w:color w:val="auto"/>
          <w:kern w:val="24"/>
        </w:rPr>
        <w:t>持续深耕柔性OLED、Mini LED、Micro LED等显示技术研发，鼓励企业向更高分辨率、更优画质、更低功耗方向迭代升级，重点突破柔性折叠、透明显示等创新形态技术；前瞻性布局激光显示、印刷显示、量子点等下一代显示技术。鼓励“超高清+AI”融合创新发展，开发超高清智能编解码、内容修复增强、虚拟拍摄等技术；推动“超高清+XR”发展沉浸式内容与交互</w:t>
      </w:r>
      <w:r>
        <w:rPr>
          <w:rFonts w:hint="eastAsia" w:ascii="仿宋_GB2312" w:hAnsi="仿宋_GB2312" w:eastAsia="仿宋_GB2312" w:cs="仿宋_GB2312"/>
          <w:color w:val="auto"/>
          <w:kern w:val="24"/>
          <w:lang w:eastAsia="zh-CN"/>
        </w:rPr>
        <w:t>体验，</w:t>
      </w:r>
      <w:r>
        <w:rPr>
          <w:rFonts w:hint="eastAsia" w:ascii="仿宋_GB2312" w:hAnsi="仿宋_GB2312" w:eastAsia="仿宋_GB2312" w:cs="仿宋_GB2312"/>
          <w:color w:val="auto"/>
          <w:kern w:val="24"/>
        </w:rPr>
        <w:t>探索“显示+传感”集成，发展智能视觉系统。</w:t>
      </w:r>
      <w:r>
        <w:rPr>
          <w:rFonts w:hint="eastAsia" w:ascii="仿宋_GB2312" w:hAnsi="仿宋_GB2312" w:eastAsia="仿宋_GB2312" w:cs="仿宋_GB2312"/>
          <w:b/>
          <w:bCs/>
          <w:color w:val="auto"/>
          <w:kern w:val="24"/>
        </w:rPr>
        <w:t>加快创新载体平台建设。</w:t>
      </w:r>
      <w:r>
        <w:rPr>
          <w:rFonts w:hint="eastAsia" w:ascii="仿宋_GB2312" w:hAnsi="仿宋_GB2312" w:eastAsia="仿宋_GB2312" w:cs="仿宋_GB2312"/>
          <w:color w:val="auto"/>
          <w:kern w:val="24"/>
        </w:rPr>
        <w:t>鼓励龙头企业联合高等院校、科研院所等，联合共建国家级/省级超高清视频显示产业创新中心、制造业创新中心、重点实验室等联合创新载体，聚焦关键核心技术和前沿显示技术开展联合攻关，积极参与行业标准制定，增强产业话语权。</w:t>
      </w:r>
      <w:r>
        <w:rPr>
          <w:rFonts w:hint="eastAsia" w:ascii="仿宋_GB2312" w:hAnsi="仿宋_GB2312" w:eastAsia="仿宋_GB2312" w:cs="仿宋_GB2312"/>
          <w:b/>
          <w:bCs/>
          <w:color w:val="auto"/>
          <w:kern w:val="24"/>
        </w:rPr>
        <w:t>重点打造超高清综合应用示范区。</w:t>
      </w:r>
      <w:r>
        <w:rPr>
          <w:rFonts w:hint="eastAsia" w:ascii="仿宋_GB2312" w:hAnsi="仿宋_GB2312" w:eastAsia="仿宋_GB2312" w:cs="仿宋_GB2312"/>
          <w:color w:val="auto"/>
          <w:kern w:val="24"/>
        </w:rPr>
        <w:t>持续推进超高清视频显示在工业制造、医疗健康、智能交通、文教娱乐等行业应用推广，打造一批“超高清+”示范场景。加快与人工智能、数字创意、智能网联汽车等新兴产业融合应用。</w:t>
      </w:r>
    </w:p>
    <w:p>
      <w:pPr>
        <w:outlineLvl w:val="1"/>
        <w:rPr>
          <w:rFonts w:hint="eastAsia" w:eastAsia="仿宋_GB2312"/>
          <w:color w:val="auto"/>
          <w:lang w:eastAsia="zh-CN"/>
        </w:rPr>
      </w:pPr>
      <w:bookmarkStart w:id="125" w:name="_Toc19524"/>
      <w:bookmarkStart w:id="126" w:name="_Toc262"/>
      <w:bookmarkStart w:id="127" w:name="_Toc3561"/>
      <w:bookmarkStart w:id="128" w:name="_Toc10299"/>
      <w:bookmarkStart w:id="129" w:name="_Toc4102"/>
      <w:bookmarkStart w:id="130" w:name="_Toc15069"/>
      <w:bookmarkStart w:id="131" w:name="_Toc13632"/>
      <w:bookmarkStart w:id="132" w:name="_Toc31350"/>
      <w:r>
        <w:rPr>
          <w:rStyle w:val="25"/>
          <w:color w:val="auto"/>
        </w:rPr>
        <w:t>（三）加速智能机器人发展</w:t>
      </w:r>
      <w:bookmarkEnd w:id="125"/>
      <w:bookmarkEnd w:id="126"/>
      <w:bookmarkEnd w:id="127"/>
      <w:bookmarkEnd w:id="128"/>
      <w:bookmarkEnd w:id="129"/>
      <w:bookmarkEnd w:id="130"/>
      <w:bookmarkEnd w:id="131"/>
      <w:bookmarkEnd w:id="132"/>
    </w:p>
    <w:p>
      <w:pPr>
        <w:ind w:firstLine="640"/>
        <w:outlineLvl w:val="9"/>
        <w:rPr>
          <w:rFonts w:hint="eastAsia" w:ascii="仿宋_GB2312" w:hAnsi="仿宋_GB2312" w:eastAsia="仿宋_GB2312" w:cs="仿宋_GB2312"/>
          <w:b w:val="0"/>
          <w:bCs w:val="0"/>
          <w:color w:val="auto"/>
        </w:rPr>
      </w:pPr>
      <w:r>
        <w:rPr>
          <w:rFonts w:hint="eastAsia" w:ascii="仿宋_GB2312" w:hAnsi="仿宋_GB2312" w:eastAsia="仿宋_GB2312" w:cs="仿宋_GB2312"/>
          <w:b w:val="0"/>
          <w:bCs w:val="0"/>
          <w:color w:val="auto"/>
        </w:rPr>
        <w:t>围绕智能机器人研发设计、生产制造、应用示范全链条，打造智能机器人产业高地。</w:t>
      </w:r>
      <w:r>
        <w:rPr>
          <w:rFonts w:hint="eastAsia" w:ascii="仿宋_GB2312" w:hAnsi="仿宋_GB2312" w:eastAsia="仿宋_GB2312" w:cs="仿宋_GB2312"/>
          <w:b/>
          <w:bCs/>
          <w:color w:val="auto"/>
        </w:rPr>
        <w:t>支持智能机器人全产业链布局。</w:t>
      </w:r>
      <w:r>
        <w:rPr>
          <w:rFonts w:hint="eastAsia" w:ascii="仿宋_GB2312" w:hAnsi="仿宋_GB2312" w:eastAsia="仿宋_GB2312" w:cs="仿宋_GB2312"/>
          <w:b w:val="0"/>
          <w:bCs w:val="0"/>
          <w:color w:val="auto"/>
        </w:rPr>
        <w:t>着力发展面向制造、特种、民生及重点行业的具身智能机器人整机，强化工业机器人领先地位，推动服务机器人智能化发展，加速人形机器人布局。围绕整机，重点发展一体化关节、电机、减速器、伺服驱动、多模态传感器、灵巧手等6大类核心部件，攻克专用具身智能大模型、多机器人协作等技术。</w:t>
      </w:r>
      <w:r>
        <w:rPr>
          <w:rFonts w:hint="eastAsia" w:ascii="仿宋_GB2312" w:hAnsi="仿宋_GB2312" w:eastAsia="仿宋_GB2312" w:cs="仿宋_GB2312"/>
          <w:b/>
          <w:bCs/>
          <w:color w:val="auto"/>
        </w:rPr>
        <w:t>支持建设具身智能数据采集基地。</w:t>
      </w:r>
      <w:r>
        <w:rPr>
          <w:rFonts w:hint="eastAsia" w:ascii="仿宋_GB2312" w:hAnsi="仿宋_GB2312" w:eastAsia="仿宋_GB2312" w:cs="仿宋_GB2312"/>
          <w:b w:val="0"/>
          <w:bCs w:val="0"/>
          <w:color w:val="auto"/>
        </w:rPr>
        <w:t>支持智能机器人企业建设具身智能机器人数据采集场，构建具身智能开源开放平台和多模态训练开源数据集，聚焦具身智能训练需求，开展大规模数据采集。重点开发支持人形机器人训练的多模态环境感知</w:t>
      </w:r>
      <w:r>
        <w:rPr>
          <w:rFonts w:hint="eastAsia" w:ascii="仿宋_GB2312" w:hAnsi="仿宋_GB2312" w:eastAsia="仿宋_GB2312" w:cs="仿宋_GB2312"/>
          <w:b w:val="0"/>
          <w:bCs w:val="0"/>
          <w:color w:val="auto"/>
          <w:lang w:eastAsia="zh-CN"/>
        </w:rPr>
        <w:t>—</w:t>
      </w:r>
      <w:r>
        <w:rPr>
          <w:rFonts w:hint="eastAsia" w:ascii="仿宋_GB2312" w:hAnsi="仿宋_GB2312" w:eastAsia="仿宋_GB2312" w:cs="仿宋_GB2312"/>
          <w:b w:val="0"/>
          <w:bCs w:val="0"/>
          <w:color w:val="auto"/>
        </w:rPr>
        <w:t>自然语言</w:t>
      </w:r>
      <w:r>
        <w:rPr>
          <w:rFonts w:hint="eastAsia" w:ascii="仿宋_GB2312" w:hAnsi="仿宋_GB2312" w:eastAsia="仿宋_GB2312" w:cs="仿宋_GB2312"/>
          <w:b w:val="0"/>
          <w:bCs w:val="0"/>
          <w:color w:val="auto"/>
          <w:lang w:eastAsia="zh-CN"/>
        </w:rPr>
        <w:t>—</w:t>
      </w:r>
      <w:r>
        <w:rPr>
          <w:rFonts w:hint="eastAsia" w:ascii="仿宋_GB2312" w:hAnsi="仿宋_GB2312" w:eastAsia="仿宋_GB2312" w:cs="仿宋_GB2312"/>
          <w:b w:val="0"/>
          <w:bCs w:val="0"/>
          <w:color w:val="auto"/>
        </w:rPr>
        <w:t>运动规划数据集。</w:t>
      </w:r>
      <w:r>
        <w:rPr>
          <w:rFonts w:hint="eastAsia" w:ascii="仿宋_GB2312" w:hAnsi="仿宋_GB2312" w:eastAsia="仿宋_GB2312" w:cs="仿宋_GB2312"/>
          <w:b/>
          <w:bCs/>
          <w:color w:val="auto"/>
        </w:rPr>
        <w:t>拓展机器人应用场景。</w:t>
      </w:r>
      <w:r>
        <w:rPr>
          <w:rFonts w:hint="eastAsia" w:ascii="仿宋_GB2312" w:hAnsi="仿宋_GB2312" w:eastAsia="仿宋_GB2312" w:cs="仿宋_GB2312"/>
          <w:b w:val="0"/>
          <w:bCs w:val="0"/>
          <w:color w:val="auto"/>
        </w:rPr>
        <w:t>围绕教育、公共服务、养老陪护、医疗康养、智慧水务等领域，加强人形机器人、智慧护理机器人、手术机器人、管道检测机器人等应用场景开放，满足企业产品测试、应用推广需求。</w:t>
      </w:r>
    </w:p>
    <w:p>
      <w:pPr>
        <w:outlineLvl w:val="1"/>
        <w:rPr>
          <w:rFonts w:hint="eastAsia" w:ascii="楷体_GB2312" w:hAnsi="楷体_GB2312" w:eastAsia="楷体_GB2312" w:cs="楷体_GB2312"/>
          <w:color w:val="auto"/>
        </w:rPr>
      </w:pPr>
      <w:bookmarkStart w:id="133" w:name="_Toc11882"/>
      <w:bookmarkStart w:id="134" w:name="_Toc18145"/>
      <w:bookmarkStart w:id="135" w:name="_Toc11927"/>
      <w:bookmarkStart w:id="136" w:name="_Toc9241"/>
      <w:bookmarkStart w:id="137" w:name="_Toc13863"/>
      <w:bookmarkStart w:id="138" w:name="_Toc12904"/>
      <w:bookmarkStart w:id="139" w:name="_Toc29430"/>
      <w:bookmarkStart w:id="140" w:name="_Toc19042"/>
      <w:r>
        <w:rPr>
          <w:rFonts w:hint="eastAsia" w:ascii="楷体_GB2312" w:hAnsi="楷体_GB2312" w:eastAsia="楷体_GB2312" w:cs="楷体_GB2312"/>
          <w:color w:val="auto"/>
        </w:rPr>
        <w:t>（四）强化软件定义赋能</w:t>
      </w:r>
      <w:bookmarkEnd w:id="133"/>
      <w:bookmarkEnd w:id="134"/>
      <w:bookmarkEnd w:id="135"/>
      <w:bookmarkEnd w:id="136"/>
      <w:bookmarkEnd w:id="137"/>
      <w:bookmarkEnd w:id="138"/>
      <w:bookmarkEnd w:id="139"/>
      <w:bookmarkEnd w:id="140"/>
    </w:p>
    <w:p>
      <w:pPr>
        <w:ind w:firstLine="0"/>
        <w:outlineLvl w:val="9"/>
        <w:rPr>
          <w:rFonts w:hint="eastAsia"/>
          <w:color w:val="auto"/>
        </w:rPr>
      </w:pPr>
      <w:bookmarkStart w:id="141" w:name="_Toc1527255072"/>
      <w:bookmarkStart w:id="142" w:name="_Toc60909912"/>
      <w:bookmarkStart w:id="143" w:name="_Toc412305807"/>
      <w:r>
        <w:rPr>
          <w:rFonts w:hint="eastAsia" w:ascii="仿宋_GB2312" w:hAnsi="仿宋_GB2312" w:eastAsia="仿宋_GB2312" w:cs="仿宋_GB2312"/>
          <w:color w:val="auto"/>
          <w:lang w:eastAsia="zh-CN"/>
        </w:rPr>
        <w:t>全面提升软件产业现代化水平和集群式发展能力，</w:t>
      </w:r>
      <w:r>
        <w:rPr>
          <w:rFonts w:hint="eastAsia" w:ascii="仿宋_GB2312" w:hAnsi="仿宋_GB2312" w:eastAsia="仿宋_GB2312" w:cs="仿宋_GB2312"/>
          <w:color w:val="auto"/>
          <w:lang w:val="en-US" w:eastAsia="zh-CN"/>
        </w:rPr>
        <w:t>依托深圳北站软件基地</w:t>
      </w:r>
      <w:r>
        <w:rPr>
          <w:rFonts w:hint="eastAsia" w:ascii="仿宋_GB2312" w:hAnsi="仿宋_GB2312" w:eastAsia="仿宋_GB2312" w:cs="仿宋_GB2312"/>
          <w:color w:val="auto"/>
        </w:rPr>
        <w:t>引领创建国家级软件名园，集聚一批具有生态主导力和核心竞争力的链主企业，</w:t>
      </w:r>
      <w:r>
        <w:rPr>
          <w:rFonts w:hint="eastAsia" w:ascii="仿宋_GB2312" w:hAnsi="仿宋_GB2312" w:eastAsia="仿宋_GB2312" w:cs="仿宋_GB2312"/>
          <w:color w:val="auto"/>
          <w:lang w:val="en-US" w:eastAsia="zh-CN"/>
        </w:rPr>
        <w:t>打造</w:t>
      </w:r>
      <w:r>
        <w:rPr>
          <w:rFonts w:hint="eastAsia" w:ascii="仿宋_GB2312" w:hAnsi="仿宋_GB2312" w:eastAsia="仿宋_GB2312" w:cs="仿宋_GB2312"/>
          <w:color w:val="auto"/>
        </w:rPr>
        <w:t>国际软件名城核心承载中心</w:t>
      </w:r>
      <w:r>
        <w:rPr>
          <w:rFonts w:hint="eastAsia" w:ascii="仿宋_GB2312" w:hAnsi="仿宋_GB2312" w:eastAsia="仿宋_GB2312" w:cs="仿宋_GB2312"/>
          <w:color w:val="auto"/>
          <w:lang w:eastAsia="zh-CN"/>
        </w:rPr>
        <w:t>。</w:t>
      </w:r>
      <w:r>
        <w:rPr>
          <w:rFonts w:hint="eastAsia" w:ascii="仿宋_GB2312" w:hAnsi="仿宋_GB2312" w:eastAsia="仿宋_GB2312" w:cs="仿宋_GB2312"/>
          <w:b/>
          <w:bCs/>
          <w:color w:val="auto"/>
          <w:sz w:val="32"/>
          <w:szCs w:val="32"/>
          <w:lang w:val="en-US" w:eastAsia="zh-CN"/>
        </w:rPr>
        <w:t>创新突破关键软件。</w:t>
      </w:r>
      <w:r>
        <w:rPr>
          <w:rFonts w:hint="eastAsia" w:ascii="仿宋_GB2312" w:hAnsi="仿宋_GB2312" w:eastAsia="仿宋_GB2312" w:cs="仿宋_GB2312"/>
          <w:b w:val="0"/>
          <w:bCs w:val="0"/>
          <w:color w:val="auto"/>
          <w:sz w:val="32"/>
          <w:szCs w:val="32"/>
          <w:lang w:val="en-US" w:eastAsia="zh-CN"/>
        </w:rPr>
        <w:t>聚焦突破基础软件、工业软件、网络安全软件。</w:t>
      </w:r>
      <w:r>
        <w:rPr>
          <w:rFonts w:hint="eastAsia" w:ascii="仿宋_GB2312" w:hAnsi="仿宋_GB2312" w:eastAsia="仿宋_GB2312" w:cs="仿宋_GB2312"/>
          <w:b w:val="0"/>
          <w:bCs w:val="0"/>
          <w:color w:val="auto"/>
          <w:sz w:val="32"/>
          <w:szCs w:val="32"/>
        </w:rPr>
        <w:t>攻坚核心基础软件</w:t>
      </w:r>
      <w:bookmarkEnd w:id="141"/>
      <w:bookmarkEnd w:id="142"/>
      <w:bookmarkEnd w:id="143"/>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rPr>
        <w:t>设立重大攻关专项，</w:t>
      </w:r>
      <w:r>
        <w:rPr>
          <w:rFonts w:hint="eastAsia" w:ascii="仿宋_GB2312" w:hAnsi="仿宋_GB2312" w:eastAsia="仿宋_GB2312" w:cs="仿宋_GB2312"/>
          <w:b w:val="0"/>
          <w:bCs w:val="0"/>
          <w:color w:val="auto"/>
          <w:sz w:val="32"/>
          <w:szCs w:val="32"/>
        </w:rPr>
        <w:t>聚焦云计算、物联网、车载、移动终端等操作系统及配套工具集</w:t>
      </w:r>
      <w:bookmarkStart w:id="144" w:name="_Toc17384815"/>
      <w:bookmarkStart w:id="145" w:name="_Toc1899350147"/>
      <w:bookmarkStart w:id="146" w:name="_Toc1481325316"/>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夯实</w:t>
      </w:r>
      <w:bookmarkStart w:id="147" w:name="_Hlk135312842"/>
      <w:r>
        <w:rPr>
          <w:rFonts w:hint="eastAsia" w:ascii="仿宋_GB2312" w:hAnsi="仿宋_GB2312" w:eastAsia="仿宋_GB2312" w:cs="仿宋_GB2312"/>
          <w:b w:val="0"/>
          <w:bCs w:val="0"/>
          <w:color w:val="auto"/>
          <w:sz w:val="32"/>
          <w:szCs w:val="32"/>
        </w:rPr>
        <w:t>工业软件</w:t>
      </w:r>
      <w:bookmarkEnd w:id="147"/>
      <w:r>
        <w:rPr>
          <w:rFonts w:hint="eastAsia" w:ascii="仿宋_GB2312" w:hAnsi="仿宋_GB2312" w:eastAsia="仿宋_GB2312" w:cs="仿宋_GB2312"/>
          <w:b w:val="0"/>
          <w:bCs w:val="0"/>
          <w:color w:val="auto"/>
          <w:sz w:val="32"/>
          <w:szCs w:val="32"/>
        </w:rPr>
        <w:t>基础</w:t>
      </w:r>
      <w:bookmarkEnd w:id="144"/>
      <w:bookmarkEnd w:id="145"/>
      <w:bookmarkEnd w:id="146"/>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重点</w:t>
      </w:r>
      <w:r>
        <w:rPr>
          <w:rFonts w:hint="eastAsia" w:ascii="仿宋_GB2312" w:hAnsi="仿宋_GB2312" w:eastAsia="仿宋_GB2312" w:cs="仿宋_GB2312"/>
          <w:b w:val="0"/>
          <w:bCs w:val="0"/>
          <w:color w:val="auto"/>
          <w:sz w:val="32"/>
          <w:szCs w:val="32"/>
        </w:rPr>
        <w:t>突破制造执行系统（MES）、分布式控制系统（DCS）、数据采集和监控系统（SCADA）等生产控制类软件</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highlight w:val="none"/>
          <w:lang w:val="en-US" w:eastAsia="zh-CN"/>
        </w:rPr>
        <w:t>推动</w:t>
      </w:r>
      <w:r>
        <w:rPr>
          <w:rFonts w:hint="eastAsia" w:ascii="仿宋_GB2312" w:hAnsi="仿宋_GB2312" w:eastAsia="仿宋_GB2312" w:cs="仿宋_GB2312"/>
          <w:b w:val="0"/>
          <w:bCs w:val="0"/>
          <w:color w:val="auto"/>
          <w:highlight w:val="none"/>
        </w:rPr>
        <w:t>建设重点行业工业软件兼容适配和应用示范中心</w:t>
      </w:r>
      <w:r>
        <w:rPr>
          <w:rFonts w:hint="eastAsia" w:ascii="仿宋_GB2312" w:hAnsi="仿宋_GB2312" w:eastAsia="仿宋_GB2312" w:cs="仿宋_GB2312"/>
          <w:b w:val="0"/>
          <w:bCs w:val="0"/>
          <w:color w:val="auto"/>
          <w:sz w:val="32"/>
          <w:szCs w:val="32"/>
        </w:rPr>
        <w:t>。</w:t>
      </w:r>
      <w:bookmarkStart w:id="148" w:name="_Toc1754431170"/>
      <w:bookmarkStart w:id="149" w:name="_Toc701249713"/>
      <w:bookmarkStart w:id="150" w:name="_Toc1581002477"/>
      <w:r>
        <w:rPr>
          <w:rFonts w:hint="eastAsia" w:ascii="仿宋_GB2312" w:hAnsi="仿宋_GB2312" w:eastAsia="仿宋_GB2312" w:cs="仿宋_GB2312"/>
          <w:b w:val="0"/>
          <w:bCs w:val="0"/>
          <w:color w:val="auto"/>
          <w:sz w:val="32"/>
          <w:szCs w:val="32"/>
        </w:rPr>
        <w:t>加快发展</w:t>
      </w:r>
      <w:bookmarkStart w:id="151" w:name="_Hlk135313253"/>
      <w:r>
        <w:rPr>
          <w:rFonts w:hint="eastAsia" w:ascii="仿宋_GB2312" w:hAnsi="仿宋_GB2312" w:eastAsia="仿宋_GB2312" w:cs="仿宋_GB2312"/>
          <w:b w:val="0"/>
          <w:bCs w:val="0"/>
          <w:color w:val="auto"/>
          <w:sz w:val="32"/>
          <w:szCs w:val="32"/>
          <w:lang w:val="en-US" w:eastAsia="zh-CN"/>
        </w:rPr>
        <w:t>新型网络</w:t>
      </w:r>
      <w:r>
        <w:rPr>
          <w:rFonts w:hint="eastAsia" w:ascii="仿宋_GB2312" w:hAnsi="仿宋_GB2312" w:eastAsia="仿宋_GB2312" w:cs="仿宋_GB2312"/>
          <w:b w:val="0"/>
          <w:bCs w:val="0"/>
          <w:color w:val="auto"/>
          <w:sz w:val="32"/>
          <w:szCs w:val="32"/>
        </w:rPr>
        <w:t>安全软件</w:t>
      </w:r>
      <w:bookmarkEnd w:id="148"/>
      <w:bookmarkEnd w:id="149"/>
      <w:bookmarkEnd w:id="150"/>
      <w:bookmarkEnd w:id="151"/>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rPr>
        <w:t>开展态势感知、威胁防护、可信计算等安全支撑技术研发与应用</w:t>
      </w:r>
      <w:r>
        <w:rPr>
          <w:rFonts w:hint="eastAsia" w:ascii="仿宋_GB2312" w:hAnsi="仿宋_GB2312" w:eastAsia="仿宋_GB2312" w:cs="仿宋_GB2312"/>
          <w:b w:val="0"/>
          <w:bCs w:val="0"/>
          <w:color w:val="auto"/>
          <w:sz w:val="32"/>
          <w:lang w:eastAsia="zh-CN"/>
        </w:rPr>
        <w:t>。</w:t>
      </w:r>
      <w:r>
        <w:rPr>
          <w:rFonts w:hint="eastAsia" w:ascii="仿宋_GB2312" w:hAnsi="仿宋_GB2312" w:eastAsia="仿宋_GB2312" w:cs="仿宋_GB2312"/>
          <w:b/>
          <w:bCs/>
          <w:color w:val="auto"/>
          <w:sz w:val="32"/>
          <w:lang w:val="en-US" w:eastAsia="zh-CN"/>
        </w:rPr>
        <w:t>加快培育“人工智能+”软件</w:t>
      </w:r>
      <w:r>
        <w:rPr>
          <w:rFonts w:hint="eastAsia" w:ascii="仿宋_GB2312" w:hAnsi="仿宋_GB2312" w:eastAsia="仿宋_GB2312" w:cs="仿宋_GB2312"/>
          <w:b w:val="0"/>
          <w:bCs w:val="0"/>
          <w:color w:val="auto"/>
          <w:sz w:val="32"/>
          <w:lang w:val="en-US" w:eastAsia="zh-CN"/>
        </w:rPr>
        <w:t>。</w:t>
      </w:r>
      <w:r>
        <w:rPr>
          <w:rFonts w:hint="eastAsia" w:ascii="仿宋_GB2312" w:hAnsi="仿宋_GB2312" w:eastAsia="仿宋_GB2312" w:cs="仿宋_GB2312"/>
          <w:color w:val="auto"/>
          <w:lang w:val="en-US" w:eastAsia="zh-CN"/>
        </w:rPr>
        <w:t>培育</w:t>
      </w:r>
      <w:r>
        <w:rPr>
          <w:rFonts w:hint="eastAsia" w:ascii="仿宋_GB2312" w:hAnsi="仿宋_GB2312" w:eastAsia="仿宋_GB2312" w:cs="仿宋_GB2312"/>
          <w:color w:val="auto"/>
        </w:rPr>
        <w:t>智能体</w:t>
      </w:r>
      <w:r>
        <w:rPr>
          <w:rFonts w:hint="eastAsia" w:ascii="仿宋_GB2312" w:hAnsi="仿宋_GB2312" w:eastAsia="仿宋_GB2312" w:cs="仿宋_GB2312"/>
          <w:color w:val="auto"/>
          <w:lang w:val="en-US" w:eastAsia="zh-CN"/>
        </w:rPr>
        <w:t>软件</w:t>
      </w:r>
      <w:r>
        <w:rPr>
          <w:rFonts w:hint="eastAsia" w:ascii="仿宋_GB2312" w:hAnsi="仿宋_GB2312" w:eastAsia="仿宋_GB2312" w:cs="仿宋_GB2312"/>
          <w:color w:val="auto"/>
        </w:rPr>
        <w:t>新形态</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攻关</w:t>
      </w:r>
      <w:r>
        <w:rPr>
          <w:rFonts w:hint="eastAsia" w:ascii="仿宋_GB2312" w:hAnsi="仿宋_GB2312" w:eastAsia="仿宋_GB2312" w:cs="仿宋_GB2312"/>
          <w:color w:val="auto"/>
        </w:rPr>
        <w:t>智能体任务理解、任务规划、工具使用、长期记忆、互认互通</w:t>
      </w:r>
      <w:r>
        <w:rPr>
          <w:rFonts w:hint="eastAsia" w:ascii="仿宋_GB2312" w:hAnsi="仿宋_GB2312" w:eastAsia="仿宋_GB2312" w:cs="仿宋_GB2312"/>
          <w:color w:val="auto"/>
          <w:lang w:val="en-US" w:eastAsia="zh-CN"/>
        </w:rPr>
        <w:t>等关键技术</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支持</w:t>
      </w:r>
      <w:r>
        <w:rPr>
          <w:rFonts w:hint="eastAsia" w:ascii="仿宋_GB2312" w:hAnsi="仿宋_GB2312" w:eastAsia="仿宋_GB2312" w:cs="仿宋_GB2312"/>
          <w:color w:val="auto"/>
        </w:rPr>
        <w:t>智能体</w:t>
      </w:r>
      <w:r>
        <w:rPr>
          <w:rFonts w:hint="eastAsia" w:ascii="仿宋_GB2312" w:hAnsi="仿宋_GB2312" w:eastAsia="仿宋_GB2312" w:cs="仿宋_GB2312"/>
          <w:color w:val="auto"/>
          <w:lang w:val="en-US" w:eastAsia="zh-CN"/>
        </w:rPr>
        <w:t>关键工具组件开发</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推动</w:t>
      </w:r>
      <w:r>
        <w:rPr>
          <w:rFonts w:hint="eastAsia" w:ascii="仿宋_GB2312" w:hAnsi="仿宋_GB2312" w:eastAsia="仿宋_GB2312" w:cs="仿宋_GB2312"/>
          <w:color w:val="auto"/>
        </w:rPr>
        <w:t>端侧智能体产品研发</w:t>
      </w:r>
      <w:r>
        <w:rPr>
          <w:rFonts w:hint="eastAsia" w:ascii="仿宋_GB2312" w:hAnsi="仿宋_GB2312" w:eastAsia="仿宋_GB2312" w:cs="仿宋_GB2312"/>
          <w:color w:val="auto"/>
          <w:lang w:val="en-US" w:eastAsia="zh-CN"/>
        </w:rPr>
        <w:t>落地。</w:t>
      </w:r>
      <w:r>
        <w:rPr>
          <w:rFonts w:hint="eastAsia" w:ascii="仿宋_GB2312" w:hAnsi="仿宋_GB2312" w:eastAsia="仿宋_GB2312" w:cs="仿宋_GB2312"/>
          <w:b w:val="0"/>
          <w:bCs w:val="0"/>
          <w:color w:val="auto"/>
        </w:rPr>
        <w:t>拓展新型智算云服务</w:t>
      </w:r>
      <w:r>
        <w:rPr>
          <w:rFonts w:hint="eastAsia" w:ascii="仿宋_GB2312" w:hAnsi="仿宋_GB2312" w:eastAsia="仿宋_GB2312" w:cs="仿宋_GB2312"/>
          <w:b w:val="0"/>
          <w:bCs w:val="0"/>
          <w:color w:val="auto"/>
          <w:lang w:eastAsia="zh-CN"/>
        </w:rPr>
        <w:t>，</w:t>
      </w:r>
      <w:r>
        <w:rPr>
          <w:rFonts w:hint="eastAsia" w:ascii="仿宋_GB2312" w:hAnsi="仿宋_GB2312" w:eastAsia="仿宋_GB2312" w:cs="仿宋_GB2312"/>
          <w:b w:val="0"/>
          <w:bCs w:val="0"/>
          <w:color w:val="auto"/>
          <w:lang w:val="en-US" w:eastAsia="zh-CN"/>
        </w:rPr>
        <w:t>培育集聚一批</w:t>
      </w:r>
      <w:r>
        <w:rPr>
          <w:rFonts w:hint="eastAsia" w:ascii="仿宋_GB2312" w:hAnsi="仿宋_GB2312" w:eastAsia="仿宋_GB2312" w:cs="仿宋_GB2312"/>
          <w:b w:val="0"/>
          <w:bCs w:val="0"/>
          <w:color w:val="auto"/>
        </w:rPr>
        <w:t>综合型</w:t>
      </w:r>
      <w:r>
        <w:rPr>
          <w:rFonts w:hint="eastAsia" w:ascii="仿宋_GB2312" w:hAnsi="仿宋_GB2312" w:eastAsia="仿宋_GB2312" w:cs="仿宋_GB2312"/>
          <w:b w:val="0"/>
          <w:bCs w:val="0"/>
          <w:color w:val="auto"/>
          <w:lang w:eastAsia="zh-CN"/>
        </w:rPr>
        <w:t>、</w:t>
      </w:r>
      <w:r>
        <w:rPr>
          <w:rFonts w:hint="eastAsia" w:ascii="仿宋_GB2312" w:hAnsi="仿宋_GB2312" w:eastAsia="仿宋_GB2312" w:cs="仿宋_GB2312"/>
          <w:b w:val="0"/>
          <w:bCs w:val="0"/>
          <w:color w:val="auto"/>
        </w:rPr>
        <w:t>垂直型智算云平台</w:t>
      </w:r>
      <w:r>
        <w:rPr>
          <w:rFonts w:hint="eastAsia" w:ascii="仿宋_GB2312" w:hAnsi="仿宋_GB2312" w:eastAsia="仿宋_GB2312" w:cs="仿宋_GB2312"/>
          <w:b w:val="0"/>
          <w:bCs w:val="0"/>
          <w:color w:val="auto"/>
          <w:lang w:eastAsia="zh-CN"/>
        </w:rPr>
        <w:t>，</w:t>
      </w:r>
      <w:r>
        <w:rPr>
          <w:rFonts w:hint="eastAsia" w:ascii="仿宋_GB2312" w:hAnsi="仿宋_GB2312" w:eastAsia="仿宋_GB2312" w:cs="仿宋_GB2312"/>
          <w:b w:val="0"/>
          <w:bCs w:val="0"/>
          <w:color w:val="auto"/>
        </w:rPr>
        <w:t>提供大模型集成、Agent搭建、安全可信防护等智算云服务</w:t>
      </w:r>
      <w:r>
        <w:rPr>
          <w:rFonts w:hint="eastAsia" w:ascii="仿宋_GB2312" w:hAnsi="仿宋_GB2312" w:eastAsia="仿宋_GB2312" w:cs="仿宋_GB2312"/>
          <w:b w:val="0"/>
          <w:bCs w:val="0"/>
          <w:color w:val="auto"/>
          <w:lang w:eastAsia="zh-CN"/>
        </w:rPr>
        <w:t>。</w:t>
      </w:r>
      <w:r>
        <w:rPr>
          <w:rFonts w:hint="eastAsia" w:ascii="仿宋_GB2312" w:hAnsi="仿宋_GB2312" w:eastAsia="仿宋_GB2312" w:cs="仿宋_GB2312"/>
          <w:b w:val="0"/>
          <w:bCs w:val="0"/>
          <w:color w:val="auto"/>
        </w:rPr>
        <w:t>布局软硬件协同的</w:t>
      </w:r>
      <w:r>
        <w:rPr>
          <w:rFonts w:hint="eastAsia" w:ascii="仿宋_GB2312" w:hAnsi="仿宋_GB2312" w:eastAsia="仿宋_GB2312" w:cs="仿宋_GB2312"/>
          <w:b w:val="0"/>
          <w:bCs w:val="0"/>
          <w:color w:val="auto"/>
          <w:lang w:val="en-US" w:eastAsia="zh-CN"/>
        </w:rPr>
        <w:t>智能</w:t>
      </w:r>
      <w:r>
        <w:rPr>
          <w:rFonts w:hint="eastAsia" w:ascii="仿宋_GB2312" w:hAnsi="仿宋_GB2312" w:eastAsia="仿宋_GB2312" w:cs="仿宋_GB2312"/>
          <w:b w:val="0"/>
          <w:bCs w:val="0"/>
          <w:color w:val="auto"/>
        </w:rPr>
        <w:t>软件</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面向具身智能、</w:t>
      </w:r>
      <w:r>
        <w:rPr>
          <w:rFonts w:hint="eastAsia" w:ascii="仿宋_GB2312" w:hAnsi="仿宋_GB2312" w:eastAsia="仿宋_GB2312" w:cs="仿宋_GB2312"/>
          <w:color w:val="auto"/>
          <w:lang w:val="en-US" w:eastAsia="zh-CN"/>
        </w:rPr>
        <w:t>智能穿戴</w:t>
      </w:r>
      <w:r>
        <w:rPr>
          <w:rFonts w:hint="eastAsia" w:ascii="仿宋_GB2312" w:hAnsi="仿宋_GB2312" w:eastAsia="仿宋_GB2312" w:cs="仿宋_GB2312"/>
          <w:color w:val="auto"/>
        </w:rPr>
        <w:t>、车载终端、物联网设备等新终端，引导软硬件协同创新。</w:t>
      </w:r>
      <w:r>
        <w:rPr>
          <w:rFonts w:hint="eastAsia" w:ascii="仿宋_GB2312" w:hAnsi="仿宋_GB2312" w:eastAsia="仿宋_GB2312" w:cs="仿宋_GB2312"/>
          <w:b/>
          <w:bCs/>
          <w:color w:val="auto"/>
          <w:sz w:val="32"/>
          <w:lang w:val="en-US" w:eastAsia="zh-CN"/>
        </w:rPr>
        <w:t>巩固提升应用软件</w:t>
      </w:r>
      <w:r>
        <w:rPr>
          <w:rFonts w:hint="eastAsia" w:ascii="仿宋_GB2312" w:hAnsi="仿宋_GB2312" w:eastAsia="仿宋_GB2312" w:cs="仿宋_GB2312"/>
          <w:color w:val="auto"/>
          <w:sz w:val="32"/>
          <w:lang w:val="en-US" w:eastAsia="zh-CN"/>
        </w:rPr>
        <w:t>。</w:t>
      </w:r>
      <w:r>
        <w:rPr>
          <w:rFonts w:hint="eastAsia" w:ascii="仿宋_GB2312" w:hAnsi="仿宋_GB2312" w:eastAsia="仿宋_GB2312" w:cs="仿宋_GB2312"/>
          <w:b w:val="0"/>
          <w:bCs w:val="0"/>
          <w:color w:val="auto"/>
          <w:sz w:val="32"/>
          <w:lang w:val="en-US" w:eastAsia="zh-CN"/>
        </w:rPr>
        <w:t>做强</w:t>
      </w:r>
      <w:r>
        <w:rPr>
          <w:rFonts w:hint="eastAsia" w:ascii="仿宋_GB2312" w:hAnsi="仿宋_GB2312" w:eastAsia="仿宋_GB2312" w:cs="仿宋_GB2312"/>
          <w:b w:val="0"/>
          <w:bCs w:val="0"/>
          <w:color w:val="auto"/>
          <w:sz w:val="32"/>
          <w:szCs w:val="32"/>
          <w:lang w:val="en-US" w:eastAsia="zh-CN"/>
        </w:rPr>
        <w:t>电商软件生态，</w:t>
      </w:r>
      <w:r>
        <w:rPr>
          <w:rFonts w:hint="eastAsia" w:ascii="仿宋_GB2312" w:hAnsi="仿宋_GB2312" w:eastAsia="仿宋_GB2312" w:cs="仿宋_GB2312"/>
          <w:color w:val="auto"/>
          <w:sz w:val="32"/>
          <w:szCs w:val="32"/>
        </w:rPr>
        <w:t>支持美团优选、象鲜科技等平台企业做大做强，加快扩展互联网医疗健康服务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发展</w:t>
      </w:r>
      <w:r>
        <w:rPr>
          <w:rFonts w:hint="eastAsia" w:ascii="仿宋_GB2312" w:hAnsi="仿宋_GB2312" w:eastAsia="仿宋_GB2312" w:cs="仿宋_GB2312"/>
          <w:color w:val="auto"/>
          <w:sz w:val="32"/>
          <w:szCs w:val="32"/>
        </w:rPr>
        <w:t>特色垂类直播电商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集聚</w:t>
      </w:r>
      <w:r>
        <w:rPr>
          <w:rFonts w:hint="eastAsia" w:ascii="仿宋_GB2312" w:hAnsi="仿宋_GB2312" w:eastAsia="仿宋_GB2312" w:cs="仿宋_GB2312"/>
          <w:color w:val="auto"/>
          <w:sz w:val="32"/>
          <w:szCs w:val="32"/>
        </w:rPr>
        <w:t>精准营销、数据分析、支付结算、代理运营等</w:t>
      </w:r>
      <w:r>
        <w:rPr>
          <w:rFonts w:hint="eastAsia" w:ascii="仿宋_GB2312" w:hAnsi="仿宋_GB2312" w:eastAsia="仿宋_GB2312" w:cs="仿宋_GB2312"/>
          <w:color w:val="auto"/>
          <w:sz w:val="32"/>
          <w:szCs w:val="32"/>
          <w:lang w:val="en-US" w:eastAsia="zh-CN"/>
        </w:rPr>
        <w:t>第三方</w:t>
      </w:r>
      <w:r>
        <w:rPr>
          <w:rFonts w:hint="eastAsia" w:ascii="仿宋_GB2312" w:hAnsi="仿宋_GB2312" w:eastAsia="仿宋_GB2312" w:cs="仿宋_GB2312"/>
          <w:color w:val="auto"/>
          <w:sz w:val="32"/>
          <w:szCs w:val="32"/>
        </w:rPr>
        <w:t>服务</w:t>
      </w:r>
      <w:r>
        <w:rPr>
          <w:rFonts w:hint="eastAsia" w:ascii="仿宋_GB2312" w:hAnsi="仿宋_GB2312" w:eastAsia="仿宋_GB2312" w:cs="仿宋_GB2312"/>
          <w:color w:val="auto"/>
          <w:sz w:val="32"/>
          <w:szCs w:val="32"/>
          <w:lang w:val="en-US" w:eastAsia="zh-CN"/>
        </w:rPr>
        <w:t>企业</w:t>
      </w:r>
      <w:r>
        <w:rPr>
          <w:rFonts w:hint="eastAsia" w:ascii="仿宋_GB2312" w:hAnsi="仿宋_GB2312" w:eastAsia="仿宋_GB2312" w:cs="仿宋_GB2312"/>
          <w:color w:val="auto"/>
          <w:sz w:val="32"/>
          <w:szCs w:val="32"/>
        </w:rPr>
        <w:t>。</w:t>
      </w:r>
      <w:bookmarkStart w:id="152" w:name="_Toc512858412"/>
      <w:bookmarkStart w:id="153" w:name="_Toc1385514089"/>
      <w:bookmarkStart w:id="154" w:name="_Toc271912935"/>
      <w:r>
        <w:rPr>
          <w:rFonts w:hint="eastAsia" w:ascii="仿宋_GB2312" w:hAnsi="仿宋_GB2312" w:eastAsia="仿宋_GB2312" w:cs="仿宋_GB2312"/>
          <w:b w:val="0"/>
          <w:bCs w:val="0"/>
          <w:color w:val="auto"/>
          <w:sz w:val="32"/>
          <w:szCs w:val="32"/>
        </w:rPr>
        <w:t>创新</w:t>
      </w:r>
      <w:r>
        <w:rPr>
          <w:rFonts w:hint="eastAsia" w:ascii="仿宋_GB2312" w:hAnsi="仿宋_GB2312" w:eastAsia="仿宋_GB2312" w:cs="仿宋_GB2312"/>
          <w:b w:val="0"/>
          <w:bCs w:val="0"/>
          <w:color w:val="auto"/>
          <w:sz w:val="32"/>
          <w:szCs w:val="32"/>
          <w:lang w:val="en-US" w:eastAsia="zh-CN"/>
        </w:rPr>
        <w:t>发展数字内容</w:t>
      </w:r>
      <w:bookmarkEnd w:id="152"/>
      <w:bookmarkEnd w:id="153"/>
      <w:bookmarkEnd w:id="154"/>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color w:val="auto"/>
          <w:sz w:val="32"/>
          <w:szCs w:val="32"/>
        </w:rPr>
        <w:t>支持三维化、强交互内容创作与规模生产，加强精品电竞游戏产品研发，培育本土动漫游戏企业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bCs/>
          <w:color w:val="auto"/>
          <w:sz w:val="32"/>
          <w:lang w:val="en-US" w:eastAsia="zh-CN"/>
        </w:rPr>
        <w:t>发展壮大</w:t>
      </w:r>
      <w:r>
        <w:rPr>
          <w:rFonts w:hint="eastAsia" w:ascii="仿宋_GB2312" w:hAnsi="仿宋_GB2312" w:eastAsia="仿宋_GB2312" w:cs="仿宋_GB2312"/>
          <w:b/>
          <w:bCs/>
          <w:color w:val="auto"/>
          <w:sz w:val="32"/>
          <w:highlight w:val="none"/>
          <w:lang w:val="en-US" w:eastAsia="zh-CN"/>
        </w:rPr>
        <w:t>鸿蒙生态</w:t>
      </w:r>
      <w:r>
        <w:rPr>
          <w:rFonts w:hint="eastAsia" w:ascii="仿宋_GB2312" w:hAnsi="仿宋_GB2312" w:eastAsia="仿宋_GB2312" w:cs="仿宋_GB2312"/>
          <w:b/>
          <w:bCs/>
          <w:color w:val="auto"/>
          <w:sz w:val="32"/>
          <w:lang w:val="en-US" w:eastAsia="zh-CN"/>
        </w:rPr>
        <w:t>。</w:t>
      </w:r>
      <w:r>
        <w:rPr>
          <w:rFonts w:hint="eastAsia" w:ascii="仿宋_GB2312" w:hAnsi="仿宋_GB2312" w:eastAsia="仿宋_GB2312" w:cs="仿宋_GB2312"/>
          <w:color w:val="auto"/>
          <w:sz w:val="32"/>
          <w:szCs w:val="32"/>
        </w:rPr>
        <w:t>推动国资国企、教育、医疗等重点行业加大应用场景开放力度，支持</w:t>
      </w:r>
      <w:r>
        <w:rPr>
          <w:rFonts w:hint="eastAsia" w:ascii="仿宋_GB2312" w:hAnsi="仿宋_GB2312" w:eastAsia="仿宋_GB2312" w:cs="仿宋_GB2312"/>
          <w:color w:val="auto"/>
          <w:sz w:val="32"/>
          <w:szCs w:val="32"/>
          <w:lang w:val="en-US" w:eastAsia="zh-CN"/>
        </w:rPr>
        <w:t>鸿蒙</w:t>
      </w:r>
      <w:r>
        <w:rPr>
          <w:rFonts w:hint="eastAsia" w:ascii="仿宋_GB2312" w:hAnsi="仿宋_GB2312" w:eastAsia="仿宋_GB2312" w:cs="仿宋_GB2312"/>
          <w:color w:val="auto"/>
          <w:sz w:val="32"/>
          <w:szCs w:val="32"/>
        </w:rPr>
        <w:t>产品适配应用。</w:t>
      </w:r>
      <w:r>
        <w:rPr>
          <w:rFonts w:hint="eastAsia" w:ascii="仿宋_GB2312" w:hAnsi="仿宋_GB2312" w:eastAsia="仿宋_GB2312" w:cs="仿宋_GB2312"/>
          <w:color w:val="auto"/>
          <w:sz w:val="32"/>
          <w:szCs w:val="32"/>
          <w:lang w:eastAsia="zh-CN"/>
        </w:rPr>
        <w:t>稳步运营</w:t>
      </w:r>
      <w:r>
        <w:rPr>
          <w:rFonts w:hint="eastAsia" w:ascii="仿宋_GB2312" w:hAnsi="仿宋_GB2312" w:eastAsia="仿宋_GB2312" w:cs="仿宋_GB2312"/>
          <w:color w:val="auto"/>
          <w:sz w:val="32"/>
          <w:szCs w:val="32"/>
        </w:rPr>
        <w:t>鸿蒙生态（龙华）创新中心，提供基于鸿蒙的软硬件产品对接测试、适配迁移、生态品牌推广、人才培养等公共服务，</w:t>
      </w:r>
      <w:r>
        <w:rPr>
          <w:rFonts w:hint="eastAsia" w:ascii="仿宋_GB2312" w:hAnsi="仿宋_GB2312" w:eastAsia="仿宋_GB2312" w:cs="仿宋_GB2312"/>
          <w:color w:val="auto"/>
          <w:sz w:val="32"/>
        </w:rPr>
        <w:t>率先打造全国</w:t>
      </w:r>
      <w:r>
        <w:rPr>
          <w:rFonts w:hint="eastAsia" w:ascii="仿宋_GB2312" w:hAnsi="仿宋_GB2312" w:eastAsia="仿宋_GB2312" w:cs="仿宋_GB2312"/>
          <w:color w:val="auto"/>
          <w:sz w:val="32"/>
          <w:lang w:eastAsia="zh-CN"/>
        </w:rPr>
        <w:t>鸿蒙</w:t>
      </w:r>
      <w:r>
        <w:rPr>
          <w:rFonts w:hint="eastAsia" w:ascii="仿宋_GB2312" w:hAnsi="仿宋_GB2312" w:eastAsia="仿宋_GB2312" w:cs="仿宋_GB2312"/>
          <w:color w:val="auto"/>
          <w:sz w:val="32"/>
        </w:rPr>
        <w:t>开源产业生态培育示范区。</w:t>
      </w:r>
    </w:p>
    <w:p>
      <w:pPr>
        <w:pStyle w:val="24"/>
        <w:ind w:firstLine="640"/>
        <w:outlineLvl w:val="0"/>
        <w:rPr>
          <w:rFonts w:hint="eastAsia" w:ascii="黑体" w:hAnsi="黑体" w:eastAsia="黑体" w:cs="黑体"/>
          <w:color w:val="auto"/>
          <w:kern w:val="24"/>
          <w:lang w:eastAsia="zh-CN"/>
        </w:rPr>
      </w:pPr>
      <w:bookmarkStart w:id="155" w:name="_Toc22832"/>
      <w:bookmarkStart w:id="156" w:name="_Toc11587"/>
      <w:bookmarkStart w:id="157" w:name="_Toc12616"/>
      <w:bookmarkStart w:id="158" w:name="_Toc30275"/>
      <w:bookmarkStart w:id="159" w:name="_Toc21461"/>
      <w:bookmarkStart w:id="160" w:name="_Toc25736"/>
      <w:bookmarkStart w:id="161" w:name="_Toc24720"/>
      <w:bookmarkStart w:id="162" w:name="_Toc5219"/>
      <w:bookmarkStart w:id="163" w:name="_Toc6748"/>
      <w:bookmarkStart w:id="164" w:name="_Toc26490"/>
      <w:bookmarkStart w:id="165" w:name="_Toc22812"/>
      <w:r>
        <w:rPr>
          <w:rFonts w:ascii="黑体" w:hAnsi="黑体" w:eastAsia="黑体" w:cs="黑体"/>
          <w:color w:val="auto"/>
          <w:kern w:val="24"/>
        </w:rPr>
        <w:t>四、</w:t>
      </w:r>
      <w:r>
        <w:rPr>
          <w:rFonts w:hint="eastAsia" w:ascii="黑体" w:hAnsi="黑体" w:eastAsia="黑体" w:cs="黑体"/>
          <w:color w:val="auto"/>
          <w:kern w:val="24"/>
          <w:lang w:val="en-US" w:eastAsia="zh-CN"/>
        </w:rPr>
        <w:t>壮大战略</w:t>
      </w:r>
      <w:r>
        <w:rPr>
          <w:rFonts w:ascii="黑体" w:hAnsi="黑体" w:eastAsia="黑体" w:cs="黑体"/>
          <w:color w:val="auto"/>
          <w:kern w:val="24"/>
        </w:rPr>
        <w:t>支撑产业</w:t>
      </w:r>
      <w:bookmarkEnd w:id="155"/>
      <w:bookmarkEnd w:id="156"/>
      <w:bookmarkEnd w:id="157"/>
      <w:bookmarkEnd w:id="158"/>
      <w:bookmarkEnd w:id="159"/>
      <w:bookmarkEnd w:id="160"/>
      <w:bookmarkEnd w:id="161"/>
      <w:bookmarkEnd w:id="162"/>
    </w:p>
    <w:p>
      <w:pPr>
        <w:outlineLvl w:val="1"/>
        <w:rPr>
          <w:rFonts w:hint="eastAsia" w:ascii="楷体_GB2312" w:hAnsi="楷体_GB2312" w:eastAsia="楷体_GB2312" w:cs="楷体_GB2312"/>
          <w:color w:val="auto"/>
          <w:kern w:val="24"/>
          <w:highlight w:val="yellow"/>
          <w:lang w:eastAsia="zh-CN"/>
        </w:rPr>
      </w:pPr>
      <w:bookmarkStart w:id="166" w:name="_Toc26219"/>
      <w:bookmarkStart w:id="167" w:name="_Toc22325"/>
      <w:bookmarkStart w:id="168" w:name="_Toc27633"/>
      <w:bookmarkStart w:id="169" w:name="_Toc5170"/>
      <w:bookmarkStart w:id="170" w:name="_Toc21386"/>
      <w:bookmarkStart w:id="171" w:name="_Toc12824"/>
      <w:bookmarkStart w:id="172" w:name="_Toc22775"/>
      <w:bookmarkStart w:id="173" w:name="_Toc32425"/>
      <w:r>
        <w:rPr>
          <w:rFonts w:hint="eastAsia" w:ascii="楷体_GB2312" w:hAnsi="楷体_GB2312" w:eastAsia="楷体_GB2312" w:cs="楷体_GB2312"/>
          <w:color w:val="auto"/>
          <w:kern w:val="24"/>
          <w:highlight w:val="none"/>
        </w:rPr>
        <w:t>（一）</w:t>
      </w:r>
      <w:r>
        <w:rPr>
          <w:rFonts w:hint="eastAsia" w:ascii="楷体_GB2312" w:hAnsi="楷体_GB2312" w:eastAsia="楷体_GB2312" w:cs="楷体_GB2312"/>
          <w:color w:val="auto"/>
          <w:kern w:val="24"/>
          <w:highlight w:val="none"/>
          <w:lang w:val="en-US" w:eastAsia="zh-CN"/>
        </w:rPr>
        <w:t>做大做强高端技术</w:t>
      </w:r>
      <w:r>
        <w:rPr>
          <w:rFonts w:hint="eastAsia" w:ascii="楷体_GB2312" w:hAnsi="楷体_GB2312" w:eastAsia="楷体_GB2312" w:cs="楷体_GB2312"/>
          <w:color w:val="auto"/>
          <w:kern w:val="24"/>
          <w:highlight w:val="none"/>
        </w:rPr>
        <w:t>装备</w:t>
      </w:r>
      <w:r>
        <w:rPr>
          <w:rFonts w:hint="eastAsia" w:ascii="楷体_GB2312" w:hAnsi="楷体_GB2312" w:eastAsia="楷体_GB2312" w:cs="楷体_GB2312"/>
          <w:color w:val="auto"/>
          <w:kern w:val="24"/>
          <w:highlight w:val="none"/>
          <w:lang w:val="en-US" w:eastAsia="zh-CN"/>
        </w:rPr>
        <w:t>与精密仪器仪表产业</w:t>
      </w:r>
      <w:bookmarkEnd w:id="166"/>
      <w:bookmarkEnd w:id="167"/>
      <w:bookmarkEnd w:id="168"/>
      <w:bookmarkEnd w:id="169"/>
      <w:bookmarkEnd w:id="170"/>
      <w:bookmarkEnd w:id="171"/>
      <w:bookmarkEnd w:id="172"/>
      <w:bookmarkEnd w:id="173"/>
    </w:p>
    <w:p>
      <w:pPr>
        <w:outlineLvl w:val="9"/>
        <w:rPr>
          <w:b/>
          <w:color w:val="auto"/>
        </w:rPr>
      </w:pPr>
      <w:r>
        <w:rPr>
          <w:rFonts w:hint="eastAsia" w:ascii="仿宋_GB2312" w:hAnsi="仿宋_GB2312" w:eastAsia="仿宋_GB2312" w:cs="仿宋_GB2312"/>
          <w:color w:val="auto"/>
          <w:kern w:val="24"/>
        </w:rPr>
        <w:t>重点围绕3D打印、激光装备、工业母机</w:t>
      </w:r>
      <w:r>
        <w:rPr>
          <w:rFonts w:hint="eastAsia" w:ascii="仿宋_GB2312" w:hAnsi="仿宋_GB2312" w:eastAsia="仿宋_GB2312" w:cs="仿宋_GB2312"/>
          <w:color w:val="auto"/>
          <w:lang w:bidi="ar"/>
        </w:rPr>
        <w:t>等领域，打造全国3D打印引领区、智能装备产业创新发展高地。</w:t>
      </w:r>
      <w:r>
        <w:rPr>
          <w:rFonts w:hint="eastAsia" w:ascii="仿宋_GB2312" w:hAnsi="仿宋_GB2312" w:eastAsia="仿宋_GB2312" w:cs="仿宋_GB2312"/>
          <w:b/>
          <w:bCs/>
          <w:color w:val="auto"/>
          <w:lang w:bidi="ar"/>
        </w:rPr>
        <w:t>提升</w:t>
      </w:r>
      <w:r>
        <w:rPr>
          <w:rFonts w:hint="eastAsia" w:ascii="仿宋_GB2312" w:hAnsi="仿宋_GB2312" w:eastAsia="仿宋_GB2312" w:cs="仿宋_GB2312"/>
          <w:b/>
          <w:bCs/>
          <w:color w:val="auto"/>
          <w:lang w:val="en-US" w:eastAsia="zh-CN" w:bidi="ar"/>
        </w:rPr>
        <w:t>高端技术</w:t>
      </w:r>
      <w:r>
        <w:rPr>
          <w:rFonts w:hint="eastAsia" w:ascii="仿宋_GB2312" w:hAnsi="仿宋_GB2312" w:eastAsia="仿宋_GB2312" w:cs="仿宋_GB2312"/>
          <w:b/>
          <w:bCs/>
          <w:color w:val="auto"/>
          <w:lang w:bidi="ar"/>
        </w:rPr>
        <w:t>装备供给能力。</w:t>
      </w:r>
      <w:r>
        <w:rPr>
          <w:rFonts w:hint="eastAsia" w:ascii="仿宋_GB2312" w:hAnsi="仿宋_GB2312" w:eastAsia="仿宋_GB2312" w:cs="仿宋_GB2312"/>
          <w:b/>
          <w:bCs/>
          <w:color w:val="auto"/>
          <w:kern w:val="2"/>
        </w:rPr>
        <w:t>3D打印方面，</w:t>
      </w:r>
      <w:r>
        <w:rPr>
          <w:rFonts w:hint="eastAsia" w:ascii="仿宋_GB2312" w:hAnsi="仿宋_GB2312" w:eastAsia="仿宋_GB2312" w:cs="仿宋_GB2312"/>
          <w:color w:val="auto"/>
          <w:kern w:val="2"/>
        </w:rPr>
        <w:t>持续巩固提升消费级3D打印机领先优势，依托全国数字化设计与3D打印产教融合共同体等，联动潮玩IP打造爆款</w:t>
      </w:r>
      <w:r>
        <w:rPr>
          <w:rFonts w:hint="eastAsia" w:ascii="仿宋_GB2312" w:hAnsi="仿宋_GB2312" w:eastAsia="仿宋_GB2312" w:cs="仿宋_GB2312"/>
          <w:color w:val="auto"/>
          <w:kern w:val="2"/>
          <w:lang w:val="en-US" w:eastAsia="zh-CN"/>
        </w:rPr>
        <w:t>产品</w:t>
      </w:r>
      <w:r>
        <w:rPr>
          <w:rFonts w:hint="eastAsia" w:ascii="仿宋_GB2312" w:hAnsi="仿宋_GB2312" w:eastAsia="仿宋_GB2312" w:cs="仿宋_GB2312"/>
          <w:color w:val="auto"/>
          <w:kern w:val="2"/>
          <w:lang w:eastAsia="zh-CN"/>
        </w:rPr>
        <w:t>。</w:t>
      </w:r>
      <w:r>
        <w:rPr>
          <w:rFonts w:hint="eastAsia" w:ascii="仿宋_GB2312" w:hAnsi="仿宋_GB2312" w:eastAsia="仿宋_GB2312" w:cs="仿宋_GB2312"/>
          <w:color w:val="auto"/>
          <w:kern w:val="2"/>
        </w:rPr>
        <w:t>支持企业研制金属3D打印设备、连续碳纤维增强热塑性复合材料3D打印机等工业级3D打印机</w:t>
      </w:r>
      <w:r>
        <w:rPr>
          <w:rFonts w:hint="eastAsia" w:ascii="仿宋_GB2312" w:hAnsi="仿宋_GB2312" w:eastAsia="仿宋_GB2312" w:cs="仿宋_GB2312"/>
          <w:color w:val="auto"/>
          <w:kern w:val="2"/>
          <w:lang w:eastAsia="zh-CN"/>
        </w:rPr>
        <w:t>。</w:t>
      </w:r>
      <w:r>
        <w:rPr>
          <w:rFonts w:hint="eastAsia" w:ascii="仿宋_GB2312" w:hAnsi="仿宋_GB2312" w:eastAsia="仿宋_GB2312" w:cs="仿宋_GB2312"/>
          <w:color w:val="auto"/>
          <w:kern w:val="2"/>
        </w:rPr>
        <w:t>支持研制多样化3D打印专用耗材，突破3D打印头、特种粉末冶金材料等产业链短板。</w:t>
      </w:r>
      <w:r>
        <w:rPr>
          <w:rFonts w:hint="eastAsia" w:ascii="仿宋_GB2312" w:hAnsi="仿宋_GB2312" w:eastAsia="仿宋_GB2312" w:cs="仿宋_GB2312"/>
          <w:b/>
          <w:bCs/>
          <w:color w:val="auto"/>
          <w:kern w:val="24"/>
        </w:rPr>
        <w:t>激光装备方面</w:t>
      </w:r>
      <w:r>
        <w:rPr>
          <w:rFonts w:hint="eastAsia" w:ascii="仿宋_GB2312" w:hAnsi="仿宋_GB2312" w:eastAsia="仿宋_GB2312" w:cs="仿宋_GB2312"/>
          <w:color w:val="auto"/>
          <w:kern w:val="24"/>
        </w:rPr>
        <w:t>，</w:t>
      </w:r>
      <w:r>
        <w:rPr>
          <w:rFonts w:hint="eastAsia" w:ascii="仿宋_GB2312" w:hAnsi="仿宋_GB2312" w:eastAsia="仿宋_GB2312" w:cs="仿宋_GB2312"/>
          <w:bCs/>
          <w:color w:val="auto"/>
        </w:rPr>
        <w:t>支持龙头企业围绕激光器、激光芯片等关键核心零部件开展研发，加快攻关高精密激光装备、</w:t>
      </w:r>
      <w:r>
        <w:rPr>
          <w:rFonts w:hint="eastAsia" w:ascii="仿宋_GB2312" w:hAnsi="仿宋_GB2312" w:eastAsia="仿宋_GB2312" w:cs="仿宋_GB2312"/>
          <w:bCs/>
          <w:color w:val="auto"/>
          <w:kern w:val="2"/>
        </w:rPr>
        <w:t>超快光纤激光器</w:t>
      </w:r>
      <w:r>
        <w:rPr>
          <w:rFonts w:hint="eastAsia" w:ascii="仿宋_GB2312" w:hAnsi="仿宋_GB2312" w:eastAsia="仿宋_GB2312" w:cs="仿宋_GB2312"/>
          <w:bCs/>
          <w:color w:val="auto"/>
          <w:kern w:val="2"/>
          <w:lang w:eastAsia="zh-CN"/>
        </w:rPr>
        <w:t>、连续绿光激光器</w:t>
      </w:r>
      <w:r>
        <w:rPr>
          <w:rFonts w:hint="eastAsia" w:ascii="仿宋_GB2312" w:hAnsi="仿宋_GB2312" w:eastAsia="仿宋_GB2312" w:cs="仿宋_GB2312"/>
          <w:bCs/>
          <w:color w:val="auto"/>
        </w:rPr>
        <w:t>，提升激光装备产品市场竞争力。</w:t>
      </w:r>
      <w:r>
        <w:rPr>
          <w:rFonts w:hint="eastAsia" w:ascii="仿宋_GB2312" w:hAnsi="仿宋_GB2312" w:eastAsia="仿宋_GB2312" w:cs="仿宋_GB2312"/>
          <w:b/>
          <w:bCs/>
          <w:color w:val="auto"/>
          <w:lang w:bidi="ar"/>
        </w:rPr>
        <w:t>工业母机方面</w:t>
      </w:r>
      <w:r>
        <w:rPr>
          <w:rFonts w:hint="eastAsia" w:ascii="仿宋_GB2312" w:hAnsi="仿宋_GB2312" w:eastAsia="仿宋_GB2312" w:cs="仿宋_GB2312"/>
          <w:color w:val="auto"/>
          <w:lang w:bidi="ar"/>
        </w:rPr>
        <w:t>，</w:t>
      </w:r>
      <w:r>
        <w:rPr>
          <w:rFonts w:hint="eastAsia" w:ascii="仿宋_GB2312" w:hAnsi="仿宋_GB2312" w:eastAsia="仿宋_GB2312" w:cs="仿宋_GB2312"/>
          <w:color w:val="auto"/>
          <w:kern w:val="2"/>
          <w:lang w:bidi="ar-SA"/>
        </w:rPr>
        <w:t>重点聚焦专用设备、驱动系统、功能部件、数控系统等四大领域，集中突破</w:t>
      </w:r>
      <w:r>
        <w:rPr>
          <w:rFonts w:hint="eastAsia" w:ascii="仿宋_GB2312" w:hAnsi="仿宋_GB2312" w:eastAsia="仿宋_GB2312" w:cs="仿宋_GB2312"/>
          <w:color w:val="auto"/>
        </w:rPr>
        <w:t>高端数控机床主轴、丝杠导轨、高端数控系统等</w:t>
      </w:r>
      <w:r>
        <w:rPr>
          <w:rFonts w:hint="eastAsia" w:ascii="仿宋_GB2312" w:hAnsi="仿宋_GB2312" w:eastAsia="仿宋_GB2312" w:cs="仿宋_GB2312"/>
          <w:color w:val="auto"/>
          <w:kern w:val="2"/>
          <w:lang w:bidi="ar-SA"/>
        </w:rPr>
        <w:t>关键核心技术，</w:t>
      </w:r>
      <w:r>
        <w:rPr>
          <w:rFonts w:hint="eastAsia" w:ascii="仿宋_GB2312" w:hAnsi="仿宋_GB2312" w:eastAsia="仿宋_GB2312" w:cs="仿宋_GB2312"/>
          <w:color w:val="auto"/>
          <w:kern w:val="2"/>
        </w:rPr>
        <w:t>打造电子专用设备与机床数字化应用集聚区。</w:t>
      </w:r>
      <w:r>
        <w:rPr>
          <w:rFonts w:hint="eastAsia" w:ascii="仿宋_GB2312" w:hAnsi="仿宋_GB2312" w:eastAsia="仿宋_GB2312" w:cs="仿宋_GB2312"/>
          <w:b/>
          <w:color w:val="auto"/>
        </w:rPr>
        <w:t>强化</w:t>
      </w:r>
      <w:r>
        <w:rPr>
          <w:rFonts w:hint="eastAsia" w:ascii="仿宋_GB2312" w:hAnsi="仿宋_GB2312" w:eastAsia="仿宋_GB2312" w:cs="仿宋_GB2312"/>
          <w:b/>
          <w:color w:val="auto"/>
          <w:lang w:val="en-US" w:eastAsia="zh-CN"/>
        </w:rPr>
        <w:t>高端技术</w:t>
      </w:r>
      <w:r>
        <w:rPr>
          <w:rFonts w:hint="eastAsia" w:ascii="仿宋_GB2312" w:hAnsi="仿宋_GB2312" w:eastAsia="仿宋_GB2312" w:cs="仿宋_GB2312"/>
          <w:b/>
          <w:color w:val="auto"/>
        </w:rPr>
        <w:t>装备推广应用，</w:t>
      </w:r>
      <w:r>
        <w:rPr>
          <w:rFonts w:hint="eastAsia" w:ascii="仿宋_GB2312" w:hAnsi="仿宋_GB2312" w:eastAsia="仿宋_GB2312" w:cs="仿宋_GB2312"/>
          <w:color w:val="auto"/>
          <w:lang w:bidi="ar"/>
        </w:rPr>
        <w:t>聚焦数控机床制造装备、增材制造装备、激光加工制造装备、智能检验装备、精密</w:t>
      </w:r>
      <w:r>
        <w:rPr>
          <w:rFonts w:hint="eastAsia" w:ascii="仿宋_GB2312" w:hAnsi="仿宋_GB2312" w:eastAsia="仿宋_GB2312" w:cs="仿宋_GB2312"/>
          <w:color w:val="auto"/>
          <w:lang w:val="en-US" w:eastAsia="zh-CN" w:bidi="ar"/>
        </w:rPr>
        <w:t>仪器仪表</w:t>
      </w:r>
      <w:r>
        <w:rPr>
          <w:rFonts w:hint="eastAsia" w:ascii="仿宋_GB2312" w:hAnsi="仿宋_GB2312" w:eastAsia="仿宋_GB2312" w:cs="仿宋_GB2312"/>
          <w:color w:val="auto"/>
          <w:lang w:bidi="ar"/>
        </w:rPr>
        <w:t>等产品，组织开展产需对接，支持</w:t>
      </w:r>
      <w:r>
        <w:rPr>
          <w:rFonts w:hint="eastAsia" w:ascii="仿宋_GB2312" w:hAnsi="仿宋_GB2312" w:eastAsia="仿宋_GB2312" w:cs="仿宋_GB2312"/>
          <w:bCs/>
          <w:color w:val="auto"/>
        </w:rPr>
        <w:t>首台（套）重大技术装备推广应用，</w:t>
      </w:r>
      <w:r>
        <w:rPr>
          <w:rFonts w:hint="eastAsia" w:ascii="仿宋_GB2312" w:hAnsi="仿宋_GB2312" w:eastAsia="仿宋_GB2312" w:cs="仿宋_GB2312"/>
          <w:color w:val="auto"/>
          <w:lang w:bidi="ar"/>
        </w:rPr>
        <w:t>宣传优秀装备应用案例。</w:t>
      </w:r>
      <w:r>
        <w:rPr>
          <w:rFonts w:hint="eastAsia" w:ascii="仿宋_GB2312" w:hAnsi="仿宋_GB2312" w:eastAsia="仿宋_GB2312" w:cs="仿宋_GB2312"/>
          <w:b/>
          <w:color w:val="auto"/>
        </w:rPr>
        <w:t>精密</w:t>
      </w:r>
      <w:r>
        <w:rPr>
          <w:rFonts w:hint="eastAsia" w:ascii="仿宋_GB2312" w:hAnsi="仿宋_GB2312" w:eastAsia="仿宋_GB2312" w:cs="仿宋_GB2312"/>
          <w:b/>
          <w:color w:val="auto"/>
          <w:lang w:val="en-US" w:eastAsia="zh-CN"/>
        </w:rPr>
        <w:t>仪器仪表</w:t>
      </w:r>
      <w:r>
        <w:rPr>
          <w:rFonts w:hint="eastAsia" w:ascii="仿宋_GB2312" w:hAnsi="仿宋_GB2312" w:eastAsia="仿宋_GB2312" w:cs="仿宋_GB2312"/>
          <w:b/>
          <w:color w:val="auto"/>
        </w:rPr>
        <w:t>方面，</w:t>
      </w:r>
      <w:r>
        <w:rPr>
          <w:rFonts w:hint="eastAsia" w:ascii="仿宋_GB2312" w:hAnsi="仿宋_GB2312" w:eastAsia="仿宋_GB2312" w:cs="仿宋_GB2312"/>
          <w:color w:val="auto"/>
        </w:rPr>
        <w:t>集中力量突破基于人工智能的缺陷检测算法、3D视觉测量技术、高速高精度运动控制系统，支持企业研制桥式测量机、龙门测量机、悬臂测量机</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高端电子专用仪器仪表</w:t>
      </w:r>
      <w:r>
        <w:rPr>
          <w:rFonts w:hint="eastAsia" w:ascii="仿宋_GB2312" w:hAnsi="仿宋_GB2312" w:eastAsia="仿宋_GB2312" w:cs="仿宋_GB2312"/>
          <w:color w:val="auto"/>
        </w:rPr>
        <w:t>等，</w:t>
      </w:r>
      <w:r>
        <w:rPr>
          <w:rFonts w:hint="eastAsia" w:ascii="仿宋_GB2312" w:hAnsi="仿宋_GB2312" w:eastAsia="仿宋_GB2312" w:cs="仿宋_GB2312"/>
          <w:color w:val="auto"/>
          <w:lang w:bidi="ar"/>
        </w:rPr>
        <w:t>推进关键检测</w:t>
      </w:r>
      <w:r>
        <w:rPr>
          <w:rFonts w:hint="eastAsia" w:ascii="仿宋_GB2312" w:hAnsi="仿宋_GB2312" w:eastAsia="仿宋_GB2312" w:cs="仿宋_GB2312"/>
          <w:color w:val="auto"/>
          <w:lang w:val="en-US" w:eastAsia="zh-CN" w:bidi="ar"/>
        </w:rPr>
        <w:t>仪器</w:t>
      </w:r>
      <w:r>
        <w:rPr>
          <w:rFonts w:hint="eastAsia" w:ascii="仿宋_GB2312" w:hAnsi="仿宋_GB2312" w:eastAsia="仿宋_GB2312" w:cs="仿宋_GB2312"/>
          <w:color w:val="auto"/>
          <w:lang w:bidi="ar"/>
        </w:rPr>
        <w:t>和精密测量技术自主可控与国产化替代。</w:t>
      </w:r>
    </w:p>
    <w:p>
      <w:pPr>
        <w:outlineLvl w:val="1"/>
        <w:rPr>
          <w:rFonts w:hint="default" w:ascii="楷体_GB2312" w:hAnsi="楷体_GB2312" w:eastAsia="楷体_GB2312" w:cs="楷体_GB2312"/>
          <w:color w:val="auto"/>
          <w:kern w:val="24"/>
          <w:lang w:val="en-US" w:eastAsia="zh-CN"/>
        </w:rPr>
      </w:pPr>
      <w:bookmarkStart w:id="174" w:name="_Toc28917"/>
      <w:bookmarkStart w:id="175" w:name="_Toc13173"/>
      <w:bookmarkStart w:id="176" w:name="_Toc21251"/>
      <w:bookmarkStart w:id="177" w:name="_Toc24254"/>
      <w:bookmarkStart w:id="178" w:name="_Toc14832"/>
      <w:bookmarkStart w:id="179" w:name="_Toc12787"/>
      <w:bookmarkStart w:id="180" w:name="_Toc24417"/>
      <w:bookmarkStart w:id="181" w:name="_Toc26002"/>
      <w:r>
        <w:rPr>
          <w:rFonts w:hint="eastAsia" w:ascii="楷体_GB2312" w:hAnsi="楷体_GB2312" w:eastAsia="楷体_GB2312" w:cs="楷体_GB2312"/>
          <w:color w:val="auto"/>
          <w:kern w:val="24"/>
        </w:rPr>
        <w:t>（二）</w:t>
      </w:r>
      <w:r>
        <w:rPr>
          <w:rFonts w:hint="eastAsia" w:ascii="楷体_GB2312" w:hAnsi="楷体_GB2312" w:eastAsia="楷体_GB2312" w:cs="楷体_GB2312"/>
          <w:color w:val="auto"/>
          <w:kern w:val="24"/>
          <w:lang w:val="en-US" w:eastAsia="zh-CN"/>
        </w:rPr>
        <w:t>加速</w:t>
      </w:r>
      <w:r>
        <w:rPr>
          <w:rFonts w:hint="eastAsia" w:ascii="楷体_GB2312" w:hAnsi="楷体_GB2312" w:eastAsia="楷体_GB2312" w:cs="楷体_GB2312"/>
          <w:color w:val="auto"/>
          <w:kern w:val="24"/>
        </w:rPr>
        <w:t>智能</w:t>
      </w:r>
      <w:r>
        <w:rPr>
          <w:rFonts w:hint="eastAsia" w:ascii="楷体_GB2312" w:hAnsi="楷体_GB2312" w:eastAsia="楷体_GB2312" w:cs="楷体_GB2312"/>
          <w:color w:val="auto"/>
          <w:kern w:val="24"/>
          <w:lang w:val="en-US" w:eastAsia="zh-CN"/>
        </w:rPr>
        <w:t>网联新能源</w:t>
      </w:r>
      <w:r>
        <w:rPr>
          <w:rFonts w:hint="eastAsia" w:ascii="楷体_GB2312" w:hAnsi="楷体_GB2312" w:eastAsia="楷体_GB2312" w:cs="楷体_GB2312"/>
          <w:color w:val="auto"/>
          <w:kern w:val="24"/>
        </w:rPr>
        <w:t>汽车</w:t>
      </w:r>
      <w:r>
        <w:rPr>
          <w:rFonts w:hint="eastAsia" w:ascii="楷体_GB2312" w:hAnsi="楷体_GB2312" w:eastAsia="楷体_GB2312" w:cs="楷体_GB2312"/>
          <w:color w:val="auto"/>
          <w:kern w:val="24"/>
          <w:lang w:val="en-US" w:eastAsia="zh-CN"/>
        </w:rPr>
        <w:t>能级跃升</w:t>
      </w:r>
      <w:bookmarkEnd w:id="174"/>
      <w:bookmarkEnd w:id="175"/>
      <w:bookmarkEnd w:id="176"/>
      <w:bookmarkEnd w:id="177"/>
      <w:bookmarkEnd w:id="178"/>
      <w:bookmarkEnd w:id="179"/>
      <w:bookmarkEnd w:id="180"/>
      <w:bookmarkEnd w:id="181"/>
    </w:p>
    <w:bookmarkEnd w:id="104"/>
    <w:bookmarkEnd w:id="105"/>
    <w:bookmarkEnd w:id="106"/>
    <w:bookmarkEnd w:id="107"/>
    <w:bookmarkEnd w:id="108"/>
    <w:bookmarkEnd w:id="163"/>
    <w:bookmarkEnd w:id="164"/>
    <w:bookmarkEnd w:id="165"/>
    <w:p>
      <w:pPr>
        <w:widowControl/>
        <w:outlineLvl w:val="9"/>
        <w:rPr>
          <w:rFonts w:ascii="仿宋_GB2312" w:cs="仿宋_GB2312"/>
          <w:color w:val="auto"/>
        </w:rPr>
      </w:pPr>
      <w:bookmarkStart w:id="182" w:name="_Toc24554"/>
      <w:bookmarkStart w:id="183" w:name="_Toc5435"/>
      <w:bookmarkStart w:id="184" w:name="_Toc116"/>
      <w:bookmarkStart w:id="185" w:name="_Toc12922"/>
      <w:bookmarkStart w:id="186" w:name="_Toc17069"/>
      <w:bookmarkStart w:id="187" w:name="_Toc1693"/>
      <w:bookmarkStart w:id="188" w:name="_Toc2307"/>
      <w:bookmarkStart w:id="189" w:name="_Toc697"/>
      <w:bookmarkStart w:id="190" w:name="_Toc8611"/>
      <w:bookmarkStart w:id="191" w:name="_Toc23257"/>
      <w:bookmarkStart w:id="192" w:name="_Toc17766"/>
      <w:r>
        <w:rPr>
          <w:rFonts w:hint="eastAsia" w:ascii="仿宋_GB2312" w:hAnsi="仿宋_GB2312" w:eastAsia="仿宋_GB2312" w:cs="仿宋_GB2312"/>
          <w:color w:val="auto"/>
          <w:kern w:val="24"/>
        </w:rPr>
        <w:t>围绕电池、电机和电控“三电”和智能驾驶、智能座舱和智能网联“三智”领域，加快构建“AI+整车智能”垂直生态，</w:t>
      </w:r>
      <w:r>
        <w:rPr>
          <w:rFonts w:hint="eastAsia" w:ascii="仿宋_GB2312" w:hAnsi="仿宋_GB2312" w:eastAsia="仿宋_GB2312" w:cs="仿宋_GB2312"/>
          <w:color w:val="auto"/>
        </w:rPr>
        <w:t>打造智能网联汽车智造中心。</w:t>
      </w:r>
      <w:r>
        <w:rPr>
          <w:rFonts w:hint="eastAsia" w:ascii="仿宋_GB2312" w:hAnsi="仿宋_GB2312" w:eastAsia="仿宋_GB2312" w:cs="仿宋_GB2312"/>
          <w:b/>
          <w:bCs/>
          <w:color w:val="auto"/>
        </w:rPr>
        <w:t>提升智能网联汽车发展能级。</w:t>
      </w:r>
      <w:r>
        <w:rPr>
          <w:rFonts w:hint="eastAsia" w:ascii="仿宋_GB2312" w:hAnsi="仿宋_GB2312" w:eastAsia="仿宋_GB2312" w:cs="仿宋_GB2312"/>
          <w:color w:val="auto"/>
          <w:kern w:val="24"/>
        </w:rPr>
        <w:t>坚持电动化、网联化、智能化发展方向，支持</w:t>
      </w:r>
      <w:r>
        <w:rPr>
          <w:rFonts w:hint="eastAsia" w:ascii="仿宋_GB2312" w:hAnsi="仿宋_GB2312" w:eastAsia="仿宋_GB2312" w:cs="仿宋_GB2312"/>
          <w:color w:val="auto"/>
          <w:kern w:val="24"/>
          <w:lang w:val="en-US" w:eastAsia="zh-CN"/>
        </w:rPr>
        <w:t>企业</w:t>
      </w:r>
      <w:r>
        <w:rPr>
          <w:rFonts w:hint="eastAsia" w:ascii="仿宋_GB2312" w:hAnsi="仿宋_GB2312" w:eastAsia="仿宋_GB2312" w:cs="仿宋_GB2312"/>
          <w:color w:val="auto"/>
          <w:kern w:val="24"/>
        </w:rPr>
        <w:t>围绕智能汽车全栈解决方案的研发与推广，加强智能驾驶、智能座舱以及智能车控等关键领域技术突破。积极拓展电动无人重卡等细分领域和潜力赛道。推动车规级激光雷达、4D毫米波雷达、光纤惯导、AR-HUD、高端自动驾驶域控制器、座舱域控制器、车载磁性元器件等相关产品研发和产业化。</w:t>
      </w:r>
      <w:r>
        <w:rPr>
          <w:rFonts w:hint="eastAsia" w:ascii="仿宋_GB2312" w:hAnsi="仿宋_GB2312" w:eastAsia="仿宋_GB2312" w:cs="仿宋_GB2312"/>
          <w:color w:val="auto"/>
        </w:rPr>
        <w:t>重点攻关先进驱动电机控制器、充换电设施等“三电”环节技术。探索引进车机系统、液晶仪表、HUD、T-BOX、传感器等“三智”领域优质企业。</w:t>
      </w:r>
      <w:r>
        <w:rPr>
          <w:rFonts w:hint="eastAsia" w:ascii="仿宋_GB2312" w:hAnsi="仿宋_GB2312" w:eastAsia="仿宋_GB2312" w:cs="仿宋_GB2312"/>
          <w:b/>
          <w:bCs/>
          <w:color w:val="auto"/>
          <w:kern w:val="24"/>
        </w:rPr>
        <w:t>构建创新、中试、测试认证平台体系。</w:t>
      </w:r>
      <w:r>
        <w:rPr>
          <w:rFonts w:hint="eastAsia" w:ascii="仿宋_GB2312" w:hAnsi="仿宋_GB2312" w:eastAsia="仿宋_GB2312" w:cs="仿宋_GB2312"/>
          <w:color w:val="auto"/>
          <w:kern w:val="24"/>
        </w:rPr>
        <w:t>加强与电子科技大学、深圳计算科学研究院等高校院所对接，联合辖区重点企业，共建智能网联汽车产业技术创新平台。鼓励龙头企业建设动力总成测试平台、一体化仿真测评实验平台、关键零部件检验检测认证平台。</w:t>
      </w:r>
      <w:r>
        <w:rPr>
          <w:rFonts w:hint="eastAsia" w:ascii="仿宋_GB2312" w:hAnsi="仿宋_GB2312" w:eastAsia="仿宋_GB2312" w:cs="仿宋_GB2312"/>
          <w:b/>
          <w:bCs/>
          <w:color w:val="auto"/>
          <w:kern w:val="24"/>
        </w:rPr>
        <w:t>推动场景规模化商业化应用。</w:t>
      </w:r>
      <w:r>
        <w:rPr>
          <w:rFonts w:hint="eastAsia" w:ascii="仿宋_GB2312" w:hAnsi="仿宋_GB2312" w:eastAsia="仿宋_GB2312" w:cs="仿宋_GB2312"/>
          <w:color w:val="auto"/>
          <w:kern w:val="24"/>
        </w:rPr>
        <w:t>打造“</w:t>
      </w:r>
      <w:r>
        <w:rPr>
          <w:rFonts w:hint="eastAsia" w:ascii="仿宋_GB2312" w:hAnsi="仿宋_GB2312" w:eastAsia="仿宋_GB2312" w:cs="仿宋_GB2312"/>
          <w:color w:val="auto"/>
        </w:rPr>
        <w:t>科技+时尚”主题智能网联汽车特色示范区，推动在银星科学园、锦绣科学园、观澜高尔夫球场、大浪时尚小镇等场所，开展智能环卫车、智能巡逻车通勤接驳巴士、自动驾驶网约车等多类型载物载人场景的规模化应用</w:t>
      </w:r>
      <w:r>
        <w:rPr>
          <w:rFonts w:hint="eastAsia" w:ascii="仿宋_GB2312" w:hAnsi="仿宋_GB2312" w:eastAsia="仿宋_GB2312" w:cs="仿宋_GB2312"/>
          <w:color w:val="auto"/>
          <w:kern w:val="24"/>
        </w:rPr>
        <w:t>，支持企业开展智能网联汽车出行、物流等商业运营服务，以商业化应用促进产业超常规发展</w:t>
      </w:r>
      <w:r>
        <w:rPr>
          <w:rFonts w:hint="eastAsia" w:ascii="仿宋_GB2312" w:hAnsi="仿宋_GB2312" w:eastAsia="仿宋_GB2312" w:cs="仿宋_GB2312"/>
          <w:color w:val="auto"/>
        </w:rPr>
        <w:t>。</w:t>
      </w:r>
    </w:p>
    <w:p>
      <w:pPr>
        <w:pStyle w:val="2"/>
        <w:widowControl/>
        <w:rPr>
          <w:rStyle w:val="23"/>
          <w:rFonts w:hint="eastAsia" w:eastAsia="黑体"/>
          <w:color w:val="auto"/>
          <w:lang w:eastAsia="zh-CN"/>
        </w:rPr>
      </w:pPr>
      <w:bookmarkStart w:id="193" w:name="_Toc74"/>
      <w:bookmarkStart w:id="194" w:name="_Toc30471"/>
      <w:bookmarkStart w:id="195" w:name="_Toc5210"/>
      <w:bookmarkStart w:id="196" w:name="_Toc4288"/>
      <w:bookmarkStart w:id="197" w:name="_Toc13899"/>
      <w:bookmarkStart w:id="198" w:name="_Toc4903"/>
      <w:bookmarkStart w:id="199" w:name="_Toc14956"/>
      <w:bookmarkStart w:id="200" w:name="_Toc22620"/>
      <w:r>
        <w:rPr>
          <w:color w:val="auto"/>
        </w:rPr>
        <w:t>五、</w:t>
      </w:r>
      <w:r>
        <w:rPr>
          <w:rFonts w:hint="eastAsia"/>
          <w:color w:val="auto"/>
          <w:lang w:val="en-US" w:eastAsia="zh-CN"/>
        </w:rPr>
        <w:t>培育壮大</w:t>
      </w:r>
      <w:r>
        <w:rPr>
          <w:color w:val="auto"/>
        </w:rPr>
        <w:t>潜力</w:t>
      </w:r>
      <w:r>
        <w:rPr>
          <w:rFonts w:hint="eastAsia"/>
          <w:color w:val="auto"/>
          <w:lang w:val="en-US" w:eastAsia="zh-CN"/>
        </w:rPr>
        <w:t>产业</w:t>
      </w:r>
      <w:bookmarkEnd w:id="193"/>
      <w:bookmarkEnd w:id="194"/>
      <w:bookmarkEnd w:id="195"/>
      <w:bookmarkEnd w:id="196"/>
      <w:bookmarkEnd w:id="197"/>
      <w:bookmarkEnd w:id="198"/>
      <w:bookmarkEnd w:id="199"/>
      <w:bookmarkEnd w:id="200"/>
    </w:p>
    <w:p>
      <w:pPr>
        <w:pStyle w:val="3"/>
        <w:widowControl/>
        <w:rPr>
          <w:rFonts w:hint="eastAsia" w:eastAsia="楷体_GB2312"/>
          <w:color w:val="auto"/>
          <w:lang w:eastAsia="zh-CN"/>
        </w:rPr>
      </w:pPr>
      <w:bookmarkStart w:id="201" w:name="_Toc18030"/>
      <w:bookmarkStart w:id="202" w:name="_Toc5335"/>
      <w:bookmarkStart w:id="203" w:name="_Toc19467"/>
      <w:bookmarkStart w:id="204" w:name="_Toc21217"/>
      <w:bookmarkStart w:id="205" w:name="_Toc12493"/>
      <w:bookmarkStart w:id="206" w:name="_Toc16690"/>
      <w:bookmarkStart w:id="207" w:name="_Toc7918"/>
      <w:bookmarkStart w:id="208" w:name="_Toc21196"/>
      <w:r>
        <w:rPr>
          <w:rStyle w:val="18"/>
          <w:rFonts w:hint="eastAsia"/>
          <w:color w:val="auto"/>
        </w:rPr>
        <w:t>（一）</w:t>
      </w:r>
      <w:r>
        <w:rPr>
          <w:rStyle w:val="18"/>
          <w:rFonts w:hint="eastAsia"/>
          <w:color w:val="auto"/>
          <w:lang w:val="en-US" w:eastAsia="zh-CN"/>
        </w:rPr>
        <w:t>打造世界级半导体产业科技中心</w:t>
      </w:r>
      <w:bookmarkEnd w:id="201"/>
      <w:bookmarkEnd w:id="202"/>
      <w:bookmarkEnd w:id="203"/>
      <w:bookmarkEnd w:id="204"/>
      <w:bookmarkEnd w:id="205"/>
      <w:bookmarkEnd w:id="206"/>
      <w:bookmarkEnd w:id="207"/>
      <w:bookmarkEnd w:id="208"/>
    </w:p>
    <w:p>
      <w:pPr>
        <w:outlineLvl w:val="9"/>
        <w:rPr>
          <w:rFonts w:hint="eastAsia" w:ascii="仿宋_GB2312" w:hAnsi="仿宋_GB2312" w:eastAsia="仿宋_GB2312" w:cs="仿宋_GB2312"/>
          <w:color w:val="auto"/>
          <w:kern w:val="24"/>
        </w:rPr>
      </w:pPr>
      <w:r>
        <w:rPr>
          <w:rFonts w:hint="eastAsia" w:ascii="仿宋_GB2312" w:hAnsi="仿宋_GB2312" w:eastAsia="仿宋_GB2312" w:cs="仿宋_GB2312"/>
          <w:color w:val="auto"/>
          <w:kern w:val="24"/>
        </w:rPr>
        <w:t>聚焦半导体与集成电路产业关键领域突破，重点发展第三代半导体、先进封测、光芯片等环节，构建全链条产业生态，增强源头创新能力与产业核心竞争力，协同打造世界级半导体</w:t>
      </w:r>
      <w:r>
        <w:rPr>
          <w:rFonts w:hint="eastAsia" w:ascii="仿宋_GB2312" w:hAnsi="仿宋_GB2312" w:eastAsia="仿宋_GB2312" w:cs="仿宋_GB2312"/>
          <w:color w:val="auto"/>
          <w:kern w:val="24"/>
          <w:lang w:val="en-US" w:eastAsia="zh-CN"/>
        </w:rPr>
        <w:t>产业科技中心</w:t>
      </w:r>
      <w:r>
        <w:rPr>
          <w:rFonts w:hint="eastAsia" w:ascii="仿宋_GB2312" w:hAnsi="仿宋_GB2312" w:eastAsia="仿宋_GB2312" w:cs="仿宋_GB2312"/>
          <w:color w:val="auto"/>
          <w:kern w:val="24"/>
        </w:rPr>
        <w:t>。</w:t>
      </w:r>
      <w:r>
        <w:rPr>
          <w:rFonts w:hint="eastAsia" w:ascii="仿宋_GB2312" w:hAnsi="仿宋_GB2312" w:eastAsia="仿宋_GB2312" w:cs="仿宋_GB2312"/>
          <w:b/>
          <w:bCs/>
          <w:color w:val="auto"/>
          <w:kern w:val="24"/>
        </w:rPr>
        <w:t>推进产业关键领域突破与升级。</w:t>
      </w:r>
      <w:r>
        <w:rPr>
          <w:rFonts w:hint="eastAsia" w:ascii="仿宋_GB2312" w:hAnsi="仿宋_GB2312" w:eastAsia="仿宋_GB2312" w:cs="仿宋_GB2312"/>
          <w:color w:val="auto"/>
          <w:kern w:val="24"/>
        </w:rPr>
        <w:t>抢先布局第三代半导体，积极招引封测龙头企业，补齐先进封装产能缺口</w:t>
      </w:r>
      <w:r>
        <w:rPr>
          <w:rFonts w:hint="eastAsia" w:ascii="仿宋_GB2312" w:hAnsi="仿宋_GB2312" w:eastAsia="仿宋_GB2312" w:cs="仿宋_GB2312"/>
          <w:color w:val="auto"/>
          <w:kern w:val="24"/>
          <w:lang w:eastAsia="zh-CN"/>
        </w:rPr>
        <w:t>，</w:t>
      </w:r>
      <w:r>
        <w:rPr>
          <w:rFonts w:hint="eastAsia" w:ascii="仿宋_GB2312" w:hAnsi="仿宋_GB2312" w:eastAsia="仿宋_GB2312" w:cs="仿宋_GB2312"/>
          <w:color w:val="auto"/>
          <w:kern w:val="24"/>
          <w:lang w:val="en-US" w:eastAsia="zh-CN"/>
        </w:rPr>
        <w:t>着力培育</w:t>
      </w:r>
      <w:r>
        <w:rPr>
          <w:rFonts w:hint="eastAsia" w:ascii="仿宋_GB2312" w:hAnsi="仿宋_GB2312" w:eastAsia="仿宋_GB2312" w:cs="仿宋_GB2312"/>
          <w:color w:val="auto"/>
          <w:kern w:val="24"/>
        </w:rPr>
        <w:t>光芯片等</w:t>
      </w:r>
      <w:r>
        <w:rPr>
          <w:rFonts w:hint="eastAsia" w:ascii="仿宋_GB2312" w:hAnsi="仿宋_GB2312" w:eastAsia="仿宋_GB2312" w:cs="仿宋_GB2312"/>
          <w:color w:val="auto"/>
          <w:kern w:val="24"/>
          <w:lang w:val="en-US" w:eastAsia="zh-CN"/>
        </w:rPr>
        <w:t>关键环节</w:t>
      </w:r>
      <w:r>
        <w:rPr>
          <w:rFonts w:hint="eastAsia" w:ascii="仿宋_GB2312" w:hAnsi="仿宋_GB2312" w:eastAsia="仿宋_GB2312" w:cs="仿宋_GB2312"/>
          <w:b w:val="0"/>
          <w:bCs w:val="0"/>
          <w:color w:val="auto"/>
          <w:kern w:val="24"/>
        </w:rPr>
        <w:t>。</w:t>
      </w:r>
      <w:r>
        <w:rPr>
          <w:rFonts w:hint="eastAsia" w:ascii="仿宋_GB2312" w:hAnsi="仿宋_GB2312" w:eastAsia="仿宋_GB2312" w:cs="仿宋_GB2312"/>
          <w:b/>
          <w:bCs/>
          <w:color w:val="auto"/>
          <w:kern w:val="24"/>
        </w:rPr>
        <w:t>支持高能级创新平台建设。</w:t>
      </w:r>
      <w:r>
        <w:rPr>
          <w:rFonts w:hint="eastAsia" w:ascii="仿宋_GB2312" w:hAnsi="仿宋_GB2312" w:eastAsia="仿宋_GB2312" w:cs="仿宋_GB2312"/>
          <w:color w:val="auto"/>
          <w:kern w:val="24"/>
        </w:rPr>
        <w:t>扎实推进电子科技大学（深圳）高等研究院建设系统级集成电路检测国家质量标准实验室，构建覆盖</w:t>
      </w:r>
      <w:r>
        <w:rPr>
          <w:rFonts w:hint="eastAsia" w:ascii="仿宋_GB2312" w:hAnsi="仿宋_GB2312" w:eastAsia="仿宋_GB2312" w:cs="仿宋_GB2312"/>
          <w:color w:val="auto"/>
          <w:kern w:val="24"/>
          <w:lang w:eastAsia="zh-CN"/>
        </w:rPr>
        <w:t>“</w:t>
      </w:r>
      <w:r>
        <w:rPr>
          <w:rFonts w:hint="eastAsia" w:ascii="仿宋_GB2312" w:hAnsi="仿宋_GB2312" w:eastAsia="仿宋_GB2312" w:cs="仿宋_GB2312"/>
          <w:color w:val="auto"/>
          <w:kern w:val="24"/>
        </w:rPr>
        <w:t>基础表征—装备研制—标准架构—质量监管</w:t>
      </w:r>
      <w:r>
        <w:rPr>
          <w:rFonts w:hint="eastAsia" w:ascii="仿宋_GB2312" w:hAnsi="仿宋_GB2312" w:eastAsia="仿宋_GB2312" w:cs="仿宋_GB2312"/>
          <w:color w:val="auto"/>
          <w:kern w:val="24"/>
          <w:lang w:eastAsia="zh-CN"/>
        </w:rPr>
        <w:t>”</w:t>
      </w:r>
      <w:r>
        <w:rPr>
          <w:rFonts w:hint="eastAsia" w:ascii="仿宋_GB2312" w:hAnsi="仿宋_GB2312" w:eastAsia="仿宋_GB2312" w:cs="仿宋_GB2312"/>
          <w:color w:val="auto"/>
          <w:kern w:val="24"/>
        </w:rPr>
        <w:t>全链条的检测技术与质量标准创新平台。依托西交利物浦大学—华芯半导体联合研究院，加强关键核心技术攻关，提升产业创新引领力。积极对接国家集成电路战略布局，与省、市联动争取一批国家级项目落地。</w:t>
      </w:r>
    </w:p>
    <w:p>
      <w:pPr>
        <w:pStyle w:val="3"/>
        <w:widowControl/>
        <w:rPr>
          <w:rFonts w:hint="default" w:eastAsia="楷体_GB2312"/>
          <w:color w:val="auto"/>
          <w:lang w:val="en-US" w:eastAsia="zh-CN"/>
        </w:rPr>
      </w:pPr>
      <w:bookmarkStart w:id="209" w:name="_Toc11602"/>
      <w:bookmarkStart w:id="210" w:name="_Toc14623"/>
      <w:bookmarkStart w:id="211" w:name="_Toc26917"/>
      <w:bookmarkStart w:id="212" w:name="_Toc13132"/>
      <w:bookmarkStart w:id="213" w:name="_Toc18558"/>
      <w:bookmarkStart w:id="214" w:name="_Toc24738"/>
      <w:bookmarkStart w:id="215" w:name="_Toc31674"/>
      <w:bookmarkStart w:id="216" w:name="_Toc18127"/>
      <w:r>
        <w:rPr>
          <w:rFonts w:hint="eastAsia"/>
          <w:color w:val="auto"/>
        </w:rPr>
        <w:t>（二）</w:t>
      </w:r>
      <w:r>
        <w:rPr>
          <w:rFonts w:hint="eastAsia"/>
          <w:color w:val="auto"/>
          <w:lang w:val="en-US" w:eastAsia="zh-CN"/>
        </w:rPr>
        <w:t>壮大</w:t>
      </w:r>
      <w:r>
        <w:rPr>
          <w:rFonts w:hint="eastAsia"/>
          <w:color w:val="auto"/>
        </w:rPr>
        <w:t>新能源</w:t>
      </w:r>
      <w:r>
        <w:rPr>
          <w:rFonts w:hint="eastAsia"/>
          <w:color w:val="auto"/>
          <w:lang w:val="en-US" w:eastAsia="zh-CN"/>
        </w:rPr>
        <w:t>产业集群</w:t>
      </w:r>
      <w:bookmarkEnd w:id="209"/>
      <w:bookmarkEnd w:id="210"/>
      <w:bookmarkEnd w:id="211"/>
      <w:bookmarkEnd w:id="212"/>
      <w:bookmarkEnd w:id="213"/>
      <w:bookmarkEnd w:id="214"/>
      <w:bookmarkEnd w:id="215"/>
      <w:bookmarkEnd w:id="216"/>
    </w:p>
    <w:p>
      <w:pPr>
        <w:outlineLvl w:val="9"/>
        <w:rPr>
          <w:color w:val="auto"/>
        </w:rPr>
      </w:pPr>
      <w:r>
        <w:rPr>
          <w:rFonts w:hint="eastAsia" w:ascii="仿宋_GB2312" w:cs="仿宋_GB2312"/>
          <w:color w:val="auto"/>
          <w:kern w:val="24"/>
          <w:lang w:bidi="ar"/>
        </w:rPr>
        <w:t>以“碳达峰、碳中和”目标为契机，以经济社会发展全面绿色转型为主线，以数字能源融合创新发展为路径，打造粤港澳大湾区新能源产业核心承载区。</w:t>
      </w:r>
      <w:r>
        <w:rPr>
          <w:rFonts w:hint="eastAsia" w:ascii="仿宋_GB2312" w:cs="仿宋_GB2312"/>
          <w:b/>
          <w:bCs/>
          <w:color w:val="auto"/>
          <w:lang w:bidi="ar"/>
        </w:rPr>
        <w:t>构建新能源产业体系。</w:t>
      </w:r>
      <w:r>
        <w:rPr>
          <w:rFonts w:hint="eastAsia" w:ascii="仿宋_GB2312" w:cs="仿宋_GB2312"/>
          <w:color w:val="auto"/>
          <w:lang w:bidi="ar"/>
        </w:rPr>
        <w:t>加快打造以数字能源为特色，以新型储能、新型能源和新型电力系统为优势的新</w:t>
      </w:r>
      <w:r>
        <w:rPr>
          <w:rFonts w:hint="eastAsia" w:ascii="仿宋_GB2312" w:cs="仿宋_GB2312"/>
          <w:color w:val="auto"/>
          <w:kern w:val="24"/>
          <w:lang w:bidi="ar"/>
        </w:rPr>
        <w:t>能源</w:t>
      </w:r>
      <w:r>
        <w:rPr>
          <w:rFonts w:hint="eastAsia" w:ascii="仿宋_GB2312" w:cs="仿宋_GB2312"/>
          <w:color w:val="auto"/>
          <w:lang w:bidi="ar"/>
        </w:rPr>
        <w:t>产业生态。重点攻关数字能源的系统架构、软件算法、核心材料、芯片部件、终端设备，新型储能的电池材料、电芯模组、系统集成，新能源先进光伏技术和氢能，新型电力系统的智能调度与控制、安全稳定分析与控制等核心领域。</w:t>
      </w:r>
      <w:r>
        <w:rPr>
          <w:rFonts w:hint="eastAsia" w:ascii="仿宋_GB2312" w:cs="仿宋_GB2312"/>
          <w:b/>
          <w:bCs/>
          <w:color w:val="auto"/>
          <w:lang w:bidi="ar"/>
        </w:rPr>
        <w:t>强化创新平台赋能作用。</w:t>
      </w:r>
      <w:r>
        <w:rPr>
          <w:rFonts w:hint="eastAsia" w:ascii="仿宋_GB2312" w:cs="仿宋_GB2312"/>
          <w:color w:val="auto"/>
          <w:lang w:bidi="ar"/>
        </w:rPr>
        <w:t>支持新能源领军企业建设高水平创新载体，引进高水平院士专家团队，开展关键核心技术攻关。挖掘企业检验检测、中试验证等共性需求，搭建面向全产业链、全生态的创新服务平台，进一步提升龙华“软实力”。</w:t>
      </w:r>
      <w:r>
        <w:rPr>
          <w:rFonts w:hint="eastAsia" w:ascii="仿宋_GB2312" w:cs="仿宋_GB2312"/>
          <w:b/>
          <w:bCs/>
          <w:color w:val="auto"/>
          <w:lang w:bidi="ar"/>
        </w:rPr>
        <w:t>推动数智能源融合示范。</w:t>
      </w:r>
      <w:r>
        <w:rPr>
          <w:rFonts w:hint="eastAsia" w:ascii="仿宋_GB2312" w:cs="仿宋_GB2312"/>
          <w:color w:val="auto"/>
          <w:lang w:bidi="ar"/>
        </w:rPr>
        <w:t>支持头部企业和高校组建创新联合体，攻关新能源领域数智化关键技术。增强智能光伏终端产品供给能力，鼓励氢能企业建设智慧氢能信息化平台，加快</w:t>
      </w:r>
      <w:r>
        <w:rPr>
          <w:rFonts w:hint="eastAsia" w:ascii="仿宋_GB2312" w:cs="仿宋_GB2312"/>
          <w:color w:val="auto"/>
          <w:lang w:eastAsia="zh-CN" w:bidi="ar"/>
        </w:rPr>
        <w:t>构建</w:t>
      </w:r>
      <w:r>
        <w:rPr>
          <w:rFonts w:hint="eastAsia" w:ascii="仿宋_GB2312" w:cs="仿宋_GB2312"/>
          <w:color w:val="auto"/>
          <w:lang w:bidi="ar"/>
        </w:rPr>
        <w:t>“能源大脑”综合管理平台，探索创建国内首个数智能源交易平台。</w:t>
      </w:r>
    </w:p>
    <w:p>
      <w:pPr>
        <w:pStyle w:val="3"/>
        <w:widowControl/>
        <w:rPr>
          <w:rFonts w:hint="eastAsia" w:eastAsia="楷体_GB2312"/>
          <w:color w:val="auto"/>
          <w:lang w:eastAsia="zh-CN"/>
        </w:rPr>
      </w:pPr>
      <w:bookmarkStart w:id="217" w:name="_Toc27984"/>
      <w:bookmarkStart w:id="218" w:name="_Toc10206"/>
      <w:bookmarkStart w:id="219" w:name="_Toc17726"/>
      <w:bookmarkStart w:id="220" w:name="_Toc27645"/>
      <w:bookmarkStart w:id="221" w:name="_Toc16328"/>
      <w:bookmarkStart w:id="222" w:name="_Toc854"/>
      <w:bookmarkStart w:id="223" w:name="_Toc3298"/>
      <w:bookmarkStart w:id="224" w:name="_Toc6130"/>
      <w:r>
        <w:rPr>
          <w:rFonts w:hint="eastAsia"/>
          <w:color w:val="auto"/>
        </w:rPr>
        <w:t>（三）</w:t>
      </w:r>
      <w:r>
        <w:rPr>
          <w:rFonts w:hint="eastAsia"/>
          <w:color w:val="auto"/>
          <w:lang w:val="en-US" w:eastAsia="zh-CN"/>
        </w:rPr>
        <w:t>打造</w:t>
      </w:r>
      <w:r>
        <w:rPr>
          <w:rFonts w:hint="eastAsia"/>
          <w:color w:val="auto"/>
        </w:rPr>
        <w:t>生物产业</w:t>
      </w:r>
      <w:r>
        <w:rPr>
          <w:rFonts w:hint="eastAsia"/>
          <w:color w:val="auto"/>
          <w:lang w:val="en-US" w:eastAsia="zh-CN"/>
        </w:rPr>
        <w:t>创新高地</w:t>
      </w:r>
      <w:bookmarkEnd w:id="217"/>
      <w:bookmarkEnd w:id="218"/>
      <w:bookmarkEnd w:id="219"/>
      <w:bookmarkEnd w:id="220"/>
      <w:bookmarkEnd w:id="221"/>
      <w:bookmarkEnd w:id="222"/>
      <w:bookmarkEnd w:id="223"/>
      <w:bookmarkEnd w:id="224"/>
    </w:p>
    <w:p>
      <w:pPr>
        <w:keepNext w:val="0"/>
        <w:keepLines w:val="0"/>
        <w:widowControl w:val="0"/>
        <w:suppressLineNumbers w:val="0"/>
        <w:spacing w:before="0" w:beforeAutospacing="0" w:after="0" w:afterAutospacing="0" w:line="560" w:lineRule="exact"/>
        <w:ind w:left="0" w:right="0" w:firstLine="642" w:firstLineChars="200"/>
        <w:jc w:val="both"/>
        <w:outlineLvl w:val="2"/>
        <w:rPr>
          <w:rFonts w:hint="default" w:ascii="仿宋_GB2312" w:hAnsi="Times New Roman" w:eastAsia="仿宋_GB2312" w:cs="仿宋_GB2312"/>
          <w:b/>
          <w:bCs/>
          <w:color w:val="auto"/>
          <w:kern w:val="24"/>
          <w:sz w:val="32"/>
          <w:szCs w:val="32"/>
          <w:lang w:val="en-US" w:eastAsia="zh-CN" w:bidi="ar"/>
        </w:rPr>
      </w:pPr>
      <w:r>
        <w:rPr>
          <w:rFonts w:hint="default" w:ascii="Times New Roman" w:hAnsi="Times New Roman" w:eastAsia="仿宋_GB2312" w:cs="Times New Roman"/>
          <w:b/>
          <w:bCs/>
          <w:color w:val="auto"/>
          <w:kern w:val="24"/>
          <w:sz w:val="32"/>
          <w:szCs w:val="32"/>
          <w:lang w:val="en-US" w:eastAsia="zh-CN" w:bidi="ar"/>
        </w:rPr>
        <w:t>1.</w:t>
      </w:r>
      <w:r>
        <w:rPr>
          <w:rFonts w:hint="eastAsia" w:cs="Times New Roman"/>
          <w:b/>
          <w:bCs/>
          <w:color w:val="auto"/>
          <w:kern w:val="24"/>
          <w:sz w:val="32"/>
          <w:szCs w:val="32"/>
          <w:lang w:val="en-US" w:eastAsia="zh-CN" w:bidi="ar"/>
        </w:rPr>
        <w:t>推动</w:t>
      </w:r>
      <w:r>
        <w:rPr>
          <w:rFonts w:hint="eastAsia" w:ascii="仿宋_GB2312" w:hAnsi="Times New Roman" w:eastAsia="仿宋_GB2312" w:cs="仿宋_GB2312"/>
          <w:b/>
          <w:bCs/>
          <w:color w:val="auto"/>
          <w:kern w:val="24"/>
          <w:sz w:val="32"/>
          <w:szCs w:val="32"/>
          <w:lang w:val="en-US" w:eastAsia="zh-CN" w:bidi="ar"/>
        </w:rPr>
        <w:t>高端医疗器械</w:t>
      </w:r>
      <w:r>
        <w:rPr>
          <w:rFonts w:hint="eastAsia" w:ascii="仿宋_GB2312" w:cs="仿宋_GB2312"/>
          <w:b/>
          <w:bCs/>
          <w:color w:val="auto"/>
          <w:kern w:val="24"/>
          <w:sz w:val="32"/>
          <w:szCs w:val="32"/>
          <w:lang w:val="en-US" w:eastAsia="zh-CN" w:bidi="ar"/>
        </w:rPr>
        <w:t>提档升级</w:t>
      </w:r>
    </w:p>
    <w:p>
      <w:pPr>
        <w:keepNext w:val="0"/>
        <w:keepLines w:val="0"/>
        <w:widowControl w:val="0"/>
        <w:suppressLineNumbers w:val="0"/>
        <w:spacing w:before="0" w:beforeAutospacing="0" w:after="0" w:afterAutospacing="0" w:line="560" w:lineRule="exact"/>
        <w:ind w:left="0" w:right="0" w:firstLine="640" w:firstLineChars="200"/>
        <w:jc w:val="both"/>
        <w:outlineLvl w:val="9"/>
        <w:rPr>
          <w:rFonts w:hint="eastAsia" w:ascii="仿宋_GB2312" w:cs="仿宋_GB2312"/>
          <w:color w:val="auto"/>
          <w:lang w:bidi="ar"/>
        </w:rPr>
      </w:pPr>
      <w:r>
        <w:rPr>
          <w:rFonts w:hint="eastAsia" w:ascii="仿宋_GB2312" w:hAnsi="Times New Roman" w:eastAsia="仿宋_GB2312" w:cs="仿宋_GB2312"/>
          <w:color w:val="auto"/>
          <w:kern w:val="24"/>
          <w:sz w:val="32"/>
          <w:szCs w:val="32"/>
          <w:lang w:val="en-US" w:eastAsia="zh-CN" w:bidi="ar"/>
        </w:rPr>
        <w:t>聚焦医疗器械关键领域核心优势，推动创新产品的临床转化和</w:t>
      </w:r>
      <w:r>
        <w:rPr>
          <w:rFonts w:hint="eastAsia" w:ascii="仿宋_GB2312" w:cs="仿宋_GB2312"/>
          <w:color w:val="auto"/>
          <w:kern w:val="24"/>
          <w:sz w:val="32"/>
          <w:szCs w:val="32"/>
          <w:lang w:val="en-US" w:eastAsia="zh-CN" w:bidi="ar"/>
        </w:rPr>
        <w:t>场景</w:t>
      </w:r>
      <w:r>
        <w:rPr>
          <w:rFonts w:hint="eastAsia" w:ascii="仿宋_GB2312" w:hAnsi="Times New Roman" w:eastAsia="仿宋_GB2312" w:cs="仿宋_GB2312"/>
          <w:color w:val="auto"/>
          <w:kern w:val="24"/>
          <w:sz w:val="32"/>
          <w:szCs w:val="32"/>
          <w:lang w:val="en-US" w:eastAsia="zh-CN" w:bidi="ar"/>
        </w:rPr>
        <w:t>示范应用，加快建成高端医疗器械产业集聚高地。</w:t>
      </w:r>
      <w:r>
        <w:rPr>
          <w:rFonts w:hint="eastAsia" w:ascii="仿宋_GB2312" w:hAnsi="Times New Roman" w:eastAsia="仿宋_GB2312" w:cs="仿宋_GB2312"/>
          <w:b/>
          <w:bCs/>
          <w:color w:val="auto"/>
          <w:kern w:val="0"/>
          <w:sz w:val="32"/>
          <w:szCs w:val="32"/>
          <w:lang w:val="en-US" w:eastAsia="zh-CN" w:bidi="ar"/>
        </w:rPr>
        <w:t>推动医疗器械产业智能化升级。</w:t>
      </w:r>
      <w:r>
        <w:rPr>
          <w:rFonts w:hint="eastAsia" w:ascii="仿宋_GB2312" w:hAnsi="Times New Roman" w:eastAsia="仿宋_GB2312" w:cs="仿宋_GB2312"/>
          <w:color w:val="auto"/>
          <w:kern w:val="0"/>
          <w:sz w:val="32"/>
          <w:szCs w:val="32"/>
          <w:lang w:val="en-US" w:eastAsia="zh-CN" w:bidi="ar"/>
        </w:rPr>
        <w:t>加速人工智能辅助医疗器械核心技术的融合应用，提升高端医学影像、体外诊断、植介入器械、智慧医疗、生命监护和生命支持、医用耗材、放射治疗、康复养老器械、智慧医疗等八大领域智能化水平，积极培育宠物医疗器械、医疗美容器械、家用及消费医疗器械、康养医疗器械、高端有源植入式医疗器械等新兴赛道，重点攻关智能医疗器械的整机</w:t>
      </w:r>
      <w:r>
        <w:rPr>
          <w:rFonts w:hint="eastAsia" w:ascii="仿宋_GB2312" w:cs="仿宋_GB2312"/>
          <w:color w:val="auto"/>
          <w:kern w:val="0"/>
          <w:sz w:val="32"/>
          <w:szCs w:val="32"/>
          <w:lang w:val="en-US" w:eastAsia="zh-CN" w:bidi="ar"/>
        </w:rPr>
        <w:t>集成</w:t>
      </w:r>
      <w:r>
        <w:rPr>
          <w:rFonts w:hint="eastAsia" w:ascii="仿宋_GB2312" w:hAnsi="Times New Roman" w:eastAsia="仿宋_GB2312" w:cs="仿宋_GB2312"/>
          <w:color w:val="auto"/>
          <w:kern w:val="0"/>
          <w:sz w:val="32"/>
          <w:szCs w:val="32"/>
          <w:lang w:val="en-US" w:eastAsia="zh-CN" w:bidi="ar"/>
        </w:rPr>
        <w:t>设计及精密制造</w:t>
      </w:r>
      <w:r>
        <w:rPr>
          <w:rFonts w:hint="eastAsia" w:ascii="仿宋_GB2312" w:cs="仿宋_GB2312"/>
          <w:color w:val="auto"/>
          <w:kern w:val="0"/>
          <w:sz w:val="32"/>
          <w:szCs w:val="32"/>
          <w:lang w:val="en-US" w:eastAsia="zh-CN" w:bidi="ar"/>
        </w:rPr>
        <w:t>等核心技术</w:t>
      </w:r>
      <w:r>
        <w:rPr>
          <w:rFonts w:hint="eastAsia" w:ascii="仿宋_GB2312" w:hAnsi="Times New Roman" w:eastAsia="仿宋_GB2312" w:cs="仿宋_GB2312"/>
          <w:color w:val="auto"/>
          <w:kern w:val="0"/>
          <w:sz w:val="32"/>
          <w:szCs w:val="32"/>
          <w:lang w:val="en-US" w:eastAsia="zh-CN" w:bidi="ar"/>
        </w:rPr>
        <w:t>。</w:t>
      </w:r>
      <w:r>
        <w:rPr>
          <w:rFonts w:hint="eastAsia" w:ascii="仿宋_GB2312" w:hAnsi="Times New Roman" w:eastAsia="仿宋_GB2312" w:cs="仿宋_GB2312"/>
          <w:b/>
          <w:bCs/>
          <w:color w:val="auto"/>
          <w:kern w:val="0"/>
          <w:sz w:val="32"/>
          <w:szCs w:val="32"/>
          <w:lang w:val="en-US" w:eastAsia="zh-CN" w:bidi="ar"/>
        </w:rPr>
        <w:t>高质量建设产品转化平台。</w:t>
      </w:r>
      <w:r>
        <w:rPr>
          <w:rFonts w:hint="eastAsia" w:ascii="仿宋_GB2312" w:cs="仿宋_GB2312"/>
          <w:color w:val="auto"/>
          <w:kern w:val="0"/>
          <w:sz w:val="32"/>
          <w:szCs w:val="32"/>
          <w:lang w:val="en-US" w:eastAsia="zh-CN" w:bidi="ar"/>
        </w:rPr>
        <w:t>依托</w:t>
      </w:r>
      <w:r>
        <w:rPr>
          <w:rFonts w:hint="eastAsia" w:ascii="仿宋_GB2312" w:hAnsi="Times New Roman" w:eastAsia="仿宋_GB2312" w:cs="仿宋_GB2312"/>
          <w:color w:val="auto"/>
          <w:kern w:val="0"/>
          <w:sz w:val="32"/>
          <w:szCs w:val="32"/>
          <w:lang w:val="en-US" w:eastAsia="zh-CN" w:bidi="ar"/>
        </w:rPr>
        <w:t>国家高性能医疗器械创新中心打造医疗器械协同创新平台，</w:t>
      </w:r>
      <w:r>
        <w:rPr>
          <w:rFonts w:hint="eastAsia" w:ascii="仿宋_GB2312" w:cs="仿宋_GB2312"/>
          <w:color w:val="auto"/>
          <w:kern w:val="0"/>
          <w:sz w:val="32"/>
          <w:szCs w:val="32"/>
          <w:lang w:val="en-US" w:eastAsia="zh-CN" w:bidi="ar"/>
        </w:rPr>
        <w:t>集中</w:t>
      </w:r>
      <w:r>
        <w:rPr>
          <w:rFonts w:hint="eastAsia" w:ascii="仿宋_GB2312" w:hAnsi="Times New Roman" w:eastAsia="仿宋_GB2312" w:cs="仿宋_GB2312"/>
          <w:color w:val="auto"/>
          <w:kern w:val="0"/>
          <w:sz w:val="32"/>
          <w:szCs w:val="32"/>
          <w:lang w:val="en-US" w:eastAsia="zh-CN" w:bidi="ar"/>
        </w:rPr>
        <w:t>攻关重大装备、关键零部件等环节“卡脖子”技术。</w:t>
      </w:r>
      <w:r>
        <w:rPr>
          <w:rFonts w:hint="eastAsia" w:ascii="仿宋_GB2312" w:hAnsi="Times New Roman" w:eastAsia="仿宋_GB2312" w:cs="仿宋_GB2312"/>
          <w:color w:val="auto"/>
          <w:kern w:val="0"/>
          <w:sz w:val="32"/>
          <w:szCs w:val="32"/>
          <w:lang w:bidi="ar"/>
        </w:rPr>
        <w:t>补齐核心短板。统筹布局一批专业化公共服务平台，加快建设高端医疗器械临床试验、产品转化、审评服务平台，搭建集产业交流、技术交易、数据服务于一体的综合性赋能平台，全方位支撑医疗器械产业创新迭代与规模化发展。</w:t>
      </w:r>
    </w:p>
    <w:p>
      <w:pPr>
        <w:numPr>
          <w:ilvl w:val="0"/>
          <w:numId w:val="0"/>
        </w:numPr>
        <w:ind w:firstLine="640"/>
        <w:outlineLvl w:val="2"/>
        <w:rPr>
          <w:rFonts w:hint="default" w:ascii="仿宋_GB2312" w:hAnsi="Times New Roman" w:eastAsia="仿宋_GB2312" w:cs="仿宋_GB2312"/>
          <w:b/>
          <w:bCs/>
          <w:color w:val="auto"/>
          <w:sz w:val="32"/>
          <w:szCs w:val="32"/>
          <w:lang w:val="en-US" w:eastAsia="zh-CN"/>
        </w:rPr>
      </w:pPr>
      <w:r>
        <w:rPr>
          <w:rFonts w:hint="eastAsia" w:ascii="Times New Roman" w:hAnsi="Times New Roman" w:eastAsia="仿宋_GB2312" w:cs="Times New Roman"/>
          <w:b/>
          <w:bCs/>
          <w:color w:val="auto"/>
          <w:kern w:val="24"/>
          <w:sz w:val="32"/>
          <w:szCs w:val="32"/>
          <w:lang w:val="en-US" w:eastAsia="zh-CN" w:bidi="ar"/>
        </w:rPr>
        <w:t>2.</w:t>
      </w:r>
      <w:r>
        <w:rPr>
          <w:rFonts w:hint="eastAsia" w:cs="Times New Roman"/>
          <w:b/>
          <w:bCs/>
          <w:color w:val="auto"/>
          <w:kern w:val="24"/>
          <w:sz w:val="32"/>
          <w:szCs w:val="32"/>
          <w:lang w:val="en-US" w:eastAsia="zh-CN" w:bidi="ar"/>
        </w:rPr>
        <w:t>提质发展</w:t>
      </w:r>
      <w:r>
        <w:rPr>
          <w:rFonts w:hint="eastAsia" w:ascii="仿宋_GB2312" w:hAnsi="Times New Roman" w:eastAsia="仿宋_GB2312" w:cs="仿宋_GB2312"/>
          <w:b/>
          <w:bCs/>
          <w:color w:val="auto"/>
          <w:sz w:val="32"/>
          <w:szCs w:val="32"/>
        </w:rPr>
        <w:t>生物医药与生命健康</w:t>
      </w:r>
    </w:p>
    <w:p>
      <w:pPr>
        <w:numPr>
          <w:ilvl w:val="-1"/>
          <w:numId w:val="0"/>
        </w:numPr>
        <w:ind w:firstLine="640"/>
        <w:outlineLvl w:val="9"/>
        <w:rPr>
          <w:rFonts w:hint="eastAsia" w:ascii="仿宋_GB2312" w:hAnsi="仿宋_GB2312" w:eastAsia="仿宋_GB2312" w:cs="仿宋_GB2312"/>
          <w:color w:val="auto"/>
        </w:rPr>
      </w:pPr>
      <w:r>
        <w:rPr>
          <w:rFonts w:hint="eastAsia" w:ascii="仿宋_GB2312" w:hAnsi="仿宋_GB2312" w:eastAsia="仿宋_GB2312" w:cs="仿宋_GB2312"/>
          <w:color w:val="auto"/>
          <w:sz w:val="32"/>
          <w:szCs w:val="32"/>
        </w:rPr>
        <w:t>聚焦前沿生物技术攻关与新兴</w:t>
      </w:r>
      <w:r>
        <w:rPr>
          <w:rFonts w:hint="eastAsia" w:ascii="仿宋_GB2312" w:hAnsi="仿宋_GB2312" w:eastAsia="仿宋_GB2312" w:cs="仿宋_GB2312"/>
          <w:color w:val="auto"/>
          <w:sz w:val="32"/>
          <w:szCs w:val="32"/>
          <w:lang w:val="en-US" w:eastAsia="zh-CN"/>
        </w:rPr>
        <w:t>生物</w:t>
      </w:r>
      <w:r>
        <w:rPr>
          <w:rFonts w:hint="eastAsia" w:ascii="仿宋_GB2312" w:hAnsi="仿宋_GB2312" w:eastAsia="仿宋_GB2312" w:cs="仿宋_GB2312"/>
          <w:color w:val="auto"/>
          <w:sz w:val="32"/>
          <w:szCs w:val="32"/>
        </w:rPr>
        <w:t>产业培育，</w:t>
      </w:r>
      <w:r>
        <w:rPr>
          <w:rFonts w:hint="eastAsia" w:ascii="仿宋_GB2312" w:hAnsi="仿宋_GB2312" w:eastAsia="仿宋_GB2312" w:cs="仿宋_GB2312"/>
          <w:color w:val="auto"/>
          <w:sz w:val="32"/>
          <w:szCs w:val="32"/>
          <w:lang w:val="en-US" w:eastAsia="zh-CN"/>
        </w:rPr>
        <w:t>深化</w:t>
      </w:r>
      <w:r>
        <w:rPr>
          <w:rFonts w:hint="eastAsia" w:ascii="仿宋_GB2312" w:hAnsi="仿宋_GB2312" w:eastAsia="仿宋_GB2312" w:cs="仿宋_GB2312"/>
          <w:color w:val="auto"/>
          <w:sz w:val="32"/>
          <w:szCs w:val="32"/>
        </w:rPr>
        <w:t>产学研协同</w:t>
      </w:r>
      <w:r>
        <w:rPr>
          <w:rFonts w:hint="eastAsia" w:ascii="仿宋_GB2312" w:hAnsi="仿宋_GB2312" w:eastAsia="仿宋_GB2312" w:cs="仿宋_GB2312"/>
          <w:color w:val="auto"/>
          <w:sz w:val="32"/>
          <w:szCs w:val="32"/>
          <w:lang w:val="en-US" w:eastAsia="zh-CN"/>
        </w:rPr>
        <w:t>创新</w:t>
      </w:r>
      <w:r>
        <w:rPr>
          <w:rFonts w:hint="eastAsia" w:ascii="仿宋_GB2312" w:hAnsi="仿宋_GB2312" w:eastAsia="仿宋_GB2312" w:cs="仿宋_GB2312"/>
          <w:color w:val="auto"/>
          <w:sz w:val="32"/>
          <w:szCs w:val="32"/>
        </w:rPr>
        <w:t>与</w:t>
      </w:r>
      <w:r>
        <w:rPr>
          <w:rFonts w:hint="eastAsia" w:ascii="仿宋_GB2312" w:hAnsi="仿宋_GB2312" w:eastAsia="仿宋_GB2312" w:cs="仿宋_GB2312"/>
          <w:color w:val="auto"/>
          <w:sz w:val="32"/>
          <w:szCs w:val="32"/>
          <w:lang w:val="en-US" w:eastAsia="zh-CN"/>
        </w:rPr>
        <w:t>科技</w:t>
      </w:r>
      <w:r>
        <w:rPr>
          <w:rFonts w:hint="eastAsia" w:ascii="仿宋_GB2312" w:hAnsi="仿宋_GB2312" w:eastAsia="仿宋_GB2312" w:cs="仿宋_GB2312"/>
          <w:color w:val="auto"/>
          <w:sz w:val="32"/>
          <w:szCs w:val="32"/>
        </w:rPr>
        <w:t>成果转化，构建</w:t>
      </w:r>
      <w:r>
        <w:rPr>
          <w:rFonts w:hint="eastAsia" w:ascii="仿宋_GB2312" w:hAnsi="仿宋_GB2312" w:eastAsia="仿宋_GB2312" w:cs="仿宋_GB2312"/>
          <w:color w:val="auto"/>
          <w:sz w:val="32"/>
          <w:szCs w:val="32"/>
          <w:lang w:val="en-US" w:eastAsia="zh-CN"/>
        </w:rPr>
        <w:t>完善</w:t>
      </w:r>
      <w:r>
        <w:rPr>
          <w:rFonts w:hint="eastAsia" w:ascii="仿宋_GB2312" w:hAnsi="仿宋_GB2312" w:eastAsia="仿宋_GB2312" w:cs="仿宋_GB2312"/>
          <w:color w:val="auto"/>
          <w:sz w:val="32"/>
          <w:szCs w:val="32"/>
        </w:rPr>
        <w:t>生物经济生态体系，打造生物医药</w:t>
      </w:r>
      <w:r>
        <w:rPr>
          <w:rFonts w:hint="eastAsia" w:ascii="仿宋_GB2312" w:hAnsi="仿宋_GB2312" w:eastAsia="仿宋_GB2312" w:cs="仿宋_GB2312"/>
          <w:color w:val="auto"/>
          <w:sz w:val="32"/>
          <w:szCs w:val="32"/>
          <w:lang w:val="en-US" w:eastAsia="zh-CN"/>
        </w:rPr>
        <w:t>与生命健康产业</w:t>
      </w:r>
      <w:r>
        <w:rPr>
          <w:rFonts w:hint="eastAsia" w:ascii="仿宋_GB2312" w:hAnsi="仿宋_GB2312" w:eastAsia="仿宋_GB2312" w:cs="仿宋_GB2312"/>
          <w:color w:val="auto"/>
          <w:sz w:val="32"/>
          <w:szCs w:val="32"/>
        </w:rPr>
        <w:t>创新高地。</w:t>
      </w:r>
      <w:r>
        <w:rPr>
          <w:rFonts w:hint="eastAsia" w:ascii="仿宋_GB2312" w:hAnsi="仿宋_GB2312" w:eastAsia="仿宋_GB2312" w:cs="仿宋_GB2312"/>
          <w:b/>
          <w:bCs/>
          <w:color w:val="auto"/>
          <w:sz w:val="32"/>
          <w:szCs w:val="32"/>
        </w:rPr>
        <w:t>加快发展前沿生物技术与生物产业</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大力培育生物基化学品/材料、生物食品、生物农业、生物医美、合成生物、生物环保、生物技术服务、细胞与基因治疗等新兴赛道，聚焦中成药/化药新药创制、动物疫苗和兽药、功能性营养素原料等重点领域，集中开展核心技术攻关，大力推广绿色制药、可持续生产工艺等先进技术的落地应用，推动产业绿色低碳高质量发展。</w:t>
      </w:r>
      <w:r>
        <w:rPr>
          <w:rFonts w:hint="eastAsia" w:ascii="仿宋_GB2312" w:hAnsi="仿宋_GB2312" w:eastAsia="仿宋_GB2312" w:cs="仿宋_GB2312"/>
          <w:b/>
          <w:bCs/>
          <w:color w:val="auto"/>
          <w:kern w:val="0"/>
          <w:sz w:val="32"/>
          <w:szCs w:val="32"/>
          <w:lang w:val="en-US" w:eastAsia="zh-CN" w:bidi="ar"/>
        </w:rPr>
        <w:t>持续完善生物医药全链条创新生态，</w:t>
      </w:r>
      <w:r>
        <w:rPr>
          <w:rFonts w:hint="eastAsia" w:ascii="仿宋_GB2312" w:hAnsi="仿宋_GB2312" w:eastAsia="仿宋_GB2312" w:cs="仿宋_GB2312"/>
          <w:color w:val="auto"/>
          <w:kern w:val="0"/>
          <w:sz w:val="32"/>
          <w:szCs w:val="32"/>
          <w:lang w:val="en-US" w:eastAsia="zh-CN" w:bidi="ar"/>
        </w:rPr>
        <w:t>依托现有生物医药产业集群，积极引进高端研发机构、成果转化平台和配套专业服务体系，强化创新链、产业链、供应链深度协同，深化区域联动发展。</w:t>
      </w:r>
      <w:r>
        <w:rPr>
          <w:rFonts w:hint="eastAsia" w:ascii="仿宋_GB2312" w:hAnsi="仿宋_GB2312" w:eastAsia="仿宋_GB2312" w:cs="仿宋_GB2312"/>
          <w:b w:val="0"/>
          <w:bCs w:val="0"/>
          <w:color w:val="auto"/>
          <w:kern w:val="0"/>
          <w:sz w:val="32"/>
          <w:szCs w:val="32"/>
          <w:lang w:val="en-US" w:eastAsia="zh-CN" w:bidi="ar"/>
        </w:rPr>
        <w:t>布局建设</w:t>
      </w:r>
      <w:r>
        <w:rPr>
          <w:rFonts w:hint="eastAsia" w:ascii="仿宋_GB2312" w:hAnsi="仿宋_GB2312" w:eastAsia="仿宋_GB2312" w:cs="仿宋_GB2312"/>
          <w:color w:val="auto"/>
          <w:kern w:val="0"/>
          <w:sz w:val="32"/>
          <w:szCs w:val="32"/>
          <w:lang w:val="en-US" w:eastAsia="zh-CN" w:bidi="ar"/>
        </w:rPr>
        <w:t>药物概念验证、微生态制剂、高端化药制剂、生物技术药物等关键共性技术研发平台；补齐合成生物中试平台、生物等效性评价、检验检测、注册申报等第三方公共技术服务短板；健全知识产权、人才培养和成果转化等公共服务支撑体系。</w:t>
      </w:r>
      <w:r>
        <w:rPr>
          <w:rFonts w:hint="eastAsia" w:ascii="仿宋_GB2312" w:hAnsi="仿宋_GB2312" w:eastAsia="仿宋_GB2312" w:cs="仿宋_GB2312"/>
          <w:b/>
          <w:bCs/>
          <w:color w:val="auto"/>
          <w:kern w:val="0"/>
          <w:sz w:val="32"/>
          <w:szCs w:val="32"/>
          <w:lang w:val="en-US" w:eastAsia="zh-CN" w:bidi="ar"/>
        </w:rPr>
        <w:t>提速建设生物科技成果产业化赋能平台</w:t>
      </w:r>
      <w:r>
        <w:rPr>
          <w:rFonts w:hint="eastAsia" w:ascii="仿宋_GB2312" w:hAnsi="仿宋_GB2312" w:eastAsia="仿宋_GB2312" w:cs="仿宋_GB2312"/>
          <w:color w:val="auto"/>
          <w:kern w:val="0"/>
          <w:sz w:val="32"/>
          <w:szCs w:val="32"/>
          <w:lang w:val="en-US" w:eastAsia="zh-CN" w:bidi="ar"/>
        </w:rPr>
        <w:t>。创新发展AI+药物靶点与验证、药物结构智能预测、AI辅助药物设计等新兴服务业态，集聚培育CRO、CMO、CDMO等医药研发生产服务新业态。深耕底层生物技术、定量合成生物学、新型生物制剂等核心领域，推动关键技术自主研发与规模化应用，构建“创新链—产业链—价值链”深度融合的现代化生物经济生态体系。</w:t>
      </w:r>
    </w:p>
    <w:p>
      <w:pPr>
        <w:pStyle w:val="2"/>
        <w:widowControl/>
        <w:rPr>
          <w:rStyle w:val="23"/>
          <w:rFonts w:hint="default" w:eastAsia="黑体"/>
          <w:color w:val="auto"/>
          <w:lang w:val="en-US" w:eastAsia="zh-CN"/>
        </w:rPr>
      </w:pPr>
      <w:bookmarkStart w:id="225" w:name="_Toc27200"/>
      <w:bookmarkStart w:id="226" w:name="_Toc7619"/>
      <w:bookmarkStart w:id="227" w:name="_Toc8051"/>
      <w:bookmarkStart w:id="228" w:name="_Toc5762"/>
      <w:bookmarkStart w:id="229" w:name="_Toc5520"/>
      <w:bookmarkStart w:id="230" w:name="_Toc14820"/>
      <w:bookmarkStart w:id="231" w:name="_Toc22645"/>
      <w:bookmarkStart w:id="232" w:name="_Toc6911"/>
      <w:r>
        <w:rPr>
          <w:rFonts w:hint="eastAsia"/>
          <w:color w:val="auto"/>
        </w:rPr>
        <w:t>六</w:t>
      </w:r>
      <w:r>
        <w:rPr>
          <w:color w:val="auto"/>
        </w:rPr>
        <w:t>、</w:t>
      </w:r>
      <w:r>
        <w:rPr>
          <w:rFonts w:hint="eastAsia"/>
          <w:color w:val="auto"/>
          <w:lang w:val="en-US" w:eastAsia="zh-CN"/>
        </w:rPr>
        <w:t>打造</w:t>
      </w:r>
      <w:r>
        <w:rPr>
          <w:rFonts w:hint="eastAsia"/>
          <w:color w:val="auto"/>
        </w:rPr>
        <w:t>特色</w:t>
      </w:r>
      <w:r>
        <w:rPr>
          <w:rFonts w:hint="eastAsia"/>
          <w:color w:val="auto"/>
          <w:lang w:val="en-US" w:eastAsia="zh-CN"/>
        </w:rPr>
        <w:t>优势产业</w:t>
      </w:r>
      <w:bookmarkEnd w:id="225"/>
      <w:bookmarkEnd w:id="226"/>
      <w:bookmarkEnd w:id="227"/>
      <w:bookmarkEnd w:id="228"/>
      <w:bookmarkEnd w:id="229"/>
      <w:bookmarkEnd w:id="230"/>
      <w:bookmarkEnd w:id="231"/>
      <w:bookmarkEnd w:id="232"/>
    </w:p>
    <w:p>
      <w:pPr>
        <w:pStyle w:val="3"/>
        <w:widowControl/>
        <w:rPr>
          <w:color w:val="auto"/>
        </w:rPr>
      </w:pPr>
      <w:bookmarkStart w:id="233" w:name="_Toc5765"/>
      <w:bookmarkStart w:id="234" w:name="_Toc10185"/>
      <w:bookmarkStart w:id="235" w:name="_Toc31362"/>
      <w:bookmarkStart w:id="236" w:name="_Toc2973"/>
      <w:bookmarkStart w:id="237" w:name="_Toc20890"/>
      <w:bookmarkStart w:id="238" w:name="_Toc5398"/>
      <w:bookmarkStart w:id="239" w:name="_Toc913"/>
      <w:bookmarkStart w:id="240" w:name="_Toc28607"/>
      <w:r>
        <w:rPr>
          <w:rFonts w:hint="eastAsia"/>
          <w:color w:val="auto"/>
        </w:rPr>
        <w:t>（</w:t>
      </w:r>
      <w:r>
        <w:rPr>
          <w:rFonts w:hint="eastAsia"/>
          <w:color w:val="auto"/>
          <w:lang w:val="en-US" w:eastAsia="zh-CN"/>
        </w:rPr>
        <w:t>一</w:t>
      </w:r>
      <w:r>
        <w:rPr>
          <w:rFonts w:hint="eastAsia"/>
          <w:color w:val="auto"/>
        </w:rPr>
        <w:t>）</w:t>
      </w:r>
      <w:r>
        <w:rPr>
          <w:rFonts w:hint="eastAsia"/>
          <w:color w:val="auto"/>
          <w:lang w:val="en-US" w:eastAsia="zh-CN"/>
        </w:rPr>
        <w:t>推动</w:t>
      </w:r>
      <w:r>
        <w:rPr>
          <w:rFonts w:hint="eastAsia"/>
          <w:color w:val="auto"/>
        </w:rPr>
        <w:t>传统产业</w:t>
      </w:r>
      <w:r>
        <w:rPr>
          <w:rFonts w:hint="eastAsia"/>
          <w:color w:val="auto"/>
          <w:lang w:val="en-US" w:eastAsia="zh-CN"/>
        </w:rPr>
        <w:t>焕新升级</w:t>
      </w:r>
      <w:bookmarkEnd w:id="233"/>
      <w:bookmarkEnd w:id="234"/>
      <w:bookmarkEnd w:id="235"/>
      <w:bookmarkEnd w:id="236"/>
      <w:bookmarkEnd w:id="237"/>
      <w:bookmarkEnd w:id="238"/>
      <w:bookmarkEnd w:id="239"/>
      <w:bookmarkEnd w:id="240"/>
    </w:p>
    <w:p>
      <w:pPr>
        <w:numPr>
          <w:ilvl w:val="-1"/>
          <w:numId w:val="0"/>
        </w:numPr>
        <w:ind w:firstLine="643" w:firstLineChars="0"/>
        <w:outlineLvl w:val="9"/>
        <w:rPr>
          <w:rFonts w:hint="eastAsia" w:ascii="仿宋_GB2312" w:hAnsi="仿宋_GB2312" w:eastAsia="仿宋_GB2312" w:cs="仿宋_GB2312"/>
          <w:i w:val="0"/>
          <w:iCs w:val="0"/>
          <w:caps w:val="0"/>
          <w:color w:val="auto"/>
          <w:spacing w:val="0"/>
          <w:kern w:val="0"/>
          <w:sz w:val="32"/>
          <w:szCs w:val="32"/>
          <w:shd w:val="clear"/>
          <w:lang w:val="en-US" w:eastAsia="zh-CN" w:bidi="ar"/>
        </w:rPr>
      </w:pPr>
      <w:r>
        <w:rPr>
          <w:rFonts w:hint="eastAsia" w:ascii="仿宋_GB2312" w:hAnsi="仿宋_GB2312" w:eastAsia="仿宋_GB2312" w:cs="仿宋_GB2312"/>
          <w:b w:val="0"/>
          <w:bCs w:val="0"/>
          <w:color w:val="auto"/>
          <w:kern w:val="24"/>
          <w:lang w:val="en-US" w:eastAsia="zh-CN" w:bidi="ar"/>
        </w:rPr>
        <w:t>坚持“品牌化、智能化、绿色化、高端化”发展主线，强化设计驱动、数字赋能、开放融合、品牌引领，推动传统产业向价值链高端跃升。</w:t>
      </w:r>
      <w:r>
        <w:rPr>
          <w:rFonts w:hint="eastAsia" w:ascii="仿宋_GB2312" w:hAnsi="仿宋_GB2312" w:eastAsia="仿宋_GB2312" w:cs="仿宋_GB2312"/>
          <w:b/>
          <w:bCs/>
          <w:color w:val="auto"/>
          <w:kern w:val="24"/>
          <w:lang w:val="en-US" w:eastAsia="zh-CN" w:bidi="ar"/>
        </w:rPr>
        <w:t>强化创意设计引领。</w:t>
      </w:r>
      <w:r>
        <w:rPr>
          <w:rFonts w:hint="eastAsia" w:ascii="仿宋_GB2312" w:hAnsi="仿宋_GB2312" w:eastAsia="仿宋_GB2312" w:cs="仿宋_GB2312"/>
          <w:i w:val="0"/>
          <w:iCs w:val="0"/>
          <w:caps w:val="0"/>
          <w:color w:val="auto"/>
          <w:spacing w:val="0"/>
          <w:kern w:val="24"/>
          <w:sz w:val="32"/>
          <w:szCs w:val="32"/>
          <w:lang w:val="en-US" w:eastAsia="zh-CN" w:bidi="ar"/>
        </w:rPr>
        <w:t>做亮服装时尚设计，</w:t>
      </w:r>
      <w:r>
        <w:rPr>
          <w:rFonts w:hint="eastAsia" w:ascii="仿宋_GB2312" w:hAnsi="仿宋_GB2312" w:eastAsia="仿宋_GB2312" w:cs="仿宋_GB2312"/>
          <w:b w:val="0"/>
          <w:bCs w:val="0"/>
          <w:color w:val="auto"/>
          <w:kern w:val="24"/>
          <w:lang w:val="en-US" w:eastAsia="zh-CN" w:bidi="ar"/>
        </w:rPr>
        <w:t>以大浪时尚小镇为载体，引聚国际知名设计师团队或设计师工作室。支持家居、陶瓷、钟表、黄金珠宝等骨干企业设立工业设计中心，</w:t>
      </w:r>
      <w:r>
        <w:rPr>
          <w:rFonts w:hint="eastAsia" w:ascii="仿宋_GB2312" w:hAnsi="仿宋_GB2312" w:eastAsia="仿宋_GB2312" w:cs="仿宋_GB2312"/>
          <w:i w:val="0"/>
          <w:iCs w:val="0"/>
          <w:caps w:val="0"/>
          <w:color w:val="auto"/>
          <w:spacing w:val="0"/>
          <w:kern w:val="24"/>
          <w:sz w:val="32"/>
          <w:szCs w:val="32"/>
          <w:lang w:val="en-US" w:eastAsia="zh-CN" w:bidi="ar"/>
        </w:rPr>
        <w:t>加大创新性产品供给</w:t>
      </w:r>
      <w:r>
        <w:rPr>
          <w:rFonts w:hint="eastAsia" w:ascii="仿宋_GB2312" w:hAnsi="仿宋_GB2312" w:eastAsia="仿宋_GB2312" w:cs="仿宋_GB2312"/>
          <w:i w:val="0"/>
          <w:iCs w:val="0"/>
          <w:caps w:val="0"/>
          <w:color w:val="auto"/>
          <w:spacing w:val="0"/>
          <w:kern w:val="24"/>
          <w:sz w:val="32"/>
          <w:szCs w:val="32"/>
          <w:lang w:bidi="ar"/>
        </w:rPr>
        <w:t>。</w:t>
      </w:r>
      <w:r>
        <w:rPr>
          <w:rFonts w:hint="eastAsia" w:ascii="仿宋_GB2312" w:hAnsi="仿宋_GB2312" w:eastAsia="仿宋_GB2312" w:cs="仿宋_GB2312"/>
          <w:b/>
          <w:bCs/>
          <w:i w:val="0"/>
          <w:iCs w:val="0"/>
          <w:caps w:val="0"/>
          <w:color w:val="auto"/>
          <w:spacing w:val="0"/>
          <w:kern w:val="24"/>
          <w:sz w:val="32"/>
          <w:szCs w:val="32"/>
          <w:lang w:val="en-US" w:eastAsia="zh-CN" w:bidi="ar"/>
        </w:rPr>
        <w:t>深化数字化转型。</w:t>
      </w:r>
      <w:r>
        <w:rPr>
          <w:rFonts w:hint="eastAsia" w:ascii="仿宋_GB2312" w:hAnsi="仿宋_GB2312" w:eastAsia="仿宋_GB2312" w:cs="仿宋_GB2312"/>
          <w:i w:val="0"/>
          <w:iCs w:val="0"/>
          <w:caps w:val="0"/>
          <w:color w:val="auto"/>
          <w:spacing w:val="0"/>
          <w:kern w:val="24"/>
          <w:sz w:val="32"/>
          <w:szCs w:val="32"/>
          <w:lang w:val="en-US" w:eastAsia="zh-CN" w:bidi="ar"/>
        </w:rPr>
        <w:t>支持企业</w:t>
      </w:r>
      <w:r>
        <w:rPr>
          <w:rFonts w:hint="eastAsia" w:ascii="仿宋_GB2312" w:hAnsi="仿宋_GB2312" w:eastAsia="仿宋_GB2312" w:cs="仿宋_GB2312"/>
          <w:color w:val="auto"/>
          <w:kern w:val="24"/>
          <w:sz w:val="32"/>
          <w:szCs w:val="32"/>
        </w:rPr>
        <w:t>建设智能工厂</w:t>
      </w:r>
      <w:r>
        <w:rPr>
          <w:rFonts w:hint="eastAsia" w:ascii="仿宋_GB2312" w:hAnsi="仿宋_GB2312" w:eastAsia="仿宋_GB2312" w:cs="仿宋_GB2312"/>
          <w:color w:val="auto"/>
          <w:kern w:val="24"/>
          <w:sz w:val="32"/>
          <w:szCs w:val="32"/>
          <w:lang w:eastAsia="zh-CN"/>
        </w:rPr>
        <w:t>，</w:t>
      </w:r>
      <w:r>
        <w:rPr>
          <w:rFonts w:hint="eastAsia" w:ascii="仿宋_GB2312" w:hAnsi="仿宋_GB2312" w:eastAsia="仿宋_GB2312" w:cs="仿宋_GB2312"/>
          <w:color w:val="auto"/>
          <w:kern w:val="24"/>
          <w:sz w:val="32"/>
          <w:szCs w:val="32"/>
          <w:lang w:val="en-US" w:eastAsia="zh-CN"/>
        </w:rPr>
        <w:t>推广柔性生产、敏捷定制等精益制造模式。发展智慧供应链，</w:t>
      </w:r>
      <w:r>
        <w:rPr>
          <w:rFonts w:hint="eastAsia" w:ascii="仿宋_GB2312" w:hAnsi="仿宋_GB2312" w:eastAsia="仿宋_GB2312" w:cs="仿宋_GB2312"/>
          <w:b w:val="0"/>
          <w:bCs w:val="0"/>
          <w:color w:val="auto"/>
          <w:kern w:val="24"/>
          <w:lang w:val="en-US" w:eastAsia="zh-CN" w:bidi="ar"/>
        </w:rPr>
        <w:t>构建协同高效的产销对接体系。</w:t>
      </w:r>
      <w:r>
        <w:rPr>
          <w:rFonts w:hint="eastAsia" w:ascii="仿宋_GB2312" w:hAnsi="仿宋_GB2312" w:eastAsia="仿宋_GB2312" w:cs="仿宋_GB2312"/>
          <w:i w:val="0"/>
          <w:iCs w:val="0"/>
          <w:caps w:val="0"/>
          <w:color w:val="auto"/>
          <w:spacing w:val="0"/>
          <w:kern w:val="24"/>
          <w:sz w:val="32"/>
          <w:szCs w:val="32"/>
          <w:shd w:val="clear"/>
          <w:lang w:val="en-US" w:eastAsia="zh-CN" w:bidi="ar"/>
        </w:rPr>
        <w:t>支持服装企业</w:t>
      </w:r>
      <w:r>
        <w:rPr>
          <w:rFonts w:hint="eastAsia" w:ascii="仿宋_GB2312" w:hAnsi="仿宋_GB2312" w:eastAsia="仿宋_GB2312" w:cs="仿宋_GB2312"/>
          <w:i w:val="0"/>
          <w:iCs w:val="0"/>
          <w:caps w:val="0"/>
          <w:color w:val="auto"/>
          <w:spacing w:val="0"/>
          <w:kern w:val="24"/>
          <w:sz w:val="32"/>
          <w:szCs w:val="32"/>
          <w:shd w:val="clear" w:fill="auto"/>
          <w:lang w:bidi="ar"/>
        </w:rPr>
        <w:t>推广3D设计、虚拟试衣等技术，</w:t>
      </w:r>
      <w:r>
        <w:rPr>
          <w:rFonts w:hint="eastAsia" w:ascii="仿宋_GB2312" w:hAnsi="仿宋_GB2312" w:eastAsia="仿宋_GB2312" w:cs="仿宋_GB2312"/>
          <w:i w:val="0"/>
          <w:iCs w:val="0"/>
          <w:caps w:val="0"/>
          <w:color w:val="auto"/>
          <w:spacing w:val="0"/>
          <w:kern w:val="24"/>
          <w:sz w:val="32"/>
          <w:szCs w:val="32"/>
          <w:shd w:val="clear" w:fill="auto"/>
          <w:lang w:val="en-US" w:eastAsia="zh-CN" w:bidi="ar"/>
        </w:rPr>
        <w:t>推进</w:t>
      </w:r>
      <w:r>
        <w:rPr>
          <w:rFonts w:hint="eastAsia" w:ascii="仿宋_GB2312" w:hAnsi="仿宋_GB2312" w:eastAsia="仿宋_GB2312" w:cs="仿宋_GB2312"/>
          <w:i w:val="0"/>
          <w:iCs w:val="0"/>
          <w:caps w:val="0"/>
          <w:color w:val="auto"/>
          <w:spacing w:val="0"/>
          <w:kern w:val="24"/>
          <w:sz w:val="32"/>
          <w:szCs w:val="32"/>
          <w:shd w:val="clear" w:fill="auto"/>
          <w:lang w:bidi="ar"/>
        </w:rPr>
        <w:t>黄金珠宝</w:t>
      </w:r>
      <w:r>
        <w:rPr>
          <w:rFonts w:hint="eastAsia" w:ascii="仿宋_GB2312" w:hAnsi="仿宋_GB2312" w:eastAsia="仿宋_GB2312" w:cs="仿宋_GB2312"/>
          <w:i w:val="0"/>
          <w:iCs w:val="0"/>
          <w:caps w:val="0"/>
          <w:color w:val="auto"/>
          <w:spacing w:val="0"/>
          <w:kern w:val="24"/>
          <w:sz w:val="32"/>
          <w:szCs w:val="32"/>
          <w:shd w:val="clear" w:fill="auto"/>
          <w:lang w:val="en-US" w:eastAsia="zh-CN" w:bidi="ar"/>
        </w:rPr>
        <w:t>企业</w:t>
      </w:r>
      <w:r>
        <w:rPr>
          <w:rFonts w:hint="eastAsia" w:ascii="仿宋_GB2312" w:hAnsi="仿宋_GB2312" w:eastAsia="仿宋_GB2312" w:cs="仿宋_GB2312"/>
          <w:i w:val="0"/>
          <w:iCs w:val="0"/>
          <w:caps w:val="0"/>
          <w:color w:val="auto"/>
          <w:spacing w:val="0"/>
          <w:kern w:val="24"/>
          <w:sz w:val="32"/>
          <w:szCs w:val="32"/>
          <w:shd w:val="clear" w:fill="auto"/>
          <w:lang w:bidi="ar"/>
        </w:rPr>
        <w:t>发展数字化建模与精密3D打印</w:t>
      </w:r>
      <w:r>
        <w:rPr>
          <w:rFonts w:hint="eastAsia" w:ascii="仿宋_GB2312" w:hAnsi="仿宋_GB2312" w:eastAsia="仿宋_GB2312" w:cs="仿宋_GB2312"/>
          <w:i w:val="0"/>
          <w:iCs w:val="0"/>
          <w:caps w:val="0"/>
          <w:color w:val="auto"/>
          <w:spacing w:val="0"/>
          <w:kern w:val="24"/>
          <w:sz w:val="32"/>
          <w:szCs w:val="32"/>
          <w:shd w:val="clear"/>
          <w:lang w:eastAsia="zh-CN" w:bidi="ar"/>
        </w:rPr>
        <w:t>，</w:t>
      </w:r>
      <w:r>
        <w:rPr>
          <w:rFonts w:hint="eastAsia" w:ascii="仿宋_GB2312" w:hAnsi="仿宋_GB2312" w:eastAsia="仿宋_GB2312" w:cs="仿宋_GB2312"/>
          <w:i w:val="0"/>
          <w:iCs w:val="0"/>
          <w:caps w:val="0"/>
          <w:color w:val="auto"/>
          <w:spacing w:val="0"/>
          <w:kern w:val="24"/>
          <w:sz w:val="32"/>
          <w:szCs w:val="32"/>
          <w:shd w:val="clear"/>
          <w:lang w:val="en-US" w:eastAsia="zh-CN" w:bidi="ar"/>
        </w:rPr>
        <w:t>鼓励</w:t>
      </w:r>
      <w:r>
        <w:rPr>
          <w:rFonts w:hint="eastAsia" w:ascii="仿宋_GB2312" w:hAnsi="仿宋_GB2312" w:eastAsia="仿宋_GB2312" w:cs="仿宋_GB2312"/>
          <w:i w:val="0"/>
          <w:iCs w:val="0"/>
          <w:caps w:val="0"/>
          <w:color w:val="auto"/>
          <w:spacing w:val="0"/>
          <w:kern w:val="24"/>
          <w:sz w:val="32"/>
          <w:szCs w:val="32"/>
          <w:shd w:val="clear" w:fill="auto"/>
          <w:lang w:bidi="ar"/>
        </w:rPr>
        <w:t>陶瓷、版画</w:t>
      </w:r>
      <w:r>
        <w:rPr>
          <w:rFonts w:hint="eastAsia" w:ascii="仿宋_GB2312" w:hAnsi="仿宋_GB2312" w:eastAsia="仿宋_GB2312" w:cs="仿宋_GB2312"/>
          <w:i w:val="0"/>
          <w:iCs w:val="0"/>
          <w:caps w:val="0"/>
          <w:color w:val="auto"/>
          <w:spacing w:val="0"/>
          <w:kern w:val="24"/>
          <w:sz w:val="32"/>
          <w:szCs w:val="32"/>
          <w:shd w:val="clear"/>
          <w:lang w:val="en-US" w:eastAsia="zh-CN" w:bidi="ar"/>
        </w:rPr>
        <w:t>企业</w:t>
      </w:r>
      <w:r>
        <w:rPr>
          <w:rFonts w:hint="eastAsia" w:ascii="仿宋_GB2312" w:hAnsi="仿宋_GB2312" w:eastAsia="仿宋_GB2312" w:cs="仿宋_GB2312"/>
          <w:i w:val="0"/>
          <w:iCs w:val="0"/>
          <w:caps w:val="0"/>
          <w:color w:val="auto"/>
          <w:spacing w:val="0"/>
          <w:kern w:val="24"/>
          <w:sz w:val="32"/>
          <w:szCs w:val="32"/>
          <w:shd w:val="clear" w:fill="auto"/>
          <w:lang w:bidi="ar"/>
        </w:rPr>
        <w:t>引入数字微喷与AI辅助创作。</w:t>
      </w:r>
      <w:r>
        <w:rPr>
          <w:rFonts w:hint="eastAsia" w:ascii="仿宋_GB2312" w:hAnsi="仿宋_GB2312" w:eastAsia="仿宋_GB2312" w:cs="仿宋_GB2312"/>
          <w:b/>
          <w:bCs/>
          <w:i w:val="0"/>
          <w:iCs w:val="0"/>
          <w:caps w:val="0"/>
          <w:color w:val="auto"/>
          <w:spacing w:val="0"/>
          <w:kern w:val="24"/>
          <w:sz w:val="32"/>
          <w:szCs w:val="32"/>
          <w:shd w:val="clear"/>
          <w:lang w:val="en-US" w:eastAsia="zh-CN" w:bidi="ar"/>
        </w:rPr>
        <w:t>深化跨界融合发展。</w:t>
      </w:r>
      <w:r>
        <w:rPr>
          <w:rFonts w:hint="eastAsia" w:ascii="仿宋_GB2312" w:hAnsi="仿宋_GB2312" w:eastAsia="仿宋_GB2312" w:cs="仿宋_GB2312"/>
          <w:color w:val="auto"/>
          <w:kern w:val="24"/>
          <w:lang w:val="en-US" w:eastAsia="zh-CN" w:bidi="ar"/>
        </w:rPr>
        <w:t>鼓励服装企业开发柔性智能可穿戴电子纺织品，支持</w:t>
      </w:r>
      <w:r>
        <w:rPr>
          <w:rFonts w:hint="eastAsia" w:ascii="仿宋_GB2312" w:hAnsi="仿宋_GB2312" w:eastAsia="仿宋_GB2312" w:cs="仿宋_GB2312"/>
          <w:i w:val="0"/>
          <w:iCs w:val="0"/>
          <w:caps w:val="0"/>
          <w:color w:val="auto"/>
          <w:spacing w:val="0"/>
          <w:kern w:val="24"/>
          <w:sz w:val="32"/>
          <w:szCs w:val="32"/>
          <w:lang w:bidi="ar"/>
        </w:rPr>
        <w:t>钟表</w:t>
      </w:r>
      <w:r>
        <w:rPr>
          <w:rFonts w:hint="eastAsia" w:ascii="仿宋_GB2312" w:hAnsi="仿宋_GB2312" w:eastAsia="仿宋_GB2312" w:cs="仿宋_GB2312"/>
          <w:i w:val="0"/>
          <w:iCs w:val="0"/>
          <w:caps w:val="0"/>
          <w:color w:val="auto"/>
          <w:spacing w:val="0"/>
          <w:kern w:val="24"/>
          <w:sz w:val="32"/>
          <w:szCs w:val="32"/>
          <w:lang w:val="en-US" w:eastAsia="zh-CN" w:bidi="ar"/>
        </w:rPr>
        <w:t>企业</w:t>
      </w:r>
      <w:r>
        <w:rPr>
          <w:rFonts w:hint="eastAsia" w:ascii="仿宋_GB2312" w:hAnsi="仿宋_GB2312" w:eastAsia="仿宋_GB2312" w:cs="仿宋_GB2312"/>
          <w:i w:val="0"/>
          <w:iCs w:val="0"/>
          <w:caps w:val="0"/>
          <w:color w:val="auto"/>
          <w:spacing w:val="0"/>
          <w:kern w:val="24"/>
          <w:sz w:val="32"/>
          <w:szCs w:val="32"/>
          <w:lang w:bidi="ar"/>
        </w:rPr>
        <w:t>布局健康监测智能腕表</w:t>
      </w:r>
      <w:r>
        <w:rPr>
          <w:rFonts w:hint="eastAsia" w:ascii="仿宋_GB2312" w:hAnsi="仿宋_GB2312" w:eastAsia="仿宋_GB2312" w:cs="仿宋_GB2312"/>
          <w:i w:val="0"/>
          <w:iCs w:val="0"/>
          <w:caps w:val="0"/>
          <w:color w:val="auto"/>
          <w:spacing w:val="0"/>
          <w:kern w:val="24"/>
          <w:sz w:val="32"/>
          <w:szCs w:val="32"/>
          <w:lang w:eastAsia="zh-CN" w:bidi="ar"/>
        </w:rPr>
        <w:t>，</w:t>
      </w:r>
      <w:r>
        <w:rPr>
          <w:rFonts w:hint="eastAsia" w:ascii="仿宋_GB2312" w:hAnsi="仿宋_GB2312" w:eastAsia="仿宋_GB2312" w:cs="仿宋_GB2312"/>
          <w:i w:val="0"/>
          <w:iCs w:val="0"/>
          <w:caps w:val="0"/>
          <w:color w:val="auto"/>
          <w:spacing w:val="0"/>
          <w:kern w:val="24"/>
          <w:sz w:val="32"/>
          <w:szCs w:val="32"/>
          <w:lang w:val="en-US" w:eastAsia="zh-CN" w:bidi="ar"/>
        </w:rPr>
        <w:t>促进家居企业开发</w:t>
      </w:r>
      <w:r>
        <w:rPr>
          <w:rFonts w:hint="eastAsia" w:ascii="仿宋_GB2312" w:hAnsi="仿宋_GB2312" w:eastAsia="仿宋_GB2312" w:cs="仿宋_GB2312"/>
          <w:i w:val="0"/>
          <w:iCs w:val="0"/>
          <w:caps w:val="0"/>
          <w:color w:val="auto"/>
          <w:spacing w:val="0"/>
          <w:kern w:val="24"/>
          <w:sz w:val="32"/>
          <w:szCs w:val="32"/>
          <w:lang w:bidi="ar"/>
        </w:rPr>
        <w:t>全屋智能</w:t>
      </w:r>
      <w:r>
        <w:rPr>
          <w:rFonts w:hint="eastAsia" w:ascii="仿宋_GB2312" w:hAnsi="仿宋_GB2312" w:eastAsia="仿宋_GB2312" w:cs="仿宋_GB2312"/>
          <w:i w:val="0"/>
          <w:iCs w:val="0"/>
          <w:caps w:val="0"/>
          <w:color w:val="auto"/>
          <w:spacing w:val="0"/>
          <w:kern w:val="24"/>
          <w:sz w:val="32"/>
          <w:szCs w:val="32"/>
          <w:lang w:eastAsia="zh-CN" w:bidi="ar"/>
        </w:rPr>
        <w:t>、</w:t>
      </w:r>
      <w:r>
        <w:rPr>
          <w:rFonts w:hint="eastAsia" w:ascii="仿宋_GB2312" w:hAnsi="仿宋_GB2312" w:eastAsia="仿宋_GB2312" w:cs="仿宋_GB2312"/>
          <w:i w:val="0"/>
          <w:iCs w:val="0"/>
          <w:caps w:val="0"/>
          <w:color w:val="auto"/>
          <w:spacing w:val="0"/>
          <w:kern w:val="24"/>
          <w:sz w:val="32"/>
          <w:szCs w:val="32"/>
          <w:lang w:bidi="ar"/>
        </w:rPr>
        <w:t>适老康养</w:t>
      </w:r>
      <w:r>
        <w:rPr>
          <w:rFonts w:hint="eastAsia" w:ascii="仿宋_GB2312" w:hAnsi="仿宋_GB2312" w:eastAsia="仿宋_GB2312" w:cs="仿宋_GB2312"/>
          <w:i w:val="0"/>
          <w:iCs w:val="0"/>
          <w:caps w:val="0"/>
          <w:color w:val="auto"/>
          <w:spacing w:val="0"/>
          <w:kern w:val="24"/>
          <w:sz w:val="32"/>
          <w:szCs w:val="32"/>
          <w:lang w:val="en-US" w:eastAsia="zh-CN" w:bidi="ar"/>
        </w:rPr>
        <w:t>等产品</w:t>
      </w:r>
      <w:r>
        <w:rPr>
          <w:rFonts w:hint="eastAsia" w:ascii="仿宋_GB2312" w:hAnsi="仿宋_GB2312" w:eastAsia="仿宋_GB2312" w:cs="仿宋_GB2312"/>
          <w:i w:val="0"/>
          <w:iCs w:val="0"/>
          <w:caps w:val="0"/>
          <w:color w:val="auto"/>
          <w:spacing w:val="0"/>
          <w:kern w:val="24"/>
          <w:sz w:val="32"/>
          <w:szCs w:val="32"/>
          <w:lang w:eastAsia="zh-CN" w:bidi="ar"/>
        </w:rPr>
        <w:t>，</w:t>
      </w:r>
      <w:r>
        <w:rPr>
          <w:rFonts w:hint="eastAsia" w:ascii="仿宋_GB2312" w:hAnsi="仿宋_GB2312" w:eastAsia="仿宋_GB2312" w:cs="仿宋_GB2312"/>
          <w:i w:val="0"/>
          <w:iCs w:val="0"/>
          <w:caps w:val="0"/>
          <w:color w:val="auto"/>
          <w:spacing w:val="0"/>
          <w:kern w:val="24"/>
          <w:sz w:val="32"/>
          <w:szCs w:val="32"/>
          <w:lang w:val="en-US" w:eastAsia="zh-CN" w:bidi="ar"/>
        </w:rPr>
        <w:t>加快推动</w:t>
      </w:r>
      <w:r>
        <w:rPr>
          <w:rFonts w:hint="eastAsia" w:ascii="仿宋_GB2312" w:hAnsi="仿宋_GB2312" w:eastAsia="仿宋_GB2312" w:cs="仿宋_GB2312"/>
          <w:i w:val="0"/>
          <w:iCs w:val="0"/>
          <w:caps w:val="0"/>
          <w:color w:val="auto"/>
          <w:spacing w:val="0"/>
          <w:kern w:val="24"/>
          <w:sz w:val="32"/>
          <w:szCs w:val="32"/>
          <w:lang w:bidi="ar"/>
        </w:rPr>
        <w:t>眼镜</w:t>
      </w:r>
      <w:r>
        <w:rPr>
          <w:rFonts w:hint="eastAsia" w:ascii="仿宋_GB2312" w:hAnsi="仿宋_GB2312" w:eastAsia="仿宋_GB2312" w:cs="仿宋_GB2312"/>
          <w:i w:val="0"/>
          <w:iCs w:val="0"/>
          <w:caps w:val="0"/>
          <w:color w:val="auto"/>
          <w:spacing w:val="0"/>
          <w:kern w:val="24"/>
          <w:sz w:val="32"/>
          <w:szCs w:val="32"/>
          <w:lang w:val="en-US" w:eastAsia="zh-CN" w:bidi="ar"/>
        </w:rPr>
        <w:t>企业</w:t>
      </w:r>
      <w:r>
        <w:rPr>
          <w:rFonts w:hint="eastAsia" w:ascii="仿宋_GB2312" w:hAnsi="仿宋_GB2312" w:eastAsia="仿宋_GB2312" w:cs="仿宋_GB2312"/>
          <w:i w:val="0"/>
          <w:iCs w:val="0"/>
          <w:caps w:val="0"/>
          <w:color w:val="auto"/>
          <w:spacing w:val="0"/>
          <w:kern w:val="24"/>
          <w:sz w:val="32"/>
          <w:szCs w:val="32"/>
          <w:lang w:bidi="ar"/>
        </w:rPr>
        <w:t>布局功能性光学镜片、</w:t>
      </w:r>
      <w:r>
        <w:rPr>
          <w:rFonts w:hint="eastAsia" w:ascii="仿宋_GB2312" w:hAnsi="仿宋_GB2312" w:eastAsia="仿宋_GB2312" w:cs="仿宋_GB2312"/>
          <w:i w:val="0"/>
          <w:iCs w:val="0"/>
          <w:caps w:val="0"/>
          <w:color w:val="auto"/>
          <w:spacing w:val="0"/>
          <w:kern w:val="24"/>
          <w:sz w:val="32"/>
          <w:szCs w:val="32"/>
          <w:lang w:eastAsia="zh-CN" w:bidi="ar"/>
        </w:rPr>
        <w:t>V</w:t>
      </w:r>
      <w:r>
        <w:rPr>
          <w:rFonts w:hint="eastAsia" w:ascii="仿宋_GB2312" w:hAnsi="仿宋_GB2312" w:eastAsia="仿宋_GB2312" w:cs="仿宋_GB2312"/>
          <w:i w:val="0"/>
          <w:iCs w:val="0"/>
          <w:caps w:val="0"/>
          <w:color w:val="auto"/>
          <w:spacing w:val="0"/>
          <w:kern w:val="24"/>
          <w:sz w:val="32"/>
          <w:szCs w:val="32"/>
          <w:lang w:bidi="ar"/>
        </w:rPr>
        <w:t>R智能眼镜</w:t>
      </w:r>
      <w:r>
        <w:rPr>
          <w:rFonts w:hint="eastAsia" w:ascii="仿宋_GB2312" w:hAnsi="仿宋_GB2312" w:eastAsia="仿宋_GB2312" w:cs="仿宋_GB2312"/>
          <w:i w:val="0"/>
          <w:iCs w:val="0"/>
          <w:caps w:val="0"/>
          <w:color w:val="auto"/>
          <w:spacing w:val="0"/>
          <w:kern w:val="24"/>
          <w:sz w:val="32"/>
          <w:szCs w:val="32"/>
          <w:lang w:eastAsia="zh-CN" w:bidi="ar"/>
        </w:rPr>
        <w:t>，</w:t>
      </w:r>
      <w:r>
        <w:rPr>
          <w:rFonts w:hint="eastAsia" w:ascii="仿宋_GB2312" w:hAnsi="仿宋_GB2312" w:eastAsia="仿宋_GB2312" w:cs="仿宋_GB2312"/>
          <w:i w:val="0"/>
          <w:iCs w:val="0"/>
          <w:caps w:val="0"/>
          <w:color w:val="auto"/>
          <w:spacing w:val="0"/>
          <w:kern w:val="24"/>
          <w:sz w:val="32"/>
          <w:szCs w:val="32"/>
          <w:lang w:val="en-US" w:eastAsia="zh-CN" w:bidi="ar"/>
        </w:rPr>
        <w:t>培育</w:t>
      </w:r>
      <w:r>
        <w:rPr>
          <w:rFonts w:hint="eastAsia" w:ascii="仿宋_GB2312" w:hAnsi="仿宋_GB2312" w:eastAsia="仿宋_GB2312" w:cs="仿宋_GB2312"/>
          <w:i w:val="0"/>
          <w:iCs w:val="0"/>
          <w:caps w:val="0"/>
          <w:color w:val="auto"/>
          <w:spacing w:val="0"/>
          <w:kern w:val="24"/>
          <w:sz w:val="32"/>
          <w:szCs w:val="32"/>
          <w:lang w:bidi="ar"/>
        </w:rPr>
        <w:t>第二增长曲线。</w:t>
      </w:r>
      <w:r>
        <w:rPr>
          <w:rFonts w:hint="eastAsia" w:ascii="仿宋_GB2312" w:hAnsi="仿宋_GB2312" w:eastAsia="仿宋_GB2312" w:cs="仿宋_GB2312"/>
          <w:b/>
          <w:bCs/>
          <w:i w:val="0"/>
          <w:iCs w:val="0"/>
          <w:caps w:val="0"/>
          <w:color w:val="auto"/>
          <w:spacing w:val="0"/>
          <w:kern w:val="24"/>
          <w:sz w:val="32"/>
          <w:szCs w:val="32"/>
          <w:shd w:val="clear"/>
          <w:lang w:val="en-US" w:eastAsia="zh-CN" w:bidi="ar"/>
        </w:rPr>
        <w:t>打造产业品牌矩阵。</w:t>
      </w:r>
      <w:r>
        <w:rPr>
          <w:rFonts w:hint="eastAsia" w:ascii="仿宋_GB2312" w:hAnsi="仿宋_GB2312" w:eastAsia="仿宋_GB2312" w:cs="仿宋_GB2312"/>
          <w:b w:val="0"/>
          <w:bCs w:val="0"/>
          <w:color w:val="auto"/>
          <w:kern w:val="24"/>
          <w:lang w:val="en-US" w:eastAsia="zh-CN"/>
        </w:rPr>
        <w:t>做强大浪服装时尚IP，</w:t>
      </w:r>
      <w:r>
        <w:rPr>
          <w:rFonts w:hint="eastAsia" w:ascii="仿宋_GB2312" w:hAnsi="仿宋_GB2312" w:eastAsia="仿宋_GB2312" w:cs="仿宋_GB2312"/>
          <w:color w:val="auto"/>
          <w:kern w:val="24"/>
          <w:lang w:bidi="ar"/>
        </w:rPr>
        <w:t>持续</w:t>
      </w:r>
      <w:r>
        <w:rPr>
          <w:rFonts w:hint="eastAsia" w:ascii="仿宋_GB2312" w:hAnsi="仿宋_GB2312" w:eastAsia="仿宋_GB2312" w:cs="仿宋_GB2312"/>
          <w:color w:val="auto"/>
          <w:kern w:val="24"/>
          <w:lang w:val="en-US" w:eastAsia="zh-CN" w:bidi="ar"/>
        </w:rPr>
        <w:t>办好</w:t>
      </w:r>
      <w:r>
        <w:rPr>
          <w:rFonts w:hint="eastAsia" w:ascii="仿宋_GB2312" w:hAnsi="仿宋_GB2312" w:eastAsia="仿宋_GB2312" w:cs="仿宋_GB2312"/>
          <w:color w:val="auto"/>
          <w:kern w:val="24"/>
          <w:lang w:bidi="ar"/>
        </w:rPr>
        <w:t>“深圳·米兰双城时尚周”国际IP，</w:t>
      </w:r>
      <w:r>
        <w:rPr>
          <w:rFonts w:hint="eastAsia" w:ascii="仿宋_GB2312" w:hAnsi="仿宋_GB2312" w:eastAsia="仿宋_GB2312" w:cs="仿宋_GB2312"/>
          <w:color w:val="auto"/>
          <w:kern w:val="24"/>
          <w:lang w:val="en-US" w:eastAsia="zh-CN" w:bidi="ar"/>
        </w:rPr>
        <w:t>升级“大浪杯”设计大赛，</w:t>
      </w:r>
      <w:r>
        <w:rPr>
          <w:rFonts w:hint="eastAsia" w:ascii="仿宋_GB2312" w:hAnsi="仿宋_GB2312" w:eastAsia="仿宋_GB2312" w:cs="仿宋_GB2312"/>
          <w:color w:val="auto"/>
          <w:kern w:val="24"/>
          <w:lang w:bidi="ar"/>
        </w:rPr>
        <w:t>提升“龙华</w:t>
      </w:r>
      <w:r>
        <w:rPr>
          <w:rFonts w:hint="eastAsia" w:ascii="仿宋_GB2312" w:hAnsi="仿宋_GB2312" w:eastAsia="仿宋_GB2312" w:cs="仿宋_GB2312"/>
          <w:color w:val="auto"/>
          <w:kern w:val="24"/>
          <w:lang w:val="en-US" w:eastAsia="zh-CN" w:bidi="ar"/>
        </w:rPr>
        <w:t>服装</w:t>
      </w:r>
      <w:r>
        <w:rPr>
          <w:rFonts w:hint="eastAsia" w:ascii="仿宋_GB2312" w:hAnsi="仿宋_GB2312" w:eastAsia="仿宋_GB2312" w:cs="仿宋_GB2312"/>
          <w:color w:val="auto"/>
          <w:kern w:val="24"/>
          <w:lang w:bidi="ar"/>
        </w:rPr>
        <w:t>设计”国际影响力。</w:t>
      </w:r>
      <w:r>
        <w:rPr>
          <w:rFonts w:hint="eastAsia" w:ascii="仿宋_GB2312" w:hAnsi="仿宋_GB2312" w:eastAsia="仿宋_GB2312" w:cs="仿宋_GB2312"/>
          <w:color w:val="auto"/>
          <w:kern w:val="24"/>
          <w:lang w:val="en-US" w:eastAsia="zh-CN" w:bidi="ar"/>
        </w:rPr>
        <w:t>打响永丰源国瓷品牌，支持企业参与国际陶瓷标准制定，推动陶瓷文化、制瓷技艺活化传承与创新发展。</w:t>
      </w:r>
      <w:r>
        <w:rPr>
          <w:rFonts w:hint="eastAsia" w:ascii="仿宋_GB2312" w:hAnsi="仿宋_GB2312" w:eastAsia="仿宋_GB2312" w:cs="仿宋_GB2312"/>
          <w:b w:val="0"/>
          <w:bCs w:val="0"/>
          <w:color w:val="auto"/>
          <w:kern w:val="24"/>
          <w:lang w:val="en-US" w:eastAsia="zh-CN" w:bidi="ar"/>
        </w:rPr>
        <w:t>擦亮龙华红木品牌，联合行业协会等组织举办红木家居展等活动，鼓励企业</w:t>
      </w:r>
      <w:r>
        <w:rPr>
          <w:rFonts w:hint="eastAsia" w:ascii="仿宋_GB2312" w:hAnsi="仿宋_GB2312" w:eastAsia="仿宋_GB2312" w:cs="仿宋_GB2312"/>
          <w:i w:val="0"/>
          <w:iCs w:val="0"/>
          <w:caps w:val="0"/>
          <w:color w:val="auto"/>
          <w:spacing w:val="0"/>
          <w:kern w:val="24"/>
          <w:sz w:val="32"/>
          <w:szCs w:val="32"/>
          <w:shd w:val="clear" w:fill="auto"/>
          <w:lang w:bidi="ar"/>
        </w:rPr>
        <w:t>推出“大师联名”“非遗复刻”系列产品。</w:t>
      </w:r>
    </w:p>
    <w:p>
      <w:pPr>
        <w:pStyle w:val="3"/>
        <w:widowControl/>
        <w:rPr>
          <w:rFonts w:hint="default" w:eastAsia="楷体_GB2312"/>
          <w:color w:val="auto"/>
          <w:lang w:val="en-US" w:eastAsia="zh-CN"/>
        </w:rPr>
      </w:pPr>
      <w:bookmarkStart w:id="241" w:name="_Toc5365"/>
      <w:bookmarkStart w:id="242" w:name="_Toc3776"/>
      <w:bookmarkStart w:id="243" w:name="_Toc23530"/>
      <w:bookmarkStart w:id="244" w:name="_Toc3579"/>
      <w:bookmarkStart w:id="245" w:name="_Toc14017"/>
      <w:bookmarkStart w:id="246" w:name="_Toc234"/>
      <w:bookmarkStart w:id="247" w:name="_Toc965"/>
      <w:bookmarkStart w:id="248" w:name="_Toc23657"/>
      <w:r>
        <w:rPr>
          <w:rFonts w:hint="eastAsia"/>
          <w:color w:val="auto"/>
        </w:rPr>
        <w:t>（</w:t>
      </w:r>
      <w:r>
        <w:rPr>
          <w:rFonts w:hint="eastAsia"/>
          <w:color w:val="auto"/>
          <w:lang w:val="en-US" w:eastAsia="zh-CN"/>
        </w:rPr>
        <w:t>二</w:t>
      </w:r>
      <w:r>
        <w:rPr>
          <w:rFonts w:hint="eastAsia"/>
          <w:color w:val="auto"/>
        </w:rPr>
        <w:t>）</w:t>
      </w:r>
      <w:r>
        <w:rPr>
          <w:rFonts w:hint="eastAsia"/>
          <w:color w:val="auto"/>
          <w:lang w:val="en-US" w:eastAsia="zh-CN"/>
        </w:rPr>
        <w:t>构筑</w:t>
      </w:r>
      <w:r>
        <w:rPr>
          <w:rFonts w:hint="eastAsia"/>
          <w:color w:val="auto"/>
        </w:rPr>
        <w:t>新兴产业</w:t>
      </w:r>
      <w:r>
        <w:rPr>
          <w:rFonts w:hint="eastAsia"/>
          <w:color w:val="auto"/>
          <w:lang w:val="en-US" w:eastAsia="zh-CN"/>
        </w:rPr>
        <w:t>发展新增量</w:t>
      </w:r>
      <w:bookmarkEnd w:id="241"/>
      <w:bookmarkEnd w:id="242"/>
      <w:bookmarkEnd w:id="243"/>
      <w:bookmarkEnd w:id="244"/>
      <w:bookmarkEnd w:id="245"/>
      <w:bookmarkEnd w:id="246"/>
      <w:bookmarkEnd w:id="247"/>
      <w:bookmarkEnd w:id="248"/>
    </w:p>
    <w:p>
      <w:pPr>
        <w:widowControl/>
        <w:outlineLvl w:val="2"/>
        <w:rPr>
          <w:rStyle w:val="18"/>
          <w:rFonts w:hint="eastAsia"/>
          <w:b/>
          <w:bCs/>
          <w:color w:val="auto"/>
          <w:lang w:val="en-US" w:eastAsia="zh-CN"/>
        </w:rPr>
      </w:pPr>
      <w:r>
        <w:rPr>
          <w:rFonts w:hint="eastAsia"/>
          <w:b/>
          <w:bCs/>
          <w:color w:val="auto"/>
          <w:lang w:val="en-US" w:eastAsia="zh-CN"/>
        </w:rPr>
        <w:t>1.打造</w:t>
      </w:r>
      <w:r>
        <w:rPr>
          <w:rStyle w:val="18"/>
          <w:rFonts w:hint="eastAsia"/>
          <w:b/>
          <w:bCs/>
          <w:color w:val="auto"/>
        </w:rPr>
        <w:t>低空</w:t>
      </w:r>
      <w:r>
        <w:rPr>
          <w:rStyle w:val="18"/>
          <w:rFonts w:hint="eastAsia"/>
          <w:b/>
          <w:bCs/>
          <w:color w:val="auto"/>
          <w:lang w:val="en-US" w:eastAsia="zh-CN"/>
        </w:rPr>
        <w:t>经济发展典型示范</w:t>
      </w:r>
    </w:p>
    <w:p>
      <w:pPr>
        <w:widowControl/>
        <w:outlineLvl w:val="9"/>
        <w:rPr>
          <w:rFonts w:hint="eastAsia" w:ascii="仿宋_GB2312" w:hAnsi="仿宋_GB2312" w:eastAsia="仿宋_GB2312" w:cs="仿宋_GB2312"/>
          <w:color w:val="auto"/>
          <w:shd w:val="clear" w:color="auto" w:fill="FFFFFF"/>
        </w:rPr>
      </w:pPr>
      <w:r>
        <w:rPr>
          <w:rFonts w:hint="eastAsia" w:ascii="仿宋_GB2312" w:hAnsi="仿宋_GB2312" w:eastAsia="仿宋_GB2312" w:cs="仿宋_GB2312"/>
          <w:color w:val="auto"/>
        </w:rPr>
        <w:t>以低空应用场景为牵引，构建研发设计、关键零部件、整机制造、商业应用的全产业链生态，打造</w:t>
      </w:r>
      <w:r>
        <w:rPr>
          <w:rFonts w:hint="eastAsia" w:ascii="仿宋_GB2312" w:hAnsi="仿宋_GB2312" w:eastAsia="仿宋_GB2312" w:cs="仿宋_GB2312"/>
          <w:color w:val="auto"/>
          <w:shd w:val="clear" w:color="auto" w:fill="FFFFFF"/>
        </w:rPr>
        <w:t>全国首个复杂城市环境下低空经济创新应用示范区</w:t>
      </w:r>
      <w:r>
        <w:rPr>
          <w:rFonts w:hint="eastAsia" w:ascii="仿宋_GB2312" w:hAnsi="仿宋_GB2312" w:eastAsia="仿宋_GB2312" w:cs="仿宋_GB2312"/>
          <w:color w:val="auto"/>
        </w:rPr>
        <w:t>。</w:t>
      </w:r>
      <w:r>
        <w:rPr>
          <w:rFonts w:hint="eastAsia" w:ascii="仿宋_GB2312" w:hAnsi="仿宋_GB2312" w:eastAsia="仿宋_GB2312" w:cs="仿宋_GB2312"/>
          <w:b/>
          <w:bCs/>
          <w:color w:val="auto"/>
          <w:shd w:val="clear" w:color="auto" w:fill="FFFFFF"/>
        </w:rPr>
        <w:t>做强高端制造环节。</w:t>
      </w:r>
      <w:r>
        <w:rPr>
          <w:rFonts w:hint="eastAsia" w:ascii="仿宋_GB2312" w:hAnsi="仿宋_GB2312" w:eastAsia="仿宋_GB2312" w:cs="仿宋_GB2312"/>
          <w:color w:val="auto"/>
          <w:shd w:val="clear" w:color="auto" w:fill="FFFFFF"/>
        </w:rPr>
        <w:t>重点发展无人机、</w:t>
      </w:r>
      <w:r>
        <w:rPr>
          <w:rFonts w:hint="eastAsia" w:ascii="仿宋_GB2312" w:hAnsi="仿宋_GB2312" w:eastAsia="仿宋_GB2312" w:cs="仿宋_GB2312"/>
          <w:color w:val="auto"/>
          <w:lang w:bidi="ar-SA"/>
        </w:rPr>
        <w:t>电动垂直起降飞行器（</w:t>
      </w:r>
      <w:r>
        <w:rPr>
          <w:rFonts w:hint="eastAsia" w:ascii="仿宋_GB2312" w:hAnsi="仿宋_GB2312" w:eastAsia="仿宋_GB2312" w:cs="仿宋_GB2312"/>
          <w:color w:val="auto"/>
          <w:shd w:val="clear" w:color="auto" w:fill="FFFFFF"/>
        </w:rPr>
        <w:t>eVTOL</w:t>
      </w:r>
      <w:r>
        <w:rPr>
          <w:rFonts w:hint="eastAsia" w:ascii="仿宋_GB2312" w:hAnsi="仿宋_GB2312" w:eastAsia="仿宋_GB2312" w:cs="仿宋_GB2312"/>
          <w:color w:val="auto"/>
          <w:lang w:bidi="ar-SA"/>
        </w:rPr>
        <w:t>）</w:t>
      </w:r>
      <w:r>
        <w:rPr>
          <w:rFonts w:hint="eastAsia" w:ascii="仿宋_GB2312" w:hAnsi="仿宋_GB2312" w:eastAsia="仿宋_GB2312" w:cs="仿宋_GB2312"/>
          <w:color w:val="auto"/>
          <w:shd w:val="clear" w:color="auto" w:fill="FFFFFF"/>
        </w:rPr>
        <w:t>等整机研发制造，着力突破飞控芯片、高密度电池等核心零部件关键技术，靶向招引全球无人机整机或关键零部件领军企业。</w:t>
      </w:r>
      <w:r>
        <w:rPr>
          <w:rFonts w:hint="eastAsia" w:ascii="仿宋_GB2312" w:hAnsi="仿宋_GB2312" w:eastAsia="仿宋_GB2312" w:cs="仿宋_GB2312"/>
          <w:b/>
          <w:bCs/>
          <w:color w:val="auto"/>
          <w:shd w:val="clear" w:color="auto" w:fill="FFFFFF"/>
        </w:rPr>
        <w:t>强化创新平台支撑。</w:t>
      </w:r>
      <w:r>
        <w:rPr>
          <w:rFonts w:hint="eastAsia" w:ascii="仿宋_GB2312" w:hAnsi="仿宋_GB2312" w:eastAsia="仿宋_GB2312" w:cs="仿宋_GB2312"/>
          <w:color w:val="auto"/>
          <w:shd w:val="clear" w:color="auto" w:fill="FFFFFF"/>
        </w:rPr>
        <w:t>支持龙头企业牵头共建技术创新中心、制造业创新中心等科技创新平台，开展核心技术攻关，加强创新资源供给。支持电子科技大学（深圳）高等研究院提升三维多物理场耦合引导风洞检测服务能力，打造行业权威低空飞行器测试验证平台。</w:t>
      </w:r>
      <w:r>
        <w:rPr>
          <w:rFonts w:hint="eastAsia" w:ascii="仿宋_GB2312" w:hAnsi="仿宋_GB2312" w:eastAsia="仿宋_GB2312" w:cs="仿宋_GB2312"/>
          <w:b/>
          <w:bCs/>
          <w:color w:val="auto"/>
          <w:shd w:val="clear" w:color="auto" w:fill="FFFFFF"/>
        </w:rPr>
        <w:t>完善</w:t>
      </w:r>
      <w:r>
        <w:rPr>
          <w:rFonts w:hint="eastAsia" w:ascii="仿宋_GB2312" w:hAnsi="仿宋_GB2312" w:eastAsia="仿宋_GB2312" w:cs="仿宋_GB2312"/>
          <w:b/>
          <w:bCs/>
          <w:color w:val="auto"/>
          <w:shd w:val="clear" w:color="auto" w:fill="FFFFFF"/>
          <w:lang w:val="en-US" w:eastAsia="zh-CN"/>
        </w:rPr>
        <w:t>低空飞行</w:t>
      </w:r>
      <w:r>
        <w:rPr>
          <w:rFonts w:hint="eastAsia" w:ascii="仿宋_GB2312" w:hAnsi="仿宋_GB2312" w:eastAsia="仿宋_GB2312" w:cs="仿宋_GB2312"/>
          <w:b/>
          <w:bCs/>
          <w:color w:val="auto"/>
          <w:shd w:val="clear" w:color="auto" w:fill="FFFFFF"/>
        </w:rPr>
        <w:t>基础设施。</w:t>
      </w:r>
      <w:r>
        <w:rPr>
          <w:rFonts w:hint="eastAsia" w:ascii="仿宋_GB2312" w:hAnsi="仿宋_GB2312" w:eastAsia="仿宋_GB2312" w:cs="仿宋_GB2312"/>
          <w:color w:val="auto"/>
          <w:shd w:val="clear" w:color="auto" w:fill="FFFFFF"/>
        </w:rPr>
        <w:t>构建多层次智能化起降体系，加快航线沿线低空起降场、充电设施等地面基础设施建设，形成覆盖全区的网络化节点。</w:t>
      </w:r>
      <w:r>
        <w:rPr>
          <w:rFonts w:hint="eastAsia" w:ascii="仿宋_GB2312" w:hAnsi="仿宋_GB2312" w:eastAsia="仿宋_GB2312" w:cs="仿宋_GB2312"/>
          <w:color w:val="auto"/>
        </w:rPr>
        <w:t>支持南京航空航天大学深圳研究院完善平台功能，</w:t>
      </w:r>
      <w:r>
        <w:rPr>
          <w:rFonts w:hint="eastAsia" w:ascii="仿宋_GB2312" w:hAnsi="仿宋_GB2312" w:eastAsia="仿宋_GB2312" w:cs="仿宋_GB2312"/>
          <w:color w:val="auto"/>
          <w:shd w:val="clear" w:color="auto" w:fill="FFFFFF"/>
        </w:rPr>
        <w:t>做好与</w:t>
      </w:r>
      <w:r>
        <w:rPr>
          <w:rFonts w:hint="eastAsia" w:ascii="仿宋_GB2312" w:hAnsi="仿宋_GB2312" w:eastAsia="仿宋_GB2312" w:cs="仿宋_GB2312"/>
          <w:color w:val="auto"/>
        </w:rPr>
        <w:t>深圳市低空智能融合系统（SILAS）</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国家民用无人驾驶航空器综合管理平台（UOM）的对接。</w:t>
      </w:r>
      <w:r>
        <w:rPr>
          <w:rFonts w:hint="eastAsia" w:ascii="仿宋_GB2312" w:hAnsi="仿宋_GB2312" w:eastAsia="仿宋_GB2312" w:cs="仿宋_GB2312"/>
          <w:b/>
          <w:bCs/>
          <w:color w:val="auto"/>
          <w:shd w:val="clear" w:color="auto" w:fill="FFFFFF"/>
        </w:rPr>
        <w:t>拓展全域低空应用场景。</w:t>
      </w:r>
      <w:r>
        <w:rPr>
          <w:rFonts w:hint="eastAsia" w:ascii="仿宋_GB2312" w:hAnsi="仿宋_GB2312" w:eastAsia="仿宋_GB2312" w:cs="仿宋_GB2312"/>
          <w:color w:val="auto"/>
          <w:shd w:val="clear" w:color="auto" w:fill="FFFFFF"/>
        </w:rPr>
        <w:t>构建智慧物流体系，实现15分钟全域直达。优化医疗物资低空运输网络，建设医院</w:t>
      </w:r>
      <w:r>
        <w:rPr>
          <w:rFonts w:hint="eastAsia" w:ascii="仿宋_GB2312" w:hAnsi="仿宋_GB2312" w:eastAsia="仿宋_GB2312" w:cs="仿宋_GB2312"/>
          <w:color w:val="auto"/>
          <w:shd w:val="clear" w:color="auto" w:fill="FFFFFF"/>
          <w:lang w:eastAsia="zh-CN"/>
        </w:rPr>
        <w:t>—</w:t>
      </w:r>
      <w:r>
        <w:rPr>
          <w:rFonts w:hint="eastAsia" w:ascii="仿宋_GB2312" w:hAnsi="仿宋_GB2312" w:eastAsia="仿宋_GB2312" w:cs="仿宋_GB2312"/>
          <w:color w:val="auto"/>
          <w:shd w:val="clear" w:color="auto" w:fill="FFFFFF"/>
        </w:rPr>
        <w:t>社康数字化配送专线。</w:t>
      </w:r>
      <w:r>
        <w:rPr>
          <w:rFonts w:hint="eastAsia" w:ascii="仿宋_GB2312" w:hAnsi="仿宋_GB2312" w:eastAsia="仿宋_GB2312" w:cs="仿宋_GB2312"/>
          <w:color w:val="auto"/>
        </w:rPr>
        <w:t>构建“AI+低空”城市治理体系，拓展无人机在违建巡查、环保监测、应急救援、森林防火、水利巡查等领域应用。</w:t>
      </w:r>
    </w:p>
    <w:p>
      <w:pPr>
        <w:keepNext w:val="0"/>
        <w:keepLines w:val="0"/>
        <w:widowControl w:val="0"/>
        <w:suppressLineNumbers w:val="0"/>
        <w:spacing w:before="0" w:beforeAutospacing="0" w:after="0" w:afterAutospacing="0" w:line="560" w:lineRule="exact"/>
        <w:ind w:left="0" w:right="0" w:firstLine="642" w:firstLineChars="200"/>
        <w:jc w:val="both"/>
        <w:outlineLvl w:val="2"/>
        <w:rPr>
          <w:rFonts w:hint="eastAsia" w:ascii="仿宋_GB2312" w:cs="仿宋_GB2312"/>
          <w:b/>
          <w:bCs/>
          <w:color w:val="auto"/>
          <w:kern w:val="24"/>
          <w:sz w:val="32"/>
          <w:szCs w:val="32"/>
          <w:lang w:val="en-US" w:eastAsia="zh-CN" w:bidi="ar"/>
        </w:rPr>
      </w:pPr>
      <w:r>
        <w:rPr>
          <w:rFonts w:hint="default" w:ascii="Times New Roman" w:hAnsi="Times New Roman" w:eastAsia="仿宋_GB2312" w:cs="Times New Roman"/>
          <w:b/>
          <w:bCs/>
          <w:color w:val="auto"/>
          <w:kern w:val="24"/>
          <w:sz w:val="32"/>
          <w:szCs w:val="32"/>
          <w:lang w:val="en-US" w:eastAsia="zh-CN" w:bidi="ar"/>
        </w:rPr>
        <w:t>2.</w:t>
      </w:r>
      <w:r>
        <w:rPr>
          <w:rFonts w:hint="eastAsia" w:cs="Times New Roman"/>
          <w:b/>
          <w:bCs/>
          <w:color w:val="auto"/>
          <w:kern w:val="24"/>
          <w:sz w:val="32"/>
          <w:szCs w:val="32"/>
          <w:lang w:val="en-US" w:eastAsia="zh-CN" w:bidi="ar"/>
        </w:rPr>
        <w:t>推动</w:t>
      </w:r>
      <w:r>
        <w:rPr>
          <w:rFonts w:hint="eastAsia" w:ascii="仿宋_GB2312" w:hAnsi="Times New Roman" w:eastAsia="仿宋_GB2312" w:cs="仿宋_GB2312"/>
          <w:b/>
          <w:bCs/>
          <w:color w:val="auto"/>
          <w:kern w:val="24"/>
          <w:sz w:val="32"/>
          <w:szCs w:val="32"/>
          <w:lang w:val="en-US" w:eastAsia="zh-CN" w:bidi="ar"/>
        </w:rPr>
        <w:t>安全节能环保</w:t>
      </w:r>
      <w:r>
        <w:rPr>
          <w:rFonts w:hint="eastAsia" w:ascii="仿宋_GB2312" w:cs="仿宋_GB2312"/>
          <w:b/>
          <w:bCs/>
          <w:color w:val="auto"/>
          <w:kern w:val="24"/>
          <w:sz w:val="32"/>
          <w:szCs w:val="32"/>
          <w:lang w:val="en-US" w:eastAsia="zh-CN" w:bidi="ar"/>
        </w:rPr>
        <w:t>高质量发展</w:t>
      </w:r>
    </w:p>
    <w:p>
      <w:pPr>
        <w:keepNext w:val="0"/>
        <w:keepLines w:val="0"/>
        <w:widowControl w:val="0"/>
        <w:suppressLineNumbers w:val="0"/>
        <w:spacing w:before="0" w:beforeAutospacing="0" w:after="0" w:afterAutospacing="0" w:line="560" w:lineRule="exact"/>
        <w:ind w:left="0" w:right="0" w:firstLine="640" w:firstLineChars="200"/>
        <w:jc w:val="both"/>
        <w:outlineLvl w:val="9"/>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培育优势突出、创新驱动的安全节能环保产业生态，构建绿色发展新格局，助力高质量完成“碳达峰、碳中和”战略目标，建设成为</w:t>
      </w:r>
      <w:r>
        <w:rPr>
          <w:rFonts w:hint="eastAsia" w:ascii="仿宋_GB2312" w:hAnsi="仿宋_GB2312" w:eastAsia="仿宋_GB2312" w:cs="仿宋_GB2312"/>
          <w:i w:val="0"/>
          <w:iCs w:val="0"/>
          <w:caps w:val="0"/>
          <w:color w:val="auto"/>
          <w:spacing w:val="0"/>
          <w:sz w:val="32"/>
          <w:szCs w:val="32"/>
          <w:shd w:val="clear" w:fill="auto"/>
          <w:lang w:bidi="ar"/>
        </w:rPr>
        <w:t>安全节能环保产业创新高地</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b/>
          <w:bCs/>
          <w:color w:val="auto"/>
          <w:kern w:val="0"/>
          <w:sz w:val="32"/>
          <w:szCs w:val="32"/>
          <w:lang w:val="en-US" w:eastAsia="zh-CN" w:bidi="ar"/>
        </w:rPr>
        <w:t>锚定关键领域构建产业发展体系。</w:t>
      </w:r>
      <w:r>
        <w:rPr>
          <w:rFonts w:hint="eastAsia" w:ascii="仿宋_GB2312" w:hAnsi="仿宋_GB2312" w:eastAsia="仿宋_GB2312" w:cs="仿宋_GB2312"/>
          <w:color w:val="auto"/>
          <w:kern w:val="0"/>
          <w:sz w:val="32"/>
          <w:szCs w:val="32"/>
          <w:lang w:val="en-US" w:eastAsia="zh-CN" w:bidi="ar"/>
        </w:rPr>
        <w:t>聚焦技术创新与产业升级，构建以LED照明、高效变频器、高效制冷3大核心产业为主导，以高分子节能环保材料产业为成长领域，以安全节能环保服务与数字技术融合发展为新兴领域的产业体系。</w:t>
      </w:r>
      <w:r>
        <w:rPr>
          <w:rFonts w:hint="eastAsia" w:ascii="仿宋_GB2312" w:hAnsi="仿宋_GB2312" w:eastAsia="仿宋_GB2312" w:cs="仿宋_GB2312"/>
          <w:b/>
          <w:bCs/>
          <w:color w:val="auto"/>
          <w:kern w:val="0"/>
          <w:sz w:val="32"/>
          <w:szCs w:val="32"/>
          <w:lang w:val="en-US" w:eastAsia="zh-CN" w:bidi="ar"/>
        </w:rPr>
        <w:t>加强关键核心技术攻关。</w:t>
      </w:r>
      <w:r>
        <w:rPr>
          <w:rFonts w:hint="eastAsia" w:ascii="仿宋_GB2312" w:hAnsi="仿宋_GB2312" w:eastAsia="仿宋_GB2312" w:cs="仿宋_GB2312"/>
          <w:color w:val="auto"/>
          <w:kern w:val="0"/>
          <w:sz w:val="32"/>
          <w:szCs w:val="32"/>
          <w:lang w:val="en-US" w:eastAsia="zh-CN" w:bidi="ar"/>
        </w:rPr>
        <w:t>重点突破数字环保监测、工业固废再生利用、减污降碳协同、智能应急通信、可降解新材料合成、高性能材料等核心技术，研发智能应急装备与通信系统，发展工业废气处理设备、数字环保监测平台，推进固废回收利用与建筑垃圾资源化系统建设，培育节能建材、环保涂料等细分赛道。</w:t>
      </w:r>
      <w:r>
        <w:rPr>
          <w:rFonts w:hint="eastAsia" w:ascii="仿宋_GB2312" w:hAnsi="仿宋_GB2312" w:eastAsia="仿宋_GB2312" w:cs="仿宋_GB2312"/>
          <w:b/>
          <w:bCs/>
          <w:color w:val="auto"/>
          <w:kern w:val="0"/>
          <w:sz w:val="32"/>
          <w:szCs w:val="32"/>
          <w:lang w:val="en-US" w:eastAsia="zh-CN" w:bidi="ar"/>
        </w:rPr>
        <w:t>打造绿色低碳场景应用示范。</w:t>
      </w:r>
      <w:r>
        <w:rPr>
          <w:rFonts w:hint="eastAsia" w:ascii="仿宋_GB2312" w:hAnsi="仿宋_GB2312" w:eastAsia="仿宋_GB2312" w:cs="仿宋_GB2312"/>
          <w:color w:val="auto"/>
          <w:kern w:val="0"/>
          <w:sz w:val="32"/>
          <w:szCs w:val="32"/>
          <w:lang w:val="en-US" w:eastAsia="zh-CN" w:bidi="ar"/>
        </w:rPr>
        <w:t>聚焦园区绿色低碳循环化创建、公共建筑综合性改造、数据中心节能技术改造等应用场景，创建一批重大场景示范项目，有力支撑新技术新产品应用落地与推广。</w:t>
      </w:r>
      <w:r>
        <w:rPr>
          <w:rFonts w:hint="eastAsia" w:ascii="仿宋_GB2312" w:hAnsi="仿宋_GB2312" w:eastAsia="仿宋_GB2312" w:cs="仿宋_GB2312"/>
          <w:b/>
          <w:bCs/>
          <w:color w:val="auto"/>
          <w:kern w:val="0"/>
          <w:sz w:val="32"/>
          <w:szCs w:val="32"/>
          <w:lang w:val="en-US" w:eastAsia="zh-CN" w:bidi="ar"/>
        </w:rPr>
        <w:t>推动数智节能融合应用。</w:t>
      </w:r>
      <w:r>
        <w:rPr>
          <w:rFonts w:hint="eastAsia" w:ascii="仿宋_GB2312" w:hAnsi="仿宋_GB2312" w:eastAsia="仿宋_GB2312" w:cs="仿宋_GB2312"/>
          <w:color w:val="auto"/>
          <w:kern w:val="0"/>
          <w:sz w:val="32"/>
          <w:szCs w:val="32"/>
          <w:lang w:val="en-US" w:eastAsia="zh-CN" w:bidi="ar"/>
        </w:rPr>
        <w:t>加快大数据、人工智能、云服务等技术在远程数据采集、电力设施巡检、馈线自动化、远程运维等环节的应用，全面推广综合能源服务解决方案，打造一批传统能源数智化转型标杆案例。</w:t>
      </w:r>
    </w:p>
    <w:p>
      <w:pPr>
        <w:widowControl w:val="0"/>
        <w:ind w:firstLine="643"/>
        <w:outlineLvl w:val="2"/>
        <w:rPr>
          <w:rFonts w:hint="eastAsia" w:cs="Times New Roman"/>
          <w:b/>
          <w:bCs/>
          <w:color w:val="auto"/>
          <w:kern w:val="24"/>
          <w:lang w:val="en-US" w:eastAsia="zh-CN" w:bidi="ar"/>
        </w:rPr>
      </w:pPr>
      <w:r>
        <w:rPr>
          <w:rFonts w:hint="default" w:cs="Times New Roman"/>
          <w:b/>
          <w:bCs/>
          <w:color w:val="auto"/>
          <w:kern w:val="24"/>
          <w:lang w:val="en-US" w:eastAsia="zh-CN" w:bidi="ar"/>
        </w:rPr>
        <w:t>3.</w:t>
      </w:r>
      <w:r>
        <w:rPr>
          <w:rFonts w:hint="eastAsia" w:cs="Times New Roman"/>
          <w:b/>
          <w:bCs/>
          <w:color w:val="auto"/>
          <w:kern w:val="24"/>
          <w:lang w:val="en-US" w:eastAsia="zh-CN" w:bidi="ar"/>
        </w:rPr>
        <w:t>培育</w:t>
      </w:r>
      <w:r>
        <w:rPr>
          <w:rFonts w:hint="default" w:cs="Times New Roman"/>
          <w:b/>
          <w:bCs/>
          <w:color w:val="auto"/>
          <w:kern w:val="24"/>
          <w:lang w:val="en-US" w:eastAsia="zh-CN" w:bidi="ar"/>
        </w:rPr>
        <w:t>商业航天</w:t>
      </w:r>
      <w:r>
        <w:rPr>
          <w:rFonts w:hint="eastAsia" w:cs="Times New Roman"/>
          <w:b/>
          <w:bCs/>
          <w:color w:val="auto"/>
          <w:kern w:val="24"/>
          <w:lang w:val="en-US" w:eastAsia="zh-CN" w:bidi="ar"/>
        </w:rPr>
        <w:t>与</w:t>
      </w:r>
      <w:r>
        <w:rPr>
          <w:rFonts w:hint="default" w:cs="Times New Roman"/>
          <w:b/>
          <w:bCs/>
          <w:color w:val="auto"/>
          <w:kern w:val="24"/>
          <w:lang w:val="en-US" w:eastAsia="zh-CN" w:bidi="ar"/>
        </w:rPr>
        <w:t>航空</w:t>
      </w:r>
      <w:r>
        <w:rPr>
          <w:rFonts w:hint="eastAsia" w:cs="Times New Roman"/>
          <w:b/>
          <w:bCs/>
          <w:color w:val="auto"/>
          <w:kern w:val="24"/>
          <w:lang w:val="en-US" w:eastAsia="zh-CN" w:bidi="ar"/>
        </w:rPr>
        <w:t>产业生态</w:t>
      </w:r>
    </w:p>
    <w:p>
      <w:pPr>
        <w:widowControl w:val="0"/>
        <w:ind w:firstLine="643"/>
        <w:outlineLvl w:val="9"/>
        <w:rPr>
          <w:rFonts w:hint="eastAsia"/>
          <w:color w:val="auto"/>
          <w:lang w:val="en-US" w:eastAsia="zh-CN"/>
        </w:rPr>
      </w:pPr>
      <w:r>
        <w:rPr>
          <w:rFonts w:hint="eastAsia" w:cs="Times New Roman"/>
          <w:b w:val="0"/>
          <w:bCs w:val="0"/>
          <w:color w:val="auto"/>
          <w:kern w:val="24"/>
          <w:lang w:val="en-US" w:eastAsia="zh-CN" w:bidi="ar"/>
        </w:rPr>
        <w:t>立足电子信息和精密制造基础，主攻星上核心零部件、地面智能终端和跨领域融合应用，加快培育壮大商业航空航天产业集群。</w:t>
      </w:r>
      <w:r>
        <w:rPr>
          <w:rFonts w:hint="eastAsia" w:cs="Times New Roman"/>
          <w:b/>
          <w:bCs/>
          <w:color w:val="auto"/>
          <w:kern w:val="24"/>
          <w:lang w:val="en-US" w:eastAsia="zh-CN" w:bidi="ar"/>
        </w:rPr>
        <w:t>培育商业卫星制造产业链。</w:t>
      </w:r>
      <w:r>
        <w:rPr>
          <w:rFonts w:hint="eastAsia" w:ascii="Times New Roman" w:hAnsi="Times New Roman" w:eastAsia="仿宋_GB2312" w:cs="Times New Roman"/>
          <w:bCs w:val="0"/>
          <w:color w:val="auto"/>
          <w:kern w:val="24"/>
          <w:sz w:val="32"/>
          <w:szCs w:val="32"/>
          <w:lang w:eastAsia="zh-CN" w:bidi="ar"/>
        </w:rPr>
        <w:t>积极</w:t>
      </w:r>
      <w:r>
        <w:rPr>
          <w:rFonts w:hint="eastAsia" w:ascii="Times New Roman" w:hAnsi="Times New Roman" w:eastAsia="仿宋_GB2312" w:cs="Times New Roman"/>
          <w:bCs w:val="0"/>
          <w:color w:val="auto"/>
          <w:kern w:val="24"/>
          <w:sz w:val="32"/>
          <w:szCs w:val="32"/>
          <w:lang w:bidi="ar"/>
        </w:rPr>
        <w:t>引进商业卫星研制企业，布局卫星平台</w:t>
      </w:r>
      <w:r>
        <w:rPr>
          <w:rFonts w:hint="eastAsia" w:cs="Times New Roman"/>
          <w:bCs w:val="0"/>
          <w:color w:val="auto"/>
          <w:kern w:val="24"/>
          <w:sz w:val="32"/>
          <w:szCs w:val="32"/>
          <w:lang w:eastAsia="zh-CN" w:bidi="ar"/>
        </w:rPr>
        <w:t>及</w:t>
      </w:r>
      <w:r>
        <w:rPr>
          <w:rFonts w:hint="eastAsia" w:ascii="Times New Roman" w:hAnsi="Times New Roman" w:eastAsia="仿宋_GB2312" w:cs="Times New Roman"/>
          <w:bCs w:val="0"/>
          <w:color w:val="auto"/>
          <w:kern w:val="24"/>
          <w:sz w:val="32"/>
          <w:szCs w:val="32"/>
          <w:lang w:bidi="ar"/>
        </w:rPr>
        <w:t>载荷</w:t>
      </w:r>
      <w:r>
        <w:rPr>
          <w:rFonts w:hint="eastAsia" w:cs="Times New Roman"/>
          <w:bCs w:val="0"/>
          <w:color w:val="auto"/>
          <w:kern w:val="24"/>
          <w:sz w:val="32"/>
          <w:szCs w:val="32"/>
          <w:lang w:val="en-US" w:eastAsia="zh-CN" w:bidi="ar"/>
        </w:rPr>
        <w:t>研发制造</w:t>
      </w:r>
      <w:r>
        <w:rPr>
          <w:rFonts w:hint="eastAsia" w:cs="Times New Roman"/>
          <w:bCs w:val="0"/>
          <w:color w:val="auto"/>
          <w:kern w:val="24"/>
          <w:sz w:val="32"/>
          <w:szCs w:val="32"/>
          <w:lang w:eastAsia="zh-CN" w:bidi="ar"/>
        </w:rPr>
        <w:t>，</w:t>
      </w:r>
      <w:r>
        <w:rPr>
          <w:rFonts w:hint="eastAsia" w:cs="Times New Roman"/>
          <w:b w:val="0"/>
          <w:bCs w:val="0"/>
          <w:color w:val="auto"/>
          <w:kern w:val="24"/>
          <w:lang w:val="en-US" w:eastAsia="zh-CN" w:bidi="ar"/>
        </w:rPr>
        <w:t>发展航天结构件与功能件、卫星基带芯片、星载电子等核心零部件，建立从核心零部件到整星制造的产业链条。</w:t>
      </w:r>
      <w:r>
        <w:rPr>
          <w:rFonts w:hint="eastAsia" w:cs="Times New Roman"/>
          <w:b/>
          <w:bCs/>
          <w:color w:val="auto"/>
          <w:kern w:val="24"/>
          <w:lang w:val="en-US" w:eastAsia="zh-CN" w:bidi="ar"/>
        </w:rPr>
        <w:t>做大做强地面通信终端。</w:t>
      </w:r>
      <w:r>
        <w:rPr>
          <w:rFonts w:hint="eastAsia" w:cs="Times New Roman"/>
          <w:b w:val="0"/>
          <w:bCs w:val="0"/>
          <w:color w:val="auto"/>
          <w:kern w:val="24"/>
          <w:lang w:val="en-US" w:eastAsia="zh-CN" w:bidi="ar"/>
        </w:rPr>
        <w:t>依托智能终端产业基础，研发低轨卫星的新一代卫星通信终端、北斗高精度导航与定位增强设备等，面向消费、工业、交通应用场景，打造高性能地面终端产品体系。</w:t>
      </w:r>
      <w:r>
        <w:rPr>
          <w:rFonts w:hint="eastAsia" w:cs="Times New Roman"/>
          <w:b/>
          <w:bCs/>
          <w:color w:val="auto"/>
          <w:kern w:val="24"/>
          <w:lang w:val="en-US" w:eastAsia="zh-CN" w:bidi="ar"/>
        </w:rPr>
        <w:t>培育重点企业梯队。</w:t>
      </w:r>
      <w:r>
        <w:rPr>
          <w:rFonts w:hint="eastAsia" w:cs="Times New Roman"/>
          <w:b w:val="0"/>
          <w:bCs w:val="0"/>
          <w:color w:val="auto"/>
          <w:kern w:val="24"/>
          <w:lang w:val="en-US" w:eastAsia="zh-CN" w:bidi="ar"/>
        </w:rPr>
        <w:t>引进和培育一批掌握核心技术、具有高成长潜力的商业航天骨干企业，引导和支持本地电子信息制造企业开拓</w:t>
      </w:r>
      <w:r>
        <w:rPr>
          <w:rFonts w:hint="eastAsia" w:cs="Times New Roman"/>
          <w:color w:val="auto"/>
          <w:kern w:val="24"/>
          <w:lang w:bidi="ar"/>
        </w:rPr>
        <w:t>“工业件上星”</w:t>
      </w:r>
      <w:r>
        <w:rPr>
          <w:rFonts w:hint="eastAsia" w:cs="Times New Roman"/>
          <w:color w:val="auto"/>
          <w:kern w:val="24"/>
          <w:lang w:val="en-US" w:eastAsia="zh-CN" w:bidi="ar"/>
        </w:rPr>
        <w:t>新</w:t>
      </w:r>
      <w:r>
        <w:rPr>
          <w:rFonts w:hint="eastAsia" w:cs="Times New Roman"/>
          <w:b w:val="0"/>
          <w:bCs w:val="0"/>
          <w:color w:val="auto"/>
          <w:kern w:val="24"/>
          <w:lang w:val="en-US" w:eastAsia="zh-CN" w:bidi="ar"/>
        </w:rPr>
        <w:t>业务。</w:t>
      </w:r>
      <w:r>
        <w:rPr>
          <w:rFonts w:hint="eastAsia" w:cs="Times New Roman"/>
          <w:b/>
          <w:bCs/>
          <w:color w:val="auto"/>
          <w:kern w:val="24"/>
          <w:lang w:val="en-US" w:eastAsia="zh-CN" w:bidi="ar"/>
        </w:rPr>
        <w:t>拓展商业航天融合应用新业态。</w:t>
      </w:r>
      <w:r>
        <w:rPr>
          <w:rFonts w:hint="eastAsia" w:cs="Times New Roman"/>
          <w:b w:val="0"/>
          <w:bCs w:val="0"/>
          <w:color w:val="auto"/>
          <w:kern w:val="24"/>
          <w:lang w:val="en-US" w:eastAsia="zh-CN" w:bidi="ar"/>
        </w:rPr>
        <w:t>围绕导航定位增强、遥感数据应用、卫星通信服务等方向，培育航天技术融合应用新业态，鼓励面向智慧城市、气象监测、自然资源监测、应急救援等领域开发场景化解决方案。</w:t>
      </w:r>
    </w:p>
    <w:p>
      <w:pPr>
        <w:pStyle w:val="3"/>
        <w:widowControl/>
        <w:rPr>
          <w:rFonts w:hint="eastAsia" w:ascii="楷体_GB2312" w:hAnsi="楷体_GB2312" w:eastAsia="楷体_GB2312" w:cs="楷体_GB2312"/>
          <w:color w:val="auto"/>
          <w:lang w:val="en-US" w:eastAsia="zh-CN"/>
        </w:rPr>
      </w:pPr>
      <w:bookmarkStart w:id="249" w:name="_Toc18525"/>
      <w:bookmarkStart w:id="250" w:name="_Toc2179"/>
      <w:bookmarkStart w:id="251" w:name="_Toc10788"/>
      <w:bookmarkStart w:id="252" w:name="_Toc17953"/>
      <w:bookmarkStart w:id="253" w:name="_Toc32311"/>
      <w:bookmarkStart w:id="254" w:name="_Toc16964"/>
      <w:bookmarkStart w:id="255" w:name="_Toc13716"/>
      <w:bookmarkStart w:id="256" w:name="_Toc23844"/>
      <w:r>
        <w:rPr>
          <w:rFonts w:hint="eastAsia"/>
          <w:color w:val="auto"/>
        </w:rPr>
        <w:t>（三）</w:t>
      </w:r>
      <w:r>
        <w:rPr>
          <w:rFonts w:hint="eastAsia" w:ascii="楷体_GB2312" w:hAnsi="楷体_GB2312" w:eastAsia="楷体_GB2312" w:cs="楷体_GB2312"/>
          <w:color w:val="auto"/>
          <w:lang w:val="en-US" w:eastAsia="zh-CN"/>
        </w:rPr>
        <w:t>前瞻布局</w:t>
      </w:r>
      <w:r>
        <w:rPr>
          <w:rFonts w:hint="eastAsia"/>
          <w:color w:val="auto"/>
        </w:rPr>
        <w:t>未来产业</w:t>
      </w:r>
      <w:r>
        <w:rPr>
          <w:rFonts w:hint="eastAsia" w:ascii="楷体_GB2312" w:hAnsi="楷体_GB2312" w:eastAsia="楷体_GB2312" w:cs="楷体_GB2312"/>
          <w:color w:val="auto"/>
          <w:lang w:val="en-US" w:eastAsia="zh-CN"/>
        </w:rPr>
        <w:t>新赛道</w:t>
      </w:r>
      <w:bookmarkEnd w:id="249"/>
      <w:bookmarkEnd w:id="250"/>
      <w:bookmarkEnd w:id="251"/>
      <w:bookmarkEnd w:id="252"/>
      <w:bookmarkEnd w:id="253"/>
      <w:bookmarkEnd w:id="254"/>
      <w:bookmarkEnd w:id="255"/>
      <w:bookmarkEnd w:id="256"/>
    </w:p>
    <w:p>
      <w:pPr>
        <w:widowControl/>
        <w:numPr>
          <w:ilvl w:val="0"/>
          <w:numId w:val="0"/>
        </w:numPr>
        <w:ind w:firstLine="643" w:firstLineChars="0"/>
        <w:outlineLvl w:val="9"/>
        <w:rPr>
          <w:rFonts w:hint="eastAsia" w:ascii="仿宋_GB2312" w:hAnsi="Times New Roman" w:cs="仿宋_GB2312"/>
          <w:b w:val="0"/>
          <w:bCs w:val="0"/>
          <w:color w:val="auto"/>
          <w:sz w:val="32"/>
          <w:szCs w:val="32"/>
          <w:lang w:eastAsia="zh-CN"/>
        </w:rPr>
      </w:pPr>
      <w:r>
        <w:rPr>
          <w:rFonts w:hint="eastAsia" w:ascii="仿宋_GB2312" w:hAnsi="仿宋_GB2312" w:eastAsia="仿宋_GB2312" w:cs="仿宋_GB2312"/>
          <w:b w:val="0"/>
          <w:bCs w:val="0"/>
          <w:color w:val="auto"/>
          <w:sz w:val="32"/>
          <w:szCs w:val="32"/>
        </w:rPr>
        <w:t>聚焦四大重点赛道，以“技术攻关、场景驱动”为主线，形成具有龙华辨识度的未来产业集群。</w:t>
      </w:r>
      <w:r>
        <w:rPr>
          <w:rFonts w:hint="eastAsia" w:ascii="仿宋_GB2312" w:hAnsi="仿宋_GB2312" w:eastAsia="仿宋_GB2312" w:cs="仿宋_GB2312"/>
          <w:b/>
          <w:bCs/>
          <w:color w:val="auto"/>
          <w:sz w:val="32"/>
          <w:szCs w:val="32"/>
        </w:rPr>
        <w:t>第六代移动通信。</w:t>
      </w:r>
      <w:r>
        <w:rPr>
          <w:rFonts w:hint="eastAsia" w:ascii="仿宋_GB2312" w:hAnsi="仿宋_GB2312" w:eastAsia="仿宋_GB2312" w:cs="仿宋_GB2312"/>
          <w:b w:val="0"/>
          <w:bCs w:val="0"/>
          <w:color w:val="auto"/>
          <w:sz w:val="32"/>
          <w:szCs w:val="32"/>
          <w:lang w:val="en-US"/>
        </w:rPr>
        <w:t>聚焦</w:t>
      </w:r>
      <w:r>
        <w:rPr>
          <w:rFonts w:hint="eastAsia" w:ascii="仿宋_GB2312" w:hAnsi="仿宋_GB2312" w:eastAsia="仿宋_GB2312" w:cs="仿宋_GB2312"/>
          <w:b w:val="0"/>
          <w:bCs w:val="0"/>
          <w:color w:val="auto"/>
          <w:sz w:val="32"/>
          <w:szCs w:val="32"/>
          <w:lang w:val="en-US" w:eastAsia="zh-CN"/>
        </w:rPr>
        <w:t>坚持</w:t>
      </w:r>
      <w:r>
        <w:rPr>
          <w:rFonts w:hint="eastAsia" w:ascii="仿宋_GB2312" w:hAnsi="仿宋_GB2312" w:eastAsia="仿宋_GB2312" w:cs="仿宋_GB2312"/>
          <w:b w:val="0"/>
          <w:bCs w:val="0"/>
          <w:color w:val="auto"/>
          <w:sz w:val="32"/>
          <w:szCs w:val="32"/>
        </w:rPr>
        <w:t>“AI原生、通感一体、星地融合、绿色低碳”</w:t>
      </w:r>
      <w:r>
        <w:rPr>
          <w:rFonts w:hint="eastAsia" w:ascii="仿宋_GB2312" w:hAnsi="仿宋_GB2312" w:eastAsia="仿宋_GB2312" w:cs="仿宋_GB2312"/>
          <w:b w:val="0"/>
          <w:bCs w:val="0"/>
          <w:color w:val="auto"/>
          <w:sz w:val="32"/>
          <w:szCs w:val="32"/>
          <w:lang w:val="en-US" w:eastAsia="zh-CN"/>
        </w:rPr>
        <w:t>技术路线</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val="en-US"/>
        </w:rPr>
        <w:t>围绕</w:t>
      </w:r>
      <w:r>
        <w:rPr>
          <w:rFonts w:hint="eastAsia" w:ascii="仿宋_GB2312" w:hAnsi="仿宋_GB2312" w:eastAsia="仿宋_GB2312" w:cs="仿宋_GB2312"/>
          <w:b w:val="0"/>
          <w:bCs w:val="0"/>
          <w:color w:val="auto"/>
          <w:sz w:val="32"/>
          <w:szCs w:val="32"/>
        </w:rPr>
        <w:t>AI原生网络、通感一体（ISAC）、星地融合组网、频谱与天线演进</w:t>
      </w:r>
      <w:r>
        <w:rPr>
          <w:rFonts w:hint="eastAsia" w:ascii="仿宋_GB2312" w:hAnsi="仿宋_GB2312" w:eastAsia="仿宋_GB2312" w:cs="仿宋_GB2312"/>
          <w:b w:val="0"/>
          <w:bCs w:val="0"/>
          <w:color w:val="auto"/>
          <w:sz w:val="32"/>
          <w:szCs w:val="32"/>
          <w:lang w:val="en-US" w:eastAsia="zh-CN"/>
        </w:rPr>
        <w:t>等方向</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开展网络架构与核心技术突破</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围绕芯片与终端、智能超表面（RIS）与边缘计算、量子安全升级</w:t>
      </w:r>
      <w:r>
        <w:rPr>
          <w:rFonts w:hint="eastAsia" w:ascii="仿宋_GB2312" w:hAnsi="仿宋_GB2312" w:eastAsia="仿宋_GB2312" w:cs="仿宋_GB2312"/>
          <w:b w:val="0"/>
          <w:bCs w:val="0"/>
          <w:color w:val="auto"/>
          <w:sz w:val="32"/>
          <w:szCs w:val="32"/>
          <w:lang w:val="en-US" w:eastAsia="zh-CN"/>
        </w:rPr>
        <w:t>等方向，推动</w:t>
      </w:r>
      <w:r>
        <w:rPr>
          <w:rFonts w:hint="eastAsia" w:ascii="仿宋_GB2312" w:hAnsi="仿宋_GB2312" w:eastAsia="仿宋_GB2312" w:cs="仿宋_GB2312"/>
          <w:b w:val="0"/>
          <w:bCs w:val="0"/>
          <w:color w:val="auto"/>
          <w:sz w:val="32"/>
          <w:szCs w:val="32"/>
        </w:rPr>
        <w:t>关键器件与系统工程化，前沿拓展深空与海洋通信、国防与公共安全。</w:t>
      </w:r>
      <w:r>
        <w:rPr>
          <w:rFonts w:hint="eastAsia" w:ascii="仿宋_GB2312" w:hAnsi="仿宋_GB2312" w:eastAsia="仿宋_GB2312" w:cs="仿宋_GB2312"/>
          <w:b/>
          <w:bCs/>
          <w:color w:val="auto"/>
          <w:sz w:val="32"/>
          <w:szCs w:val="32"/>
        </w:rPr>
        <w:t>未来能源。</w:t>
      </w:r>
      <w:r>
        <w:rPr>
          <w:rFonts w:hint="eastAsia" w:ascii="仿宋_GB2312" w:hAnsi="仿宋_GB2312" w:eastAsia="仿宋_GB2312" w:cs="仿宋_GB2312"/>
          <w:b w:val="0"/>
          <w:bCs w:val="0"/>
          <w:color w:val="auto"/>
          <w:sz w:val="32"/>
          <w:szCs w:val="32"/>
        </w:rPr>
        <w:t>氢能领域面向绿色燃气轮机、大功率氢燃料电池电堆系统、高性能加氢设施链主企业构建氢能生态链。加快突破可再生能源制氢降本技术，攻关大功率氢燃料电池电堆系统及气体扩散层、质子交换膜、双极板、催化剂等关键环节研发和产业化。推动可控核聚变关键技术、材料研发及产业化应用。</w:t>
      </w:r>
      <w:r>
        <w:rPr>
          <w:rFonts w:hint="eastAsia" w:ascii="仿宋_GB2312" w:hAnsi="仿宋_GB2312" w:eastAsia="仿宋_GB2312" w:cs="仿宋_GB2312"/>
          <w:b/>
          <w:bCs/>
          <w:color w:val="auto"/>
          <w:sz w:val="32"/>
          <w:szCs w:val="32"/>
        </w:rPr>
        <w:t>脑科学与脑机工程。</w:t>
      </w:r>
      <w:r>
        <w:rPr>
          <w:rFonts w:hint="eastAsia" w:ascii="仿宋_GB2312" w:hAnsi="仿宋_GB2312" w:eastAsia="仿宋_GB2312" w:cs="仿宋_GB2312"/>
          <w:b w:val="0"/>
          <w:bCs w:val="0"/>
          <w:color w:val="auto"/>
          <w:sz w:val="32"/>
          <w:szCs w:val="32"/>
        </w:rPr>
        <w:t>以技术深化、产品量产、医疗落地、生态构建、安全合规为核心方向，</w:t>
      </w:r>
      <w:r>
        <w:rPr>
          <w:rFonts w:hint="eastAsia" w:ascii="仿宋_GB2312" w:hAnsi="仿宋_GB2312" w:eastAsia="仿宋_GB2312" w:cs="仿宋_GB2312"/>
          <w:b w:val="0"/>
          <w:bCs w:val="0"/>
          <w:color w:val="auto"/>
          <w:sz w:val="32"/>
          <w:szCs w:val="32"/>
          <w:lang w:val="en-US" w:eastAsia="zh-CN"/>
        </w:rPr>
        <w:t>并行探索</w:t>
      </w:r>
      <w:r>
        <w:rPr>
          <w:rFonts w:hint="eastAsia" w:ascii="仿宋_GB2312" w:hAnsi="仿宋_GB2312" w:eastAsia="仿宋_GB2312" w:cs="仿宋_GB2312"/>
          <w:b w:val="0"/>
          <w:bCs w:val="0"/>
          <w:color w:val="auto"/>
          <w:sz w:val="32"/>
          <w:szCs w:val="32"/>
        </w:rPr>
        <w:t>非植入式规模化与植入式精准化。重点突破高密度神经电极、柔性</w:t>
      </w:r>
      <w:r>
        <w:rPr>
          <w:rFonts w:hint="eastAsia" w:ascii="仿宋_GB2312" w:hAnsi="仿宋_GB2312" w:eastAsia="仿宋_GB2312" w:cs="仿宋_GB2312"/>
          <w:b w:val="0"/>
          <w:bCs w:val="0"/>
          <w:color w:val="auto"/>
          <w:sz w:val="32"/>
          <w:szCs w:val="32"/>
          <w:lang w:val="en-US" w:eastAsia="zh-CN"/>
        </w:rPr>
        <w:t>与</w:t>
      </w:r>
      <w:r>
        <w:rPr>
          <w:rFonts w:hint="eastAsia" w:ascii="仿宋_GB2312" w:hAnsi="仿宋_GB2312" w:eastAsia="仿宋_GB2312" w:cs="仿宋_GB2312"/>
          <w:b w:val="0"/>
          <w:bCs w:val="0"/>
          <w:color w:val="auto"/>
          <w:sz w:val="32"/>
          <w:szCs w:val="32"/>
        </w:rPr>
        <w:t>生物相容性材料、双向闭环调控等植入式设备</w:t>
      </w:r>
      <w:r>
        <w:rPr>
          <w:rFonts w:hint="eastAsia" w:ascii="仿宋_GB2312" w:hAnsi="仿宋_GB2312" w:eastAsia="仿宋_GB2312" w:cs="仿宋_GB2312"/>
          <w:b w:val="0"/>
          <w:bCs w:val="0"/>
          <w:color w:val="auto"/>
          <w:sz w:val="32"/>
          <w:szCs w:val="32"/>
          <w:lang w:val="en-US" w:eastAsia="zh-CN"/>
        </w:rPr>
        <w:t>关键技术</w:t>
      </w:r>
      <w:r>
        <w:rPr>
          <w:rFonts w:hint="eastAsia" w:ascii="仿宋_GB2312" w:hAnsi="仿宋_GB2312" w:eastAsia="仿宋_GB2312" w:cs="仿宋_GB2312"/>
          <w:b w:val="0"/>
          <w:bCs w:val="0"/>
          <w:color w:val="auto"/>
          <w:sz w:val="32"/>
          <w:szCs w:val="32"/>
        </w:rPr>
        <w:t>，探索医疗康复、消费场景、工业与特种领域的核心应用场景落地。</w:t>
      </w:r>
      <w:r>
        <w:rPr>
          <w:rFonts w:hint="eastAsia" w:ascii="仿宋_GB2312" w:hAnsi="仿宋_GB2312" w:eastAsia="仿宋_GB2312" w:cs="仿宋_GB2312"/>
          <w:b/>
          <w:bCs/>
          <w:color w:val="auto"/>
          <w:sz w:val="32"/>
          <w:szCs w:val="32"/>
        </w:rPr>
        <w:t>量子科技。</w:t>
      </w:r>
      <w:r>
        <w:rPr>
          <w:rFonts w:hint="eastAsia" w:ascii="仿宋_GB2312" w:hAnsi="仿宋_GB2312" w:eastAsia="仿宋_GB2312" w:cs="仿宋_GB2312"/>
          <w:b w:val="0"/>
          <w:bCs w:val="0"/>
          <w:color w:val="auto"/>
          <w:sz w:val="32"/>
          <w:szCs w:val="32"/>
        </w:rPr>
        <w:t>以计算实用化、通信规模化、测量产业化、生态自主化、安全合规化为核心，加速工程化与商业化，重点发展天地一体网络与安全升级的量子通信、高精度设备产业化的量子测量，加强量子算法、量子材料研究，推进量子芯片国产化，探索建设量子技术创新平台、中试平台、知识产权等公共服务平台。</w:t>
      </w:r>
    </w:p>
    <w:bookmarkEnd w:id="182"/>
    <w:bookmarkEnd w:id="183"/>
    <w:bookmarkEnd w:id="184"/>
    <w:bookmarkEnd w:id="185"/>
    <w:bookmarkEnd w:id="186"/>
    <w:bookmarkEnd w:id="187"/>
    <w:p>
      <w:pPr>
        <w:outlineLvl w:val="0"/>
        <w:rPr>
          <w:rFonts w:hint="eastAsia" w:ascii="黑体" w:hAnsi="黑体" w:eastAsia="黑体" w:cs="黑体"/>
          <w:b/>
          <w:bCs/>
          <w:color w:val="auto"/>
          <w:kern w:val="24"/>
          <w:highlight w:val="yellow"/>
        </w:rPr>
      </w:pPr>
      <w:bookmarkStart w:id="257" w:name="_Toc4020"/>
      <w:bookmarkStart w:id="258" w:name="_Toc17503"/>
      <w:bookmarkStart w:id="259" w:name="_Toc4146"/>
      <w:bookmarkStart w:id="260" w:name="_Toc21029"/>
      <w:bookmarkStart w:id="261" w:name="_Toc7"/>
      <w:bookmarkStart w:id="262" w:name="_Toc15553"/>
      <w:bookmarkStart w:id="263" w:name="_Toc13508"/>
      <w:bookmarkStart w:id="264" w:name="_Toc31782"/>
      <w:bookmarkStart w:id="265" w:name="_Toc30806"/>
      <w:bookmarkStart w:id="266" w:name="_Toc29460"/>
      <w:r>
        <w:rPr>
          <w:rFonts w:hint="eastAsia" w:ascii="黑体" w:hAnsi="黑体" w:eastAsia="黑体" w:cs="黑体"/>
          <w:color w:val="auto"/>
          <w:kern w:val="24"/>
          <w:lang w:val="en-US" w:eastAsia="zh-CN"/>
        </w:rPr>
        <w:t>七</w:t>
      </w:r>
      <w:r>
        <w:rPr>
          <w:rFonts w:hint="eastAsia" w:ascii="黑体" w:hAnsi="黑体" w:eastAsia="黑体" w:cs="黑体"/>
          <w:color w:val="auto"/>
          <w:kern w:val="24"/>
        </w:rPr>
        <w:t>、重点工程</w:t>
      </w:r>
      <w:bookmarkEnd w:id="188"/>
      <w:bookmarkEnd w:id="189"/>
      <w:bookmarkEnd w:id="257"/>
      <w:bookmarkEnd w:id="258"/>
      <w:bookmarkEnd w:id="259"/>
      <w:bookmarkEnd w:id="260"/>
      <w:bookmarkEnd w:id="261"/>
      <w:bookmarkEnd w:id="262"/>
      <w:bookmarkEnd w:id="263"/>
      <w:bookmarkEnd w:id="264"/>
      <w:bookmarkEnd w:id="265"/>
      <w:bookmarkEnd w:id="266"/>
    </w:p>
    <w:p>
      <w:pPr>
        <w:outlineLvl w:val="1"/>
        <w:rPr>
          <w:rFonts w:hint="eastAsia" w:ascii="楷体_GB2312" w:hAnsi="楷体_GB2312" w:eastAsia="楷体_GB2312" w:cs="楷体_GB2312"/>
          <w:color w:val="auto"/>
          <w:kern w:val="24"/>
        </w:rPr>
      </w:pPr>
      <w:bookmarkStart w:id="267" w:name="_Toc6760"/>
      <w:bookmarkStart w:id="268" w:name="_Toc2847"/>
      <w:bookmarkStart w:id="269" w:name="_Toc32302"/>
      <w:bookmarkStart w:id="270" w:name="_Toc17010"/>
      <w:bookmarkStart w:id="271" w:name="_Toc12659"/>
      <w:bookmarkStart w:id="272" w:name="_Toc13453"/>
      <w:bookmarkStart w:id="273" w:name="_Toc16638"/>
      <w:bookmarkStart w:id="274" w:name="_Toc20202"/>
      <w:bookmarkStart w:id="275" w:name="_Toc17105"/>
      <w:bookmarkStart w:id="276" w:name="_Toc30977"/>
      <w:bookmarkStart w:id="277" w:name="_Toc18155"/>
      <w:bookmarkStart w:id="278" w:name="_Toc15889"/>
      <w:bookmarkStart w:id="279" w:name="_Toc23063"/>
      <w:bookmarkStart w:id="280" w:name="_Toc18579"/>
      <w:bookmarkStart w:id="281" w:name="_Toc1904"/>
      <w:bookmarkStart w:id="282" w:name="_Toc2741"/>
      <w:bookmarkStart w:id="283" w:name="_Toc3214"/>
      <w:bookmarkStart w:id="284" w:name="_Toc26107"/>
      <w:bookmarkStart w:id="285" w:name="_Toc2022"/>
      <w:r>
        <w:rPr>
          <w:rFonts w:hint="eastAsia" w:ascii="楷体_GB2312" w:hAnsi="楷体_GB2312" w:eastAsia="楷体_GB2312" w:cs="楷体_GB2312"/>
          <w:color w:val="auto"/>
          <w:kern w:val="24"/>
        </w:rPr>
        <w:t>（一）实施“科技强基”工程，提高科技创新硬核力</w:t>
      </w:r>
      <w:bookmarkEnd w:id="267"/>
      <w:bookmarkEnd w:id="268"/>
      <w:bookmarkEnd w:id="269"/>
      <w:bookmarkEnd w:id="270"/>
      <w:bookmarkEnd w:id="271"/>
      <w:bookmarkEnd w:id="272"/>
      <w:bookmarkEnd w:id="273"/>
      <w:bookmarkEnd w:id="274"/>
      <w:bookmarkEnd w:id="275"/>
      <w:bookmarkEnd w:id="276"/>
      <w:bookmarkEnd w:id="277"/>
      <w:bookmarkEnd w:id="278"/>
      <w:bookmarkEnd w:id="279"/>
    </w:p>
    <w:p>
      <w:pPr>
        <w:rPr>
          <w:color w:val="auto"/>
        </w:rPr>
      </w:pPr>
      <w:r>
        <w:rPr>
          <w:rFonts w:hint="eastAsia"/>
          <w:color w:val="auto"/>
        </w:rPr>
        <w:t>坚持创新驱动发展，优化科技创新体系，强化科技创新和制造业创新深度融合，推动科技成果加快转化为新质生产力。</w:t>
      </w:r>
    </w:p>
    <w:p>
      <w:pPr>
        <w:rPr>
          <w:rFonts w:hint="eastAsia" w:ascii="仿宋_GB2312" w:hAnsi="仿宋_GB2312" w:eastAsia="仿宋_GB2312" w:cs="仿宋_GB2312"/>
          <w:color w:val="auto"/>
        </w:rPr>
      </w:pPr>
      <w:r>
        <w:rPr>
          <w:rFonts w:hint="eastAsia" w:ascii="仿宋_GB2312" w:hAnsi="仿宋_GB2312" w:eastAsia="仿宋_GB2312" w:cs="仿宋_GB2312"/>
          <w:b/>
          <w:bCs/>
          <w:color w:val="auto"/>
        </w:rPr>
        <w:t>1.深入推进产业基础再造。</w:t>
      </w:r>
      <w:r>
        <w:rPr>
          <w:rFonts w:hint="eastAsia" w:ascii="仿宋_GB2312" w:hAnsi="仿宋_GB2312" w:eastAsia="仿宋_GB2312" w:cs="仿宋_GB2312"/>
          <w:color w:val="auto"/>
        </w:rPr>
        <w:t>立足增强产业链、供应链自主可控能力，聚焦产业薄弱环节、开展关键基础技术和产品的工程化攻关。加强高端装备、高端芯片、核心技术零部件和元器件研发，加大“卡脖子”技术的研发投入，推动一批共性技术、关键技术取得突破，提升产业链关键环节的自主创新能力。应用“揭榜挂帅”机制，支持企业联合高校院所开展产学研协同创新，组建创新联合体，承担国家、省、市重大科技项目，促进产业链和创新链的深度融合。</w:t>
      </w:r>
    </w:p>
    <w:p>
      <w:pPr>
        <w:widowControl/>
        <w:rPr>
          <w:rFonts w:hint="eastAsia" w:ascii="仿宋_GB2312" w:hAnsi="仿宋_GB2312" w:eastAsia="仿宋_GB2312" w:cs="仿宋_GB2312"/>
          <w:color w:val="auto"/>
        </w:rPr>
      </w:pPr>
      <w:r>
        <w:rPr>
          <w:rFonts w:hint="eastAsia" w:ascii="仿宋_GB2312" w:hAnsi="仿宋_GB2312" w:eastAsia="仿宋_GB2312" w:cs="仿宋_GB2312"/>
          <w:b/>
          <w:bCs/>
          <w:color w:val="auto"/>
        </w:rPr>
        <w:t>2.加大产业创新载体建设。</w:t>
      </w:r>
      <w:r>
        <w:rPr>
          <w:rFonts w:hint="eastAsia" w:ascii="仿宋_GB2312" w:hAnsi="仿宋_GB2312" w:eastAsia="仿宋_GB2312" w:cs="仿宋_GB2312"/>
          <w:color w:val="auto"/>
        </w:rPr>
        <w:t>着力构建以企业为主体、市场为导向、产学研深度融合的技术创新平台体系。支持以企业为主体建设技术创新中心、制造业创新中心、产业创新中心、重点实验室等创新载体</w:t>
      </w:r>
      <w:r>
        <w:rPr>
          <w:rFonts w:hint="eastAsia" w:ascii="仿宋_GB2312" w:hAnsi="仿宋_GB2312" w:eastAsia="仿宋_GB2312" w:cs="仿宋_GB2312"/>
          <w:color w:val="auto"/>
          <w:sz w:val="31"/>
          <w:szCs w:val="31"/>
          <w:lang w:bidi="ar"/>
        </w:rPr>
        <w:t>。加快推进电子科技大学（深圳）高研院建设，打造世界级科创小镇。支持深圳计算科学研究院、国家高性能医疗器械创新中心等科研院所向更高能级发展。创建一流高科技园区，高水平建设深圳国家高新区龙华园区、环九龙山产业创新集聚区。围绕重点产业链企业共性需求，搭建公共技术服务平台</w:t>
      </w:r>
      <w:r>
        <w:rPr>
          <w:rFonts w:hint="eastAsia" w:ascii="仿宋_GB2312" w:hAnsi="仿宋_GB2312" w:eastAsia="仿宋_GB2312" w:cs="仿宋_GB2312"/>
          <w:color w:val="auto"/>
        </w:rPr>
        <w:t>。支持产业创新平台以关键共性技术和跨领域交叉技术的研发、转化、应用为重点，强化产业创新支撑力。</w:t>
      </w:r>
    </w:p>
    <w:p>
      <w:pPr>
        <w:widowControl/>
        <w:rPr>
          <w:rFonts w:hint="eastAsia" w:ascii="仿宋_GB2312" w:hAnsi="仿宋_GB2312" w:eastAsia="仿宋_GB2312" w:cs="仿宋_GB2312"/>
          <w:color w:val="auto"/>
        </w:rPr>
      </w:pPr>
      <w:r>
        <w:rPr>
          <w:rFonts w:hint="eastAsia" w:ascii="仿宋_GB2312" w:hAnsi="仿宋_GB2312" w:eastAsia="仿宋_GB2312" w:cs="仿宋_GB2312"/>
          <w:b/>
          <w:bCs/>
          <w:color w:val="auto"/>
          <w:szCs w:val="22"/>
          <w:shd w:val="clear" w:color="auto" w:fill="FFFFFF"/>
        </w:rPr>
        <w:t>3.加快创新成果转化应用</w:t>
      </w:r>
      <w:r>
        <w:rPr>
          <w:rFonts w:hint="eastAsia" w:ascii="仿宋_GB2312" w:hAnsi="仿宋_GB2312" w:eastAsia="仿宋_GB2312" w:cs="仿宋_GB2312"/>
          <w:b/>
          <w:bCs/>
          <w:color w:val="auto"/>
          <w:szCs w:val="22"/>
        </w:rPr>
        <w:t>。</w:t>
      </w:r>
      <w:r>
        <w:rPr>
          <w:rFonts w:hint="eastAsia" w:ascii="仿宋_GB2312" w:hAnsi="仿宋_GB2312" w:eastAsia="仿宋_GB2312" w:cs="仿宋_GB2312"/>
          <w:color w:val="auto"/>
          <w:szCs w:val="22"/>
        </w:rPr>
        <w:t>围绕生物医药、高端医疗器械、智能机器人等领域，</w:t>
      </w:r>
      <w:r>
        <w:rPr>
          <w:rFonts w:hint="eastAsia" w:ascii="仿宋_GB2312" w:hAnsi="仿宋_GB2312" w:eastAsia="仿宋_GB2312" w:cs="仿宋_GB2312"/>
          <w:color w:val="auto"/>
          <w:sz w:val="31"/>
          <w:szCs w:val="31"/>
          <w:lang w:bidi="ar"/>
        </w:rPr>
        <w:t>布局建设一批概念验证中心、中小试基地、检验检测认证中心，探索在高新区打造综合性中试平台，鼓励区级孵化器优先承接概念验证项目入孵。深化“科研院所＋孵化器”创新创业模式，建立健全创新创业导师制度，建设一批科技企业孵化器、众创空间。围绕人工智能、智能机器人、低空经济等领域，开放一批应用场景。</w:t>
      </w:r>
      <w:r>
        <w:rPr>
          <w:rFonts w:hint="eastAsia" w:ascii="仿宋_GB2312" w:hAnsi="仿宋_GB2312" w:eastAsia="仿宋_GB2312" w:cs="仿宋_GB2312"/>
          <w:color w:val="auto"/>
        </w:rPr>
        <w:t>优化创新产品推荐目录及装备首台套、软件首版次、新材料首批次等政策实施，</w:t>
      </w:r>
      <w:r>
        <w:rPr>
          <w:rFonts w:hint="eastAsia" w:ascii="仿宋_GB2312" w:hAnsi="仿宋_GB2312" w:eastAsia="仿宋_GB2312" w:cs="仿宋_GB2312"/>
          <w:color w:val="auto"/>
          <w:lang w:eastAsia="zh-CN"/>
        </w:rPr>
        <w:t>支持创新产品加快推广应用，推动更多本土创新成果在龙华本地实现产业化落地。</w:t>
      </w:r>
    </w:p>
    <w:p>
      <w:pPr>
        <w:outlineLvl w:val="1"/>
        <w:rPr>
          <w:rFonts w:hint="eastAsia" w:ascii="楷体_GB2312" w:hAnsi="楷体_GB2312" w:eastAsia="楷体_GB2312" w:cs="楷体_GB2312"/>
          <w:color w:val="auto"/>
          <w:kern w:val="24"/>
        </w:rPr>
      </w:pPr>
      <w:bookmarkStart w:id="286" w:name="_Toc27904"/>
      <w:bookmarkStart w:id="287" w:name="_Toc4176"/>
      <w:bookmarkStart w:id="288" w:name="_Toc24449"/>
      <w:bookmarkStart w:id="289" w:name="_Toc23750"/>
      <w:bookmarkStart w:id="290" w:name="_Toc1171"/>
      <w:bookmarkStart w:id="291" w:name="_Toc7956"/>
      <w:bookmarkStart w:id="292" w:name="_Toc21802"/>
      <w:bookmarkStart w:id="293" w:name="_Toc23857"/>
      <w:bookmarkStart w:id="294" w:name="_Toc26921"/>
      <w:bookmarkStart w:id="295" w:name="_Toc25706"/>
      <w:r>
        <w:rPr>
          <w:rFonts w:hint="eastAsia" w:ascii="楷体_GB2312" w:hAnsi="楷体_GB2312" w:eastAsia="楷体_GB2312" w:cs="楷体_GB2312"/>
          <w:color w:val="auto"/>
          <w:kern w:val="24"/>
        </w:rPr>
        <w:t>（二）实施“工业赋智”工程，全面支撑智能化发展</w:t>
      </w:r>
      <w:bookmarkEnd w:id="280"/>
      <w:bookmarkEnd w:id="281"/>
      <w:bookmarkEnd w:id="286"/>
      <w:bookmarkEnd w:id="287"/>
      <w:bookmarkEnd w:id="288"/>
      <w:bookmarkEnd w:id="289"/>
      <w:bookmarkEnd w:id="290"/>
      <w:bookmarkEnd w:id="291"/>
      <w:bookmarkEnd w:id="292"/>
      <w:bookmarkEnd w:id="293"/>
      <w:bookmarkEnd w:id="294"/>
      <w:bookmarkEnd w:id="295"/>
    </w:p>
    <w:p>
      <w:pPr>
        <w:rPr>
          <w:color w:val="auto"/>
        </w:rPr>
      </w:pPr>
      <w:r>
        <w:rPr>
          <w:rFonts w:hint="eastAsia"/>
          <w:color w:val="auto"/>
        </w:rPr>
        <w:t>深度落实“人工智能+制造”专项行动部署，从点、线、面分层施策推进工业智能化转型发展。强化国产技术供给，前瞻部署新型基础设施，推动人工智能与制造业全要素、全流程、全链条深度融合，赋能全产业链智能化升级，打造粤港澳大湾区人工智能制造赋能标杆区。</w:t>
      </w:r>
    </w:p>
    <w:p>
      <w:pPr>
        <w:rPr>
          <w:rFonts w:hint="eastAsia" w:ascii="仿宋_GB2312" w:hAnsi="仿宋_GB2312" w:eastAsia="仿宋_GB2312" w:cs="仿宋_GB2312"/>
          <w:b/>
          <w:bCs/>
          <w:color w:val="auto"/>
        </w:rPr>
      </w:pPr>
      <w:r>
        <w:rPr>
          <w:rFonts w:hint="eastAsia" w:ascii="仿宋_GB2312" w:hAnsi="仿宋_GB2312" w:eastAsia="仿宋_GB2312" w:cs="仿宋_GB2312"/>
          <w:b/>
          <w:bCs/>
          <w:color w:val="auto"/>
        </w:rPr>
        <w:t>1.创新工业模型与智能体体系。</w:t>
      </w:r>
      <w:r>
        <w:rPr>
          <w:rFonts w:hint="eastAsia" w:ascii="仿宋_GB2312" w:hAnsi="仿宋_GB2312" w:eastAsia="仿宋_GB2312" w:cs="仿宋_GB2312"/>
          <w:color w:val="auto"/>
        </w:rPr>
        <w:t>推动通用大模型在制造业深度应用，面向电子信息、装备制造、消费品等重点行业，培育垂直领域大模型和场景专用小模型。聚焦智能终端、智能汽车、智能装备、智能机器人等领域，支持端侧模型、开发应用工具链等技术突破，推动模型轻量化部署。支持打造高水平工业智能体，重点培育研发设计、中试验证、生产制造、营销服务、运营管理、节能降耗、供应链管理等场景工业智能体。开展工业智能体任务规划、群体协同等技术攻关，强化工业机理与智能体决策模型融合，推动智能体云化部署和互联互通。依托深圳</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龙华</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数智</w:t>
      </w:r>
      <w:r>
        <w:rPr>
          <w:rFonts w:hint="eastAsia" w:ascii="仿宋_GB2312" w:hAnsi="仿宋_GB2312" w:eastAsia="仿宋_GB2312" w:cs="仿宋_GB2312"/>
          <w:color w:val="auto"/>
        </w:rPr>
        <w:t>赋能公共服务平台和重点工业互联网平台，建设工业模型公共服务平台和智能体创新中心，提供高水平模型及配套工具服务，培育智能体应用商店等新业态，加速智能体规模化、商业化落地。推动人工智能与工业软件深度融合，发挥“鸿蒙×昇腾”生态优势，推动工业模型、智能体与国产工业装备、软件深度适配，打造国产化模型与智能体创新应用标杆。</w:t>
      </w:r>
    </w:p>
    <w:p>
      <w:pPr>
        <w:widowControl/>
        <w:jc w:val="left"/>
        <w:rPr>
          <w:rFonts w:hint="eastAsia" w:ascii="仿宋_GB2312" w:hAnsi="仿宋_GB2312" w:eastAsia="仿宋_GB2312" w:cs="仿宋_GB2312"/>
          <w:color w:val="auto"/>
          <w:sz w:val="31"/>
          <w:szCs w:val="31"/>
          <w:lang w:bidi="ar"/>
        </w:rPr>
      </w:pPr>
      <w:r>
        <w:rPr>
          <w:rFonts w:hint="eastAsia" w:ascii="仿宋_GB2312" w:hAnsi="仿宋_GB2312" w:eastAsia="仿宋_GB2312" w:cs="仿宋_GB2312"/>
          <w:b/>
          <w:bCs/>
          <w:color w:val="auto"/>
        </w:rPr>
        <w:t>2.夯实工业数据资源基础。</w:t>
      </w:r>
      <w:r>
        <w:rPr>
          <w:rFonts w:hint="eastAsia" w:ascii="仿宋_GB2312" w:hAnsi="仿宋_GB2312" w:eastAsia="仿宋_GB2312" w:cs="仿宋_GB2312"/>
          <w:color w:val="auto"/>
        </w:rPr>
        <w:t>加强数据技术供给能力，支持工业数据软件与数据服务企业发展，培育一批数据治理、数据标注、数据合成、数据安全领域的专精特新企业，突破多源异构、多模态数据自动清洗、智能标注、机理融合、质量评估等关键技术，开发数据管理工具，提升数据工程化服务能力。支持工业企业完善数据治理体系，推动建立企业首席数据官制度，推进数据管理能力成熟度新国标贯标，夯实企业数据治理基础。落实国家“模数共振”行动，围绕研发设计、生产制造、供应链管理全流程，梳理适配工业模型、智能体需求的数据资源清单，</w:t>
      </w:r>
      <w:r>
        <w:rPr>
          <w:rFonts w:hint="eastAsia" w:ascii="仿宋_GB2312" w:hAnsi="仿宋_GB2312" w:eastAsia="仿宋_GB2312" w:cs="仿宋_GB2312"/>
          <w:color w:val="auto"/>
          <w:sz w:val="31"/>
          <w:szCs w:val="31"/>
          <w:lang w:bidi="ar"/>
        </w:rPr>
        <w:t>支持制造业企业联合第三方开展合成数据集、工业领域深度思维链数据集、跨学科跨领域知识图谱等数据集建设，打造高质量行业数据集，探索数据集产品化</w:t>
      </w:r>
      <w:r>
        <w:rPr>
          <w:rFonts w:hint="eastAsia" w:ascii="仿宋_GB2312" w:hAnsi="仿宋_GB2312" w:eastAsia="仿宋_GB2312" w:cs="仿宋_GB2312"/>
          <w:color w:val="auto"/>
          <w:sz w:val="31"/>
          <w:szCs w:val="31"/>
          <w:lang w:eastAsia="zh-CN" w:bidi="ar"/>
        </w:rPr>
        <w:t>，</w:t>
      </w:r>
      <w:r>
        <w:rPr>
          <w:rFonts w:hint="eastAsia" w:ascii="仿宋_GB2312" w:hAnsi="仿宋_GB2312" w:eastAsia="仿宋_GB2312" w:cs="仿宋_GB2312"/>
          <w:color w:val="auto"/>
          <w:sz w:val="31"/>
          <w:szCs w:val="31"/>
          <w:lang w:bidi="ar"/>
        </w:rPr>
        <w:t>支持复杂场景工业人工智能应用。</w:t>
      </w:r>
    </w:p>
    <w:p>
      <w:pPr>
        <w:widowControl/>
        <w:ind w:firstLine="620"/>
        <w:jc w:val="left"/>
        <w:rPr>
          <w:rFonts w:hint="eastAsia" w:ascii="仿宋_GB2312" w:hAnsi="仿宋_GB2312" w:eastAsia="仿宋_GB2312" w:cs="仿宋_GB2312"/>
          <w:color w:val="auto"/>
          <w:sz w:val="31"/>
          <w:szCs w:val="31"/>
          <w:lang w:bidi="ar"/>
        </w:rPr>
      </w:pPr>
      <w:r>
        <w:rPr>
          <w:rFonts w:hint="eastAsia" w:ascii="仿宋_GB2312" w:hAnsi="仿宋_GB2312" w:eastAsia="仿宋_GB2312" w:cs="仿宋_GB2312"/>
          <w:b/>
          <w:bCs/>
          <w:color w:val="auto"/>
          <w:sz w:val="31"/>
          <w:szCs w:val="31"/>
          <w:lang w:bidi="ar"/>
        </w:rPr>
        <w:t>3.强化工业算力与新型基础设施供给</w:t>
      </w:r>
      <w:r>
        <w:rPr>
          <w:rFonts w:hint="eastAsia" w:ascii="仿宋_GB2312" w:hAnsi="仿宋_GB2312" w:eastAsia="仿宋_GB2312" w:cs="仿宋_GB2312"/>
          <w:color w:val="auto"/>
          <w:sz w:val="31"/>
          <w:szCs w:val="31"/>
          <w:lang w:bidi="ar"/>
        </w:rPr>
        <w:t>。鼓励企业基于业务特征实现云边端算力协同，部署大模型一体机、边缘计算服务器、工业云算力等算力资源。强化面向制造业的算力供给，支持粤港澳大湾区新型工业智算中心扩容，积极争取智算云试点。高水平建设龙华区经济大数据综合平台（经济大脑），引导数字赋能企业开展工业互联网标识解析及产业化应用，支持在工业互联网、智慧城市、智能家居等领域打造一批示范应用项目，打造工业互联网平台与解决方案输出地和通信模组研发生产基地。</w:t>
      </w:r>
    </w:p>
    <w:p>
      <w:pPr>
        <w:rPr>
          <w:rFonts w:hint="eastAsia" w:ascii="仿宋_GB2312" w:hAnsi="仿宋_GB2312" w:eastAsia="仿宋_GB2312" w:cs="仿宋_GB2312"/>
          <w:color w:val="auto"/>
        </w:rPr>
      </w:pPr>
      <w:r>
        <w:rPr>
          <w:rFonts w:hint="eastAsia" w:ascii="仿宋_GB2312" w:hAnsi="仿宋_GB2312" w:eastAsia="仿宋_GB2312" w:cs="仿宋_GB2312"/>
          <w:b/>
          <w:bCs/>
          <w:color w:val="auto"/>
        </w:rPr>
        <w:t>4.深化工业场景应用与工业数智化转型。</w:t>
      </w:r>
      <w:r>
        <w:rPr>
          <w:rFonts w:hint="eastAsia" w:ascii="仿宋_GB2312" w:hAnsi="仿宋_GB2312" w:eastAsia="仿宋_GB2312" w:cs="仿宋_GB2312"/>
          <w:color w:val="auto"/>
        </w:rPr>
        <w:t>以场景牵引为核心，分类推进制造业全流程智能化技改与应用落地，实现“点上突破、线上联动、面上集聚”。聚焦研发设计、中试验证、生产制造、营销服务、运营管理等核心环节，大力推广智能辅助设计、智能虚拟中试、机器视觉质检、设备智能控制、</w:t>
      </w:r>
      <w:r>
        <w:rPr>
          <w:rFonts w:hint="eastAsia" w:ascii="仿宋_GB2312" w:hAnsi="仿宋_GB2312" w:eastAsia="仿宋_GB2312" w:cs="仿宋_GB2312"/>
          <w:color w:val="auto"/>
          <w:lang w:eastAsia="zh-CN"/>
        </w:rPr>
        <w:t>智慧供应链</w:t>
      </w:r>
      <w:r>
        <w:rPr>
          <w:rFonts w:hint="eastAsia" w:ascii="仿宋_GB2312" w:hAnsi="仿宋_GB2312" w:eastAsia="仿宋_GB2312" w:cs="仿宋_GB2312"/>
          <w:color w:val="auto"/>
        </w:rPr>
        <w:t>等应用，打造一批高价值人工智能典型应用场景，推动制造业生产模式和业态创新。“点”上推动中小企业“上云用数赋智”，支持专精特新“小巨人”企业和产业链关键环节的中小企业，加快推动智能装备和软件更新换代，打造数字化转型“小灯塔”企业。“线”上推进龙头企业“链式”转型，鼓励创建“数字领航”企业，开展大规模个性化定制、运维服务、网络协同制造等新模式应用试点。“面”上推动园区智能化转型，推动行业共享平台建设与应用，打造区域性集群云平台，构建覆盖全产业链的区域数字生态体系。</w:t>
      </w:r>
    </w:p>
    <w:p>
      <w:pPr>
        <w:pStyle w:val="3"/>
        <w:rPr>
          <w:rFonts w:hint="eastAsia"/>
          <w:color w:val="auto"/>
        </w:rPr>
      </w:pPr>
      <w:bookmarkStart w:id="296" w:name="_Toc19306"/>
      <w:bookmarkStart w:id="297" w:name="_Toc29106"/>
      <w:bookmarkStart w:id="298" w:name="_Toc8020"/>
      <w:bookmarkStart w:id="299" w:name="_Toc28939"/>
      <w:bookmarkStart w:id="300" w:name="_Toc26849"/>
      <w:bookmarkStart w:id="301" w:name="_Toc24729"/>
      <w:bookmarkStart w:id="302" w:name="_Toc13251"/>
      <w:bookmarkStart w:id="303" w:name="_Toc28462"/>
      <w:bookmarkStart w:id="304" w:name="_Toc15269"/>
      <w:bookmarkStart w:id="305" w:name="_Toc5874"/>
      <w:bookmarkStart w:id="306" w:name="_Toc4778"/>
      <w:bookmarkStart w:id="307" w:name="_Toc11495"/>
      <w:r>
        <w:rPr>
          <w:rFonts w:hint="eastAsia"/>
          <w:color w:val="auto"/>
        </w:rPr>
        <w:t>（三）实施“绿色焕新”工程，加快绿色低碳转型</w:t>
      </w:r>
      <w:bookmarkEnd w:id="296"/>
      <w:bookmarkEnd w:id="297"/>
      <w:bookmarkEnd w:id="298"/>
      <w:bookmarkEnd w:id="299"/>
      <w:bookmarkEnd w:id="300"/>
      <w:bookmarkEnd w:id="301"/>
      <w:bookmarkEnd w:id="302"/>
      <w:bookmarkEnd w:id="303"/>
      <w:bookmarkEnd w:id="304"/>
      <w:bookmarkEnd w:id="305"/>
      <w:bookmarkEnd w:id="306"/>
      <w:bookmarkEnd w:id="307"/>
    </w:p>
    <w:p>
      <w:pPr>
        <w:pStyle w:val="22"/>
        <w:ind w:firstLine="640"/>
        <w:rPr>
          <w:rFonts w:hint="eastAsia" w:ascii="仿宋_GB2312" w:hAnsi="仿宋_GB2312" w:eastAsia="仿宋_GB2312" w:cs="仿宋_GB2312"/>
          <w:color w:val="auto"/>
        </w:rPr>
      </w:pPr>
      <w:r>
        <w:rPr>
          <w:rFonts w:hint="eastAsia" w:ascii="仿宋_GB2312" w:hAnsi="仿宋_GB2312" w:eastAsia="仿宋_GB2312" w:cs="仿宋_GB2312"/>
          <w:color w:val="auto"/>
        </w:rPr>
        <w:t>实施碳排放总量和强度双控制度，深入实施节能降碳改造，全面推动工业绿色低碳转型，在落实“双碳”目标任务过程中锻造新的产业竞争优势，助力实现</w:t>
      </w:r>
      <w:r>
        <w:rPr>
          <w:rFonts w:hint="eastAsia" w:ascii="仿宋_GB2312" w:hAnsi="仿宋_GB2312" w:eastAsia="仿宋_GB2312" w:cs="仿宋_GB2312"/>
          <w:color w:val="auto"/>
          <w:lang w:eastAsia="zh-CN"/>
        </w:rPr>
        <w:t>2030年前碳达峰目标。</w:t>
      </w:r>
    </w:p>
    <w:p>
      <w:pPr>
        <w:pStyle w:val="22"/>
        <w:ind w:firstLine="640"/>
        <w:rPr>
          <w:rFonts w:hint="eastAsia" w:ascii="仿宋_GB2312" w:hAnsi="仿宋_GB2312" w:eastAsia="仿宋_GB2312" w:cs="仿宋_GB2312"/>
          <w:color w:val="auto"/>
        </w:rPr>
      </w:pPr>
      <w:r>
        <w:rPr>
          <w:rFonts w:hint="eastAsia" w:ascii="仿宋_GB2312" w:hAnsi="仿宋_GB2312" w:eastAsia="仿宋_GB2312" w:cs="仿宋_GB2312"/>
          <w:b/>
          <w:bCs w:val="0"/>
          <w:color w:val="auto"/>
        </w:rPr>
        <w:t>1.强化绿色低碳技术创新</w:t>
      </w:r>
      <w:r>
        <w:rPr>
          <w:rFonts w:hint="eastAsia" w:ascii="仿宋_GB2312" w:hAnsi="仿宋_GB2312" w:eastAsia="仿宋_GB2312" w:cs="仿宋_GB2312"/>
          <w:color w:val="auto"/>
        </w:rPr>
        <w:t>。围绕源头减碳、过程降碳、末端固碳，加强绿色低碳技术攻关、转化应用、主体培育等一体化部署。布局建设绿色低碳领域制造业创新中心、试验验证平台和中试平台，加快推进科技成果工程化和产业化发展。加快新型储能、智能电网、虚拟电厂、碳捕集技术创新与产业化应用。推进过程降碳，积极培育重点用能产品设备、重点行业企业和公共机构能效“领跑者”，支持规上企业重点用能设备节能改造，以标准规范为牵引，靶向整改高耗能环节。探索末端固碳，开展二氧化碳捕集利用与封存试点项目。</w:t>
      </w:r>
    </w:p>
    <w:p>
      <w:pPr>
        <w:pStyle w:val="22"/>
        <w:ind w:firstLine="640"/>
        <w:rPr>
          <w:rFonts w:hint="eastAsia" w:ascii="仿宋_GB2312" w:hAnsi="仿宋_GB2312" w:eastAsia="仿宋_GB2312" w:cs="仿宋_GB2312"/>
          <w:color w:val="auto"/>
        </w:rPr>
      </w:pPr>
      <w:r>
        <w:rPr>
          <w:rFonts w:hint="eastAsia" w:ascii="仿宋_GB2312" w:hAnsi="仿宋_GB2312" w:eastAsia="仿宋_GB2312" w:cs="仿宋_GB2312"/>
          <w:b/>
          <w:bCs w:val="0"/>
          <w:color w:val="auto"/>
        </w:rPr>
        <w:t>2.全面夯实绿色低碳竞争力</w:t>
      </w:r>
      <w:r>
        <w:rPr>
          <w:rFonts w:hint="eastAsia" w:ascii="仿宋_GB2312" w:hAnsi="仿宋_GB2312" w:eastAsia="仿宋_GB2312" w:cs="仿宋_GB2312"/>
          <w:color w:val="auto"/>
        </w:rPr>
        <w:t>。打造工业绿色化发展领军力量，重点培育一批国家级的绿色产品、绿色工厂、绿色供应链管理企业、工业产品绿色设计示范企业和绿色创新示范企业。开展绿色供应链管理，推动生态主导型企业、链主企业发挥自身优势和带动作用。开展全链条综合示范，重点推进数字零碳产业园、零碳工厂等零碳示范项目建设。实施产业园区绿色低碳化改造，推动智能化、绿色化、融合化技术在生产制造、物流仓储等产业园区应用，加速园区绿色低碳生产方式转变。积极参与数字化碳管理、新型固废、再制造、RoHS等国家工业和信息化绿色低碳标准化工作。</w:t>
      </w:r>
    </w:p>
    <w:p>
      <w:pPr>
        <w:pStyle w:val="22"/>
        <w:ind w:firstLine="640"/>
        <w:rPr>
          <w:rFonts w:hint="eastAsia"/>
          <w:color w:val="auto"/>
        </w:rPr>
      </w:pPr>
      <w:r>
        <w:rPr>
          <w:rFonts w:hint="eastAsia" w:ascii="仿宋_GB2312" w:hAnsi="仿宋_GB2312" w:eastAsia="仿宋_GB2312" w:cs="仿宋_GB2312"/>
          <w:b/>
          <w:bCs w:val="0"/>
          <w:color w:val="auto"/>
        </w:rPr>
        <w:t>3.培育发展工业绿色融合新业态</w:t>
      </w:r>
      <w:r>
        <w:rPr>
          <w:rFonts w:hint="eastAsia" w:ascii="仿宋_GB2312" w:hAnsi="仿宋_GB2312" w:eastAsia="仿宋_GB2312" w:cs="仿宋_GB2312"/>
          <w:color w:val="auto"/>
        </w:rPr>
        <w:t>。擦亮新型工业化生态底色，面向重点行业领域在生产制造全流程拓展“新一代信息技术+绿色低碳”典型应用场景，加快信息技术在绿色制造领域的应用，加速生产方式数字化绿色化协同转型。发挥区块链、大数据、云计算等技术优势，建立回收利用环节溯源系统，推广“工业互联网+再生资源回收利用”新模式。发展碳排放核查、碳足迹评价、碳减排咨询、碳资产管理、碳金融服务等低碳服务业，开展碳足迹标识认证示范，探索建立碳标签制度和绿电绿证交易体系。聚焦锂电池、光伏、消费电子、新型显示等重点产品，推动企业建设碳足迹基础数据和产品全生命周期数字化碳管理平台，推动全产业链碳排放数据核算和共享。</w:t>
      </w:r>
    </w:p>
    <w:p>
      <w:pPr>
        <w:pStyle w:val="3"/>
        <w:rPr>
          <w:rFonts w:hint="eastAsia"/>
          <w:color w:val="auto"/>
        </w:rPr>
      </w:pPr>
      <w:bookmarkStart w:id="308" w:name="_Toc11352"/>
      <w:bookmarkStart w:id="309" w:name="_Toc7901"/>
      <w:bookmarkStart w:id="310" w:name="_Toc21381"/>
      <w:bookmarkStart w:id="311" w:name="_Toc19706"/>
      <w:bookmarkStart w:id="312" w:name="_Toc28866"/>
      <w:bookmarkStart w:id="313" w:name="_Toc17345"/>
      <w:bookmarkStart w:id="314" w:name="_Toc10512"/>
      <w:bookmarkStart w:id="315" w:name="_Toc25540"/>
      <w:bookmarkStart w:id="316" w:name="_Toc3261"/>
      <w:bookmarkStart w:id="317" w:name="_Toc15979"/>
      <w:r>
        <w:rPr>
          <w:rFonts w:hint="eastAsia"/>
          <w:color w:val="auto"/>
        </w:rPr>
        <w:t>（四）实施“服务领航”工程，加速两业共融共生</w:t>
      </w:r>
      <w:bookmarkEnd w:id="282"/>
      <w:bookmarkEnd w:id="308"/>
      <w:bookmarkEnd w:id="309"/>
      <w:bookmarkEnd w:id="310"/>
      <w:bookmarkEnd w:id="311"/>
      <w:bookmarkEnd w:id="312"/>
      <w:bookmarkEnd w:id="313"/>
      <w:bookmarkEnd w:id="314"/>
      <w:bookmarkEnd w:id="315"/>
      <w:bookmarkEnd w:id="316"/>
      <w:bookmarkEnd w:id="317"/>
    </w:p>
    <w:p>
      <w:pPr>
        <w:rPr>
          <w:rFonts w:hint="eastAsia" w:ascii="仿宋_GB2312" w:hAnsi="仿宋_GB2312" w:eastAsia="仿宋_GB2312" w:cs="仿宋_GB2312"/>
          <w:color w:val="auto"/>
          <w:szCs w:val="22"/>
        </w:rPr>
      </w:pPr>
      <w:r>
        <w:rPr>
          <w:rFonts w:hint="eastAsia" w:ascii="仿宋_GB2312" w:hAnsi="仿宋_GB2312" w:eastAsia="仿宋_GB2312" w:cs="仿宋_GB2312"/>
          <w:color w:val="auto"/>
          <w:szCs w:val="22"/>
        </w:rPr>
        <w:t>聚焦产业转型升级，重点发展与制造业深度融合的生产性服务业，推动制造业从生产主导向服务主导转型，促进价值链向高端延伸、向服务增值拓展，实现制造业发展</w:t>
      </w:r>
      <w:r>
        <w:rPr>
          <w:rFonts w:hint="eastAsia" w:ascii="仿宋_GB2312" w:hAnsi="仿宋_GB2312" w:eastAsia="仿宋_GB2312" w:cs="仿宋_GB2312"/>
          <w:color w:val="auto"/>
          <w:szCs w:val="22"/>
          <w:lang w:eastAsia="zh-CN"/>
        </w:rPr>
        <w:t>新</w:t>
      </w:r>
      <w:r>
        <w:rPr>
          <w:rFonts w:hint="eastAsia" w:ascii="仿宋_GB2312" w:hAnsi="仿宋_GB2312" w:eastAsia="仿宋_GB2312" w:cs="仿宋_GB2312"/>
          <w:color w:val="auto"/>
          <w:szCs w:val="22"/>
        </w:rPr>
        <w:t>跃升。</w:t>
      </w:r>
    </w:p>
    <w:p>
      <w:pPr>
        <w:rPr>
          <w:rFonts w:hint="eastAsia" w:ascii="仿宋_GB2312" w:hAnsi="仿宋_GB2312" w:eastAsia="仿宋_GB2312" w:cs="仿宋_GB2312"/>
          <w:color w:val="auto"/>
          <w:szCs w:val="22"/>
        </w:rPr>
      </w:pPr>
      <w:r>
        <w:rPr>
          <w:rFonts w:hint="eastAsia" w:ascii="仿宋_GB2312" w:hAnsi="仿宋_GB2312" w:eastAsia="仿宋_GB2312" w:cs="仿宋_GB2312"/>
          <w:b/>
          <w:bCs/>
          <w:color w:val="auto"/>
          <w:szCs w:val="22"/>
        </w:rPr>
        <w:t>1.推动工业设计创新发展。</w:t>
      </w:r>
      <w:r>
        <w:rPr>
          <w:rFonts w:hint="eastAsia" w:ascii="仿宋_GB2312" w:hAnsi="仿宋_GB2312" w:eastAsia="仿宋_GB2312" w:cs="仿宋_GB2312"/>
          <w:color w:val="auto"/>
          <w:szCs w:val="22"/>
        </w:rPr>
        <w:t>强化工业设计驱动，鼓励制造业企业设立独立的工业设计中心，将设计思维贯穿于产品定义、技术研发、生产制造、商业模式的全链条，推动工业设计从“外观设计”向“集成创新”转变。推动“工业设计+”产业融合发展，深化“工业设计+智能终端”，发展以用户体验为中心的交互设计。加强“工业设计+高端装备”发展，发展人机工程学设计、CMF（色彩、材料、工艺）创新，推动价值跃升。前瞻布局“工业设计+未来产业”，鼓励设计主导产业初期的产品定义，</w:t>
      </w:r>
      <w:r>
        <w:rPr>
          <w:rFonts w:hint="eastAsia" w:ascii="仿宋_GB2312" w:hAnsi="仿宋_GB2312" w:eastAsia="仿宋_GB2312" w:cs="仿宋_GB2312"/>
          <w:color w:val="auto"/>
          <w:szCs w:val="22"/>
          <w:shd w:val="clear" w:color="auto" w:fill="FFFFFF"/>
        </w:rPr>
        <w:t>将前沿技术转化为实用型产品形态</w:t>
      </w:r>
      <w:r>
        <w:rPr>
          <w:rFonts w:hint="eastAsia" w:ascii="仿宋_GB2312" w:hAnsi="仿宋_GB2312" w:eastAsia="仿宋_GB2312" w:cs="仿宋_GB2312"/>
          <w:color w:val="auto"/>
          <w:szCs w:val="22"/>
        </w:rPr>
        <w:t>。强化数智设计能力，</w:t>
      </w:r>
      <w:r>
        <w:rPr>
          <w:rFonts w:hint="eastAsia" w:ascii="仿宋_GB2312" w:hAnsi="仿宋_GB2312" w:eastAsia="仿宋_GB2312" w:cs="仿宋_GB2312"/>
          <w:color w:val="auto"/>
          <w:szCs w:val="22"/>
          <w:lang w:val="en-US" w:eastAsia="zh-CN"/>
        </w:rPr>
        <w:t>面向</w:t>
      </w:r>
      <w:r>
        <w:rPr>
          <w:rFonts w:hint="eastAsia" w:ascii="仿宋_GB2312" w:hAnsi="仿宋_GB2312" w:eastAsia="仿宋_GB2312" w:cs="仿宋_GB2312"/>
          <w:color w:val="auto"/>
          <w:szCs w:val="22"/>
        </w:rPr>
        <w:t>智能终端、高端设备、时尚服饰等行业</w:t>
      </w:r>
      <w:r>
        <w:rPr>
          <w:rFonts w:hint="eastAsia" w:ascii="仿宋_GB2312" w:hAnsi="仿宋_GB2312" w:eastAsia="仿宋_GB2312" w:cs="仿宋_GB2312"/>
          <w:color w:val="auto"/>
          <w:szCs w:val="22"/>
          <w:lang w:val="en-US" w:eastAsia="zh-CN"/>
        </w:rPr>
        <w:t>开发</w:t>
      </w:r>
      <w:r>
        <w:rPr>
          <w:rFonts w:hint="eastAsia" w:ascii="仿宋_GB2312" w:hAnsi="仿宋_GB2312" w:eastAsia="仿宋_GB2312" w:cs="仿宋_GB2312"/>
          <w:color w:val="auto"/>
          <w:szCs w:val="22"/>
        </w:rPr>
        <w:t>垂直工业设计AI模型，提供生成式设计、智能配色、结构优化等，形成“即插即用”的模型商店。</w:t>
      </w:r>
    </w:p>
    <w:p>
      <w:pPr>
        <w:rPr>
          <w:rFonts w:hint="eastAsia" w:ascii="仿宋_GB2312" w:hAnsi="仿宋_GB2312" w:eastAsia="仿宋_GB2312" w:cs="仿宋_GB2312"/>
          <w:color w:val="auto"/>
          <w:szCs w:val="22"/>
        </w:rPr>
      </w:pPr>
      <w:r>
        <w:rPr>
          <w:rFonts w:hint="eastAsia" w:ascii="仿宋_GB2312" w:hAnsi="仿宋_GB2312" w:eastAsia="仿宋_GB2312" w:cs="仿宋_GB2312"/>
          <w:b/>
          <w:bCs/>
          <w:color w:val="auto"/>
          <w:szCs w:val="22"/>
        </w:rPr>
        <w:t>2.优化知识产权服务供给。</w:t>
      </w:r>
      <w:r>
        <w:rPr>
          <w:rFonts w:hint="eastAsia" w:ascii="仿宋_GB2312" w:hAnsi="仿宋_GB2312" w:eastAsia="仿宋_GB2312" w:cs="仿宋_GB2312"/>
          <w:color w:val="auto"/>
          <w:szCs w:val="22"/>
        </w:rPr>
        <w:t>构建生态化服务体系，推动现有机构从基础的专利申请、代理向高价值专利导航预警、前瞻性专利布局、合规管理延伸，建立覆盖企业全生命周期的服务体系。加快数智化转型，鼓励知识产权服务机构运用人工智能、大数据、区块链等前沿技术，创新服务模式，优化业务流程，提升数据资源整合、加工及分析能力，提供定制化、集成化、专业化的知识产权解决方案。提升国际化服务水平，支持有条件的知识产权服务机构在海外设立分支机构或代表，或与国际知识产权服务机构开展合作，为区内创新主体“走出去”提供支撑。</w:t>
      </w:r>
    </w:p>
    <w:p>
      <w:pPr>
        <w:rPr>
          <w:rFonts w:hint="eastAsia" w:ascii="仿宋_GB2312" w:hAnsi="仿宋_GB2312" w:eastAsia="仿宋_GB2312" w:cs="仿宋_GB2312"/>
          <w:color w:val="auto"/>
          <w:szCs w:val="22"/>
        </w:rPr>
      </w:pPr>
      <w:r>
        <w:rPr>
          <w:rFonts w:hint="eastAsia" w:ascii="仿宋_GB2312" w:hAnsi="仿宋_GB2312" w:eastAsia="仿宋_GB2312" w:cs="仿宋_GB2312"/>
          <w:b/>
          <w:bCs/>
          <w:color w:val="auto"/>
          <w:szCs w:val="22"/>
        </w:rPr>
        <w:t>3.打造创新高效物流运输示范区。</w:t>
      </w:r>
      <w:r>
        <w:rPr>
          <w:rFonts w:hint="eastAsia" w:ascii="仿宋_GB2312" w:hAnsi="仿宋_GB2312" w:eastAsia="仿宋_GB2312" w:cs="仿宋_GB2312"/>
          <w:color w:val="auto"/>
          <w:szCs w:val="22"/>
        </w:rPr>
        <w:t>加强无人配送物流发展，充分发挥全国首个中心城区“无人城配”试点优势，加密无人机配送起降网络建设，在制造业密集区划定物流专用低空走廊，实现无人机“即报即飞”。重点推动无人微货与功能型无人车在复杂场景下的混合调度技术突破，探索建立无人配送的商业化运营标准。深化智慧物流场景应用，</w:t>
      </w:r>
      <w:r>
        <w:rPr>
          <w:rFonts w:hint="eastAsia" w:ascii="仿宋_GB2312" w:hAnsi="仿宋_GB2312" w:eastAsia="仿宋_GB2312" w:cs="仿宋_GB2312"/>
          <w:color w:val="auto"/>
          <w:szCs w:val="22"/>
          <w:lang w:val="en-US" w:eastAsia="zh-CN"/>
        </w:rPr>
        <w:t>支持</w:t>
      </w:r>
      <w:r>
        <w:rPr>
          <w:rFonts w:hint="eastAsia" w:ascii="仿宋_GB2312" w:hAnsi="仿宋_GB2312" w:eastAsia="仿宋_GB2312" w:cs="仿宋_GB2312"/>
          <w:color w:val="auto"/>
          <w:szCs w:val="22"/>
        </w:rPr>
        <w:t>龙头企业部署“黑灯仓库”，引入AGV（自动导引车）和AMR（自主移动机器人），实现原材料入库、分拣、配送全流程无人化。</w:t>
      </w:r>
      <w:r>
        <w:rPr>
          <w:rFonts w:hint="eastAsia" w:ascii="仿宋_GB2312" w:hAnsi="仿宋_GB2312" w:eastAsia="仿宋_GB2312" w:cs="仿宋_GB2312"/>
          <w:color w:val="auto"/>
          <w:szCs w:val="22"/>
          <w:lang w:val="en-US" w:eastAsia="zh-CN"/>
        </w:rPr>
        <w:t>推进</w:t>
      </w:r>
      <w:r>
        <w:rPr>
          <w:rFonts w:hint="eastAsia" w:ascii="仿宋_GB2312" w:hAnsi="仿宋_GB2312" w:eastAsia="仿宋_GB2312" w:cs="仿宋_GB2312"/>
          <w:color w:val="auto"/>
          <w:szCs w:val="22"/>
        </w:rPr>
        <w:t>龙华区超充之城建设，加快推动物流企业更换新能源货车，推动城市配送清洁化发展，打造绿色货运示范区。</w:t>
      </w:r>
    </w:p>
    <w:p>
      <w:pPr>
        <w:rPr>
          <w:rFonts w:hint="eastAsia" w:ascii="仿宋_GB2312" w:hAnsi="仿宋_GB2312" w:eastAsia="仿宋_GB2312" w:cs="仿宋_GB2312"/>
          <w:color w:val="auto"/>
          <w:szCs w:val="22"/>
        </w:rPr>
      </w:pPr>
      <w:r>
        <w:rPr>
          <w:rFonts w:hint="eastAsia" w:ascii="仿宋_GB2312" w:hAnsi="仿宋_GB2312" w:eastAsia="仿宋_GB2312" w:cs="仿宋_GB2312"/>
          <w:b/>
          <w:bCs/>
          <w:color w:val="auto"/>
          <w:szCs w:val="22"/>
        </w:rPr>
        <w:t>4.强化检验检测认证服务支撑。</w:t>
      </w:r>
      <w:r>
        <w:rPr>
          <w:rFonts w:hint="eastAsia" w:ascii="仿宋_GB2312" w:hAnsi="仿宋_GB2312" w:eastAsia="仿宋_GB2312" w:cs="仿宋_GB2312"/>
          <w:color w:val="auto"/>
          <w:szCs w:val="22"/>
          <w:lang w:val="en-US" w:eastAsia="zh-CN"/>
        </w:rPr>
        <w:t>提升</w:t>
      </w:r>
      <w:r>
        <w:rPr>
          <w:rFonts w:hint="eastAsia" w:ascii="仿宋_GB2312" w:hAnsi="仿宋_GB2312" w:eastAsia="仿宋_GB2312" w:cs="仿宋_GB2312"/>
          <w:color w:val="auto"/>
          <w:szCs w:val="22"/>
        </w:rPr>
        <w:t>专业</w:t>
      </w:r>
      <w:r>
        <w:rPr>
          <w:rFonts w:hint="eastAsia" w:ascii="仿宋_GB2312" w:hAnsi="仿宋_GB2312" w:eastAsia="仿宋_GB2312" w:cs="仿宋_GB2312"/>
          <w:color w:val="auto"/>
          <w:szCs w:val="22"/>
          <w:lang w:val="en-US" w:eastAsia="zh-CN"/>
        </w:rPr>
        <w:t>化</w:t>
      </w:r>
      <w:r>
        <w:rPr>
          <w:rFonts w:hint="eastAsia" w:ascii="仿宋_GB2312" w:hAnsi="仿宋_GB2312" w:eastAsia="仿宋_GB2312" w:cs="仿宋_GB2312"/>
          <w:color w:val="auto"/>
          <w:szCs w:val="22"/>
        </w:rPr>
        <w:t>服务能力</w:t>
      </w:r>
      <w:r>
        <w:rPr>
          <w:rFonts w:hint="eastAsia" w:ascii="仿宋_GB2312" w:hAnsi="仿宋_GB2312" w:eastAsia="仿宋_GB2312" w:cs="仿宋_GB2312"/>
          <w:color w:val="auto"/>
          <w:szCs w:val="22"/>
          <w:lang w:eastAsia="zh-CN"/>
        </w:rPr>
        <w:t>，</w:t>
      </w:r>
      <w:r>
        <w:rPr>
          <w:rFonts w:hint="eastAsia" w:ascii="仿宋_GB2312" w:hAnsi="仿宋_GB2312" w:eastAsia="仿宋_GB2312" w:cs="仿宋_GB2312"/>
          <w:color w:val="auto"/>
          <w:szCs w:val="22"/>
        </w:rPr>
        <w:t>聚焦智能终端、网络与通信等</w:t>
      </w:r>
      <w:r>
        <w:rPr>
          <w:rFonts w:hint="eastAsia" w:ascii="仿宋_GB2312" w:hAnsi="仿宋_GB2312" w:eastAsia="仿宋_GB2312" w:cs="仿宋_GB2312"/>
          <w:color w:val="auto"/>
          <w:szCs w:val="22"/>
          <w:lang w:val="en-US" w:eastAsia="zh-CN"/>
        </w:rPr>
        <w:t>产业需求</w:t>
      </w:r>
      <w:r>
        <w:rPr>
          <w:rFonts w:hint="eastAsia" w:ascii="仿宋_GB2312" w:hAnsi="仿宋_GB2312" w:eastAsia="仿宋_GB2312" w:cs="仿宋_GB2312"/>
          <w:color w:val="auto"/>
          <w:szCs w:val="22"/>
        </w:rPr>
        <w:t>，重点发展软件产品认证、网络安全认证、数据安全认证等新型认证服务，打造国家级数字产品检测认证中心。建设覆盖研发、生产、临床全链条高端医疗器械检测认证服务生态体系</w:t>
      </w:r>
      <w:r>
        <w:rPr>
          <w:rFonts w:hint="eastAsia" w:ascii="仿宋_GB2312" w:hAnsi="仿宋_GB2312" w:eastAsia="仿宋_GB2312" w:cs="仿宋_GB2312"/>
          <w:color w:val="auto"/>
          <w:szCs w:val="22"/>
          <w:lang w:eastAsia="zh-CN"/>
        </w:rPr>
        <w:t>，</w:t>
      </w:r>
      <w:r>
        <w:rPr>
          <w:rFonts w:hint="eastAsia" w:ascii="仿宋_GB2312" w:hAnsi="仿宋_GB2312" w:eastAsia="仿宋_GB2312" w:cs="仿宋_GB2312"/>
          <w:color w:val="auto"/>
          <w:szCs w:val="22"/>
        </w:rPr>
        <w:t>加强有源医疗器械、植入性医疗器械、电磁兼容、软件验证等检测认证布局。加强半导体与集成电路检测服务能力，重点发展晶圆级测试、车规级芯片检测认证，针对第三代半导体，加快材料成分分析、晶体缺陷检测、半导体设备校准等服务能力建设，支撑世界级半导体</w:t>
      </w:r>
      <w:r>
        <w:rPr>
          <w:rFonts w:hint="eastAsia" w:ascii="仿宋_GB2312" w:hAnsi="仿宋_GB2312" w:eastAsia="仿宋_GB2312" w:cs="仿宋_GB2312"/>
          <w:color w:val="auto"/>
          <w:szCs w:val="22"/>
          <w:lang w:val="en-US" w:eastAsia="zh-CN"/>
        </w:rPr>
        <w:t>产业科技</w:t>
      </w:r>
      <w:r>
        <w:rPr>
          <w:rFonts w:hint="eastAsia" w:ascii="仿宋_GB2312" w:hAnsi="仿宋_GB2312" w:eastAsia="仿宋_GB2312" w:cs="仿宋_GB2312"/>
          <w:color w:val="auto"/>
          <w:szCs w:val="22"/>
        </w:rPr>
        <w:t>中心建设。加快发展绿色检测认证，</w:t>
      </w:r>
      <w:r>
        <w:rPr>
          <w:rFonts w:hint="eastAsia" w:ascii="仿宋_GB2312" w:hAnsi="仿宋_GB2312" w:eastAsia="仿宋_GB2312" w:cs="仿宋_GB2312"/>
          <w:color w:val="auto"/>
        </w:rPr>
        <w:t>强化电池、储能等新能源产品的检测认证能力，</w:t>
      </w:r>
      <w:r>
        <w:rPr>
          <w:rFonts w:hint="eastAsia" w:ascii="仿宋_GB2312" w:hAnsi="仿宋_GB2312" w:eastAsia="仿宋_GB2312" w:cs="仿宋_GB2312"/>
          <w:color w:val="auto"/>
          <w:szCs w:val="22"/>
        </w:rPr>
        <w:t>推动</w:t>
      </w:r>
      <w:r>
        <w:rPr>
          <w:rFonts w:hint="eastAsia" w:ascii="仿宋_GB2312" w:hAnsi="仿宋_GB2312" w:eastAsia="仿宋_GB2312" w:cs="仿宋_GB2312"/>
          <w:color w:val="auto"/>
        </w:rPr>
        <w:t>碳排放核查、碳足迹认证、绿色制造体系评价等服务发展。</w:t>
      </w:r>
      <w:r>
        <w:rPr>
          <w:rFonts w:hint="eastAsia" w:ascii="仿宋_GB2312" w:hAnsi="仿宋_GB2312" w:eastAsia="仿宋_GB2312" w:cs="仿宋_GB2312"/>
          <w:color w:val="auto"/>
          <w:szCs w:val="22"/>
        </w:rPr>
        <w:t>创新服务发展模式，深化人工智能、大数据、区块链等技术在检测流程、数据管理、认证追溯中的应用，打造智慧检测认证服务体系。推动服务机构从单一检测向“检测—认证—标准—咨询”综合服务模式转变。</w:t>
      </w:r>
    </w:p>
    <w:p>
      <w:pPr>
        <w:pStyle w:val="3"/>
        <w:rPr>
          <w:rFonts w:hint="eastAsia"/>
          <w:color w:val="auto"/>
        </w:rPr>
      </w:pPr>
      <w:bookmarkStart w:id="318" w:name="_Toc6190"/>
      <w:bookmarkStart w:id="319" w:name="_Toc13098"/>
      <w:bookmarkStart w:id="320" w:name="_Toc4023"/>
      <w:bookmarkStart w:id="321" w:name="_Toc8204"/>
      <w:bookmarkStart w:id="322" w:name="_Toc13883"/>
      <w:bookmarkStart w:id="323" w:name="_Toc27030"/>
      <w:bookmarkStart w:id="324" w:name="_Toc12811"/>
      <w:bookmarkStart w:id="325" w:name="_Toc16511"/>
      <w:bookmarkStart w:id="326" w:name="_Toc26526"/>
      <w:bookmarkStart w:id="327" w:name="_Toc10116"/>
      <w:bookmarkStart w:id="328" w:name="_Toc27062"/>
      <w:r>
        <w:rPr>
          <w:rFonts w:hint="eastAsia"/>
          <w:color w:val="auto"/>
        </w:rPr>
        <w:t>（五）实施“雨林生态”工程，释放要素发展效能</w:t>
      </w:r>
      <w:bookmarkEnd w:id="318"/>
      <w:bookmarkEnd w:id="319"/>
      <w:bookmarkEnd w:id="320"/>
      <w:bookmarkEnd w:id="321"/>
      <w:bookmarkEnd w:id="322"/>
      <w:bookmarkEnd w:id="323"/>
      <w:bookmarkEnd w:id="324"/>
      <w:bookmarkEnd w:id="325"/>
      <w:bookmarkEnd w:id="326"/>
      <w:bookmarkEnd w:id="327"/>
      <w:bookmarkEnd w:id="328"/>
    </w:p>
    <w:p>
      <w:pPr>
        <w:rPr>
          <w:rFonts w:hint="eastAsia" w:ascii="仿宋_GB2312" w:hAnsi="仿宋_GB2312" w:eastAsia="仿宋_GB2312" w:cs="仿宋_GB2312"/>
          <w:color w:val="auto"/>
          <w:kern w:val="24"/>
        </w:rPr>
      </w:pPr>
      <w:r>
        <w:rPr>
          <w:rFonts w:hint="eastAsia" w:ascii="仿宋_GB2312" w:hAnsi="仿宋_GB2312" w:eastAsia="仿宋_GB2312" w:cs="仿宋_GB2312"/>
          <w:color w:val="auto"/>
          <w:kern w:val="24"/>
        </w:rPr>
        <w:t>坚持以产业需求开放场景应用为牵引，以科技金融供给激活发展潜力，以创新人才引育为产业发展提供智力引擎，加快构建支撑工业创新发展的生态体系。</w:t>
      </w:r>
    </w:p>
    <w:p>
      <w:pPr>
        <w:rPr>
          <w:rFonts w:hint="eastAsia" w:ascii="仿宋_GB2312" w:hAnsi="仿宋_GB2312" w:eastAsia="仿宋_GB2312" w:cs="仿宋_GB2312"/>
          <w:color w:val="auto"/>
          <w:kern w:val="24"/>
        </w:rPr>
      </w:pPr>
      <w:r>
        <w:rPr>
          <w:rFonts w:hint="eastAsia" w:ascii="仿宋_GB2312" w:hAnsi="仿宋_GB2312" w:eastAsia="仿宋_GB2312" w:cs="仿宋_GB2312"/>
          <w:b/>
          <w:bCs/>
          <w:color w:val="auto"/>
          <w:kern w:val="24"/>
        </w:rPr>
        <w:t>1.加快场景培育和开放。</w:t>
      </w:r>
      <w:r>
        <w:rPr>
          <w:rFonts w:hint="eastAsia" w:ascii="仿宋_GB2312" w:hAnsi="仿宋_GB2312" w:eastAsia="仿宋_GB2312" w:cs="仿宋_GB2312"/>
          <w:color w:val="auto"/>
          <w:kern w:val="24"/>
        </w:rPr>
        <w:t>聚焦智能制造、绿色制造、服务型制造、工业智能等核心技术应用，创新柔性生产线、智能工厂、绿色工厂、高标准数字园区、零碳园区等应用场景，支持重点制造业企业向自主基础软件、工业软件等产品开放应用场景。创新场景供给机制，推行“揭榜挂帅”“赛马机制”，定期发布“龙华区工业场景机会清单”，强化场景培育和开放与首台（套）装备、首批次材料、首版次软件等各类创新支持政策的协同衔接，吸引全球优秀解决方案揭榜攻关。协同推进准入、场景、要素改革创新，面向智能制造、人工智能、低空经济、绿色低碳等重点应用场景，根据场景布局需要和特点，增强公共数据供给和服务保障，合理保障土地要素供给，探索针对特定场景开展监管压力测试。</w:t>
      </w:r>
    </w:p>
    <w:p>
      <w:pPr>
        <w:rPr>
          <w:rFonts w:hint="eastAsia" w:ascii="仿宋_GB2312" w:hAnsi="仿宋_GB2312" w:eastAsia="仿宋_GB2312" w:cs="仿宋_GB2312"/>
          <w:color w:val="auto"/>
          <w:kern w:val="24"/>
        </w:rPr>
      </w:pPr>
      <w:r>
        <w:rPr>
          <w:rFonts w:hint="eastAsia" w:ascii="仿宋_GB2312" w:hAnsi="仿宋_GB2312" w:eastAsia="仿宋_GB2312" w:cs="仿宋_GB2312"/>
          <w:b/>
          <w:bCs/>
          <w:color w:val="auto"/>
          <w:kern w:val="24"/>
        </w:rPr>
        <w:t>2.强化科技金融支撑。</w:t>
      </w:r>
      <w:r>
        <w:rPr>
          <w:rFonts w:hint="eastAsia" w:ascii="仿宋_GB2312" w:hAnsi="仿宋_GB2312" w:eastAsia="仿宋_GB2312" w:cs="仿宋_GB2312"/>
          <w:color w:val="auto"/>
          <w:kern w:val="24"/>
        </w:rPr>
        <w:t>积极发展风险投资，引导长线资金持续加大供给，壮大“耐心资本”。充分发挥区引导基金带动作用，提高社会资本投资积极性，丰富科技企业融资渠道。加快建设敢贷愿贷能贷会贷长效机制，引导金融机构加大制造业中长期贷款投放力度，加强对创新型、科技型、专精特新中小企业信贷支持，推动金融高效赋能新质生产力。</w:t>
      </w:r>
    </w:p>
    <w:p>
      <w:pPr>
        <w:rPr>
          <w:rFonts w:hint="eastAsia" w:ascii="仿宋_GB2312" w:hAnsi="仿宋_GB2312" w:eastAsia="仿宋_GB2312" w:cs="仿宋_GB2312"/>
          <w:color w:val="auto"/>
          <w:kern w:val="24"/>
        </w:rPr>
      </w:pPr>
      <w:r>
        <w:rPr>
          <w:rFonts w:hint="eastAsia" w:ascii="仿宋_GB2312" w:hAnsi="仿宋_GB2312" w:eastAsia="仿宋_GB2312" w:cs="仿宋_GB2312"/>
          <w:b/>
          <w:bCs/>
          <w:color w:val="auto"/>
          <w:kern w:val="24"/>
        </w:rPr>
        <w:t>3.打造创新人才高地。</w:t>
      </w:r>
      <w:r>
        <w:rPr>
          <w:rFonts w:hint="eastAsia" w:ascii="仿宋_GB2312" w:hAnsi="仿宋_GB2312" w:eastAsia="仿宋_GB2312" w:cs="仿宋_GB2312"/>
          <w:color w:val="auto"/>
          <w:kern w:val="24"/>
        </w:rPr>
        <w:t>优化升级“龙舞华章”人才计划系列政策，</w:t>
      </w:r>
      <w:r>
        <w:rPr>
          <w:rFonts w:hint="eastAsia" w:ascii="仿宋_GB2312" w:hAnsi="仿宋_GB2312" w:eastAsia="仿宋_GB2312" w:cs="仿宋_GB2312"/>
          <w:color w:val="auto"/>
          <w:sz w:val="32"/>
          <w:szCs w:val="32"/>
          <w:lang w:bidi="ar"/>
        </w:rPr>
        <w:t>通过“一事一议”等方式</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kern w:val="24"/>
        </w:rPr>
        <w:t>面向全球</w:t>
      </w:r>
      <w:r>
        <w:rPr>
          <w:rFonts w:hint="eastAsia" w:ascii="仿宋_GB2312" w:hAnsi="仿宋_GB2312" w:eastAsia="仿宋_GB2312" w:cs="仿宋_GB2312"/>
          <w:color w:val="auto"/>
          <w:kern w:val="24"/>
          <w:lang w:val="en-US" w:eastAsia="zh-CN"/>
        </w:rPr>
        <w:t>引进</w:t>
      </w:r>
      <w:r>
        <w:rPr>
          <w:rFonts w:hint="eastAsia" w:ascii="仿宋_GB2312" w:hAnsi="仿宋_GB2312" w:eastAsia="仿宋_GB2312" w:cs="仿宋_GB2312"/>
          <w:color w:val="auto"/>
          <w:kern w:val="24"/>
        </w:rPr>
        <w:t>前沿领域的战略科学家、科技领军人才和创新创业团队</w:t>
      </w:r>
      <w:r>
        <w:rPr>
          <w:rFonts w:hint="eastAsia" w:ascii="仿宋_GB2312" w:hAnsi="仿宋_GB2312" w:eastAsia="仿宋_GB2312" w:cs="仿宋_GB2312"/>
          <w:color w:val="auto"/>
          <w:kern w:val="24"/>
          <w:lang w:eastAsia="zh-CN"/>
        </w:rPr>
        <w:t>，支持重大创新团队“带项目、带技术”来龙发展。</w:t>
      </w:r>
      <w:r>
        <w:rPr>
          <w:rFonts w:hint="eastAsia" w:ascii="仿宋_GB2312" w:hAnsi="仿宋_GB2312" w:eastAsia="仿宋_GB2312" w:cs="仿宋_GB2312"/>
          <w:color w:val="auto"/>
          <w:kern w:val="24"/>
          <w:lang w:val="en-US" w:eastAsia="zh-CN"/>
        </w:rPr>
        <w:t>着力培育青年创新人才，支持青年科技人才牵头承担重大科研项目，拓宽青年人才成长晋升通道。加强产业</w:t>
      </w:r>
      <w:r>
        <w:rPr>
          <w:rFonts w:hint="eastAsia" w:ascii="仿宋_GB2312" w:hAnsi="仿宋_GB2312" w:eastAsia="仿宋_GB2312" w:cs="仿宋_GB2312"/>
          <w:color w:val="auto"/>
          <w:kern w:val="24"/>
        </w:rPr>
        <w:t>人才培养，</w:t>
      </w:r>
      <w:r>
        <w:rPr>
          <w:rFonts w:hint="eastAsia" w:ascii="仿宋_GB2312" w:hAnsi="仿宋_GB2312" w:eastAsia="仿宋_GB2312" w:cs="仿宋_GB2312"/>
          <w:color w:val="auto"/>
          <w:kern w:val="24"/>
          <w:lang w:val="en-US" w:eastAsia="zh-CN"/>
        </w:rPr>
        <w:t>支持区内企业与高校共建产业学院、实训基地，</w:t>
      </w:r>
      <w:r>
        <w:rPr>
          <w:rFonts w:hint="eastAsia" w:ascii="仿宋_GB2312" w:hAnsi="仿宋_GB2312" w:eastAsia="仿宋_GB2312" w:cs="仿宋_GB2312"/>
          <w:color w:val="auto"/>
          <w:kern w:val="24"/>
        </w:rPr>
        <w:t>大力推广新型学徒制、订单班等产业人才培养模式，</w:t>
      </w:r>
      <w:r>
        <w:rPr>
          <w:rFonts w:hint="eastAsia" w:ascii="仿宋_GB2312" w:hAnsi="仿宋_GB2312" w:eastAsia="仿宋_GB2312" w:cs="仿宋_GB2312"/>
          <w:color w:val="auto"/>
          <w:kern w:val="24"/>
          <w:lang w:val="en-US" w:eastAsia="zh-CN"/>
        </w:rPr>
        <w:t>定向培养符合产业发展需求</w:t>
      </w:r>
      <w:r>
        <w:rPr>
          <w:rFonts w:hint="eastAsia" w:ascii="仿宋_GB2312" w:hAnsi="仿宋_GB2312" w:eastAsia="仿宋_GB2312" w:cs="仿宋_GB2312"/>
          <w:color w:val="auto"/>
          <w:kern w:val="24"/>
        </w:rPr>
        <w:t>产业工人队伍。组建“龙商企业家联盟”，聚焦企业创始人，开展战略管理、资本运作、品牌建设等交流培训，培育一批具有全球视野、创新思维和卓越领导力的企业家。</w:t>
      </w:r>
    </w:p>
    <w:p>
      <w:pPr>
        <w:pStyle w:val="3"/>
        <w:rPr>
          <w:rFonts w:hint="eastAsia"/>
          <w:color w:val="auto"/>
        </w:rPr>
      </w:pPr>
      <w:bookmarkStart w:id="329" w:name="_Toc7820"/>
      <w:bookmarkStart w:id="330" w:name="_Toc19936"/>
      <w:bookmarkStart w:id="331" w:name="_Toc5475"/>
      <w:bookmarkStart w:id="332" w:name="_Toc5480"/>
      <w:bookmarkStart w:id="333" w:name="_Toc4107"/>
      <w:bookmarkStart w:id="334" w:name="_Toc24050"/>
      <w:bookmarkStart w:id="335" w:name="_Toc21225"/>
      <w:bookmarkStart w:id="336" w:name="_Toc24239"/>
      <w:bookmarkStart w:id="337" w:name="_Toc10106"/>
      <w:bookmarkStart w:id="338" w:name="_Toc7170"/>
      <w:r>
        <w:rPr>
          <w:rFonts w:hint="eastAsia"/>
          <w:color w:val="auto"/>
        </w:rPr>
        <w:t>（六）实施“一厂一线”工程，打造产业创新标杆</w:t>
      </w:r>
      <w:bookmarkEnd w:id="329"/>
      <w:bookmarkEnd w:id="330"/>
      <w:bookmarkEnd w:id="331"/>
      <w:bookmarkEnd w:id="332"/>
      <w:bookmarkEnd w:id="333"/>
      <w:bookmarkEnd w:id="334"/>
      <w:bookmarkEnd w:id="335"/>
      <w:bookmarkEnd w:id="336"/>
      <w:bookmarkEnd w:id="337"/>
      <w:bookmarkEnd w:id="338"/>
    </w:p>
    <w:p>
      <w:pPr>
        <w:rPr>
          <w:rFonts w:hint="eastAsia" w:ascii="仿宋_GB2312" w:hAnsi="仿宋_GB2312" w:eastAsia="仿宋_GB2312" w:cs="仿宋_GB2312"/>
          <w:color w:val="auto"/>
        </w:rPr>
      </w:pPr>
      <w:r>
        <w:rPr>
          <w:rFonts w:hint="eastAsia" w:ascii="仿宋_GB2312" w:hAnsi="仿宋_GB2312" w:eastAsia="仿宋_GB2312" w:cs="仿宋_GB2312"/>
          <w:color w:val="auto"/>
        </w:rPr>
        <w:t>系统夯实高端制造基础，面向智能制造与前沿技术领域，统筹布局“母工厂”与“中试线”两类关键载体，集中力量突破关键工艺、构建先进制造体系，推动技术研发、制造升级与成果转化高效衔接，打造以卓越制造能力为核心、具有全球引领性与强大辐射力的产业创新标杆。</w:t>
      </w:r>
    </w:p>
    <w:p>
      <w:pPr>
        <w:rPr>
          <w:rFonts w:hint="eastAsia" w:ascii="仿宋_GB2312" w:hAnsi="仿宋_GB2312" w:eastAsia="仿宋_GB2312" w:cs="仿宋_GB2312"/>
          <w:color w:val="auto"/>
        </w:rPr>
      </w:pPr>
      <w:r>
        <w:rPr>
          <w:rFonts w:hint="eastAsia" w:ascii="仿宋_GB2312" w:hAnsi="仿宋_GB2312" w:eastAsia="仿宋_GB2312" w:cs="仿宋_GB2312"/>
          <w:b/>
          <w:bCs/>
          <w:color w:val="auto"/>
        </w:rPr>
        <w:t>1.打造“四智”母工厂</w:t>
      </w:r>
      <w:r>
        <w:rPr>
          <w:rFonts w:hint="eastAsia" w:ascii="仿宋_GB2312" w:hAnsi="仿宋_GB2312" w:eastAsia="仿宋_GB2312" w:cs="仿宋_GB2312"/>
          <w:color w:val="auto"/>
        </w:rPr>
        <w:t>。面向智能终端、智能汽车、智能装备和智能机器人等智能整机产业，打造能够定义全球行业标准、展示最高水平制造能力的母工厂。支持升级打造引领性智造母</w:t>
      </w:r>
      <w:r>
        <w:rPr>
          <w:rFonts w:hint="eastAsia" w:ascii="仿宋_GB2312" w:hAnsi="仿宋_GB2312" w:eastAsia="仿宋_GB2312" w:cs="仿宋_GB2312"/>
          <w:color w:val="auto"/>
          <w:lang w:val="en-US" w:eastAsia="zh-CN"/>
        </w:rPr>
        <w:t>工</w:t>
      </w:r>
      <w:r>
        <w:rPr>
          <w:rFonts w:hint="eastAsia" w:ascii="仿宋_GB2312" w:hAnsi="仿宋_GB2312" w:eastAsia="仿宋_GB2312" w:cs="仿宋_GB2312"/>
          <w:color w:val="auto"/>
        </w:rPr>
        <w:t>厂，深度融合研发、设计、生产、检测等各环节，通过对产业链上下游企业的开放、共享与赋能，输出成熟的智能化解决方案和管理模式，形成强大的技术外溢和产业链辐射效应。探索新建具身智能机器人母</w:t>
      </w:r>
      <w:r>
        <w:rPr>
          <w:rFonts w:hint="eastAsia" w:ascii="仿宋_GB2312" w:hAnsi="仿宋_GB2312" w:eastAsia="仿宋_GB2312" w:cs="仿宋_GB2312"/>
          <w:color w:val="auto"/>
          <w:lang w:val="en-US" w:eastAsia="zh-CN"/>
        </w:rPr>
        <w:t>工</w:t>
      </w:r>
      <w:r>
        <w:rPr>
          <w:rFonts w:hint="eastAsia" w:ascii="仿宋_GB2312" w:hAnsi="仿宋_GB2312" w:eastAsia="仿宋_GB2312" w:cs="仿宋_GB2312"/>
          <w:color w:val="auto"/>
        </w:rPr>
        <w:t>厂，承担起关键技术先行先试与孵化功能，进行尖端制造工艺的持续创新与验证，形成具有技术孵化、工艺创新和产业链辐射功能的先进制造基地。</w:t>
      </w:r>
    </w:p>
    <w:p>
      <w:pPr>
        <w:rPr>
          <w:color w:val="auto"/>
        </w:rPr>
      </w:pPr>
      <w:r>
        <w:rPr>
          <w:rFonts w:hint="eastAsia" w:ascii="仿宋_GB2312" w:hAnsi="仿宋_GB2312" w:eastAsia="仿宋_GB2312" w:cs="仿宋_GB2312"/>
          <w:b/>
          <w:bCs/>
          <w:color w:val="auto"/>
        </w:rPr>
        <w:t>2.打造“四基”中试线</w:t>
      </w:r>
      <w:r>
        <w:rPr>
          <w:rFonts w:hint="eastAsia" w:ascii="仿宋_GB2312" w:hAnsi="仿宋_GB2312" w:eastAsia="仿宋_GB2312" w:cs="仿宋_GB2312"/>
          <w:color w:val="auto"/>
        </w:rPr>
        <w:t>。面向“通感算屏”创新需求，按国家级制造业中试平台建设标准，建设开放共享的中试基地，全面提升研发转化、工艺改进、放大熟化、型式试验、性能测试、小批量产等中试能力。面向下一代通信技术，支持移动通信、光通信、数据通信等领域关键元器件和重点设备中试验证技术攻关，建立覆盖关键通信设备功能、性能以及可靠性评价等中试平台和服务能力。推动建设新型显示材料与器件中试线，重点面向新型显示成果在VR/AR、车载显示等领域的应用，为企业提供光学性能和弯折、振动、高温耐久等可靠性与环境适应性等中试产品测试评价服务。大力推进智能化中试建设改造，加快虚拟仿真、多模态融合等技术在中试环节的应用，优化工艺流程、提高中试效率、降低试验成本。</w:t>
      </w:r>
    </w:p>
    <w:p>
      <w:pPr>
        <w:pStyle w:val="3"/>
        <w:rPr>
          <w:rFonts w:hint="eastAsia"/>
          <w:color w:val="auto"/>
        </w:rPr>
      </w:pPr>
      <w:bookmarkStart w:id="339" w:name="_Toc15772"/>
      <w:bookmarkStart w:id="340" w:name="_Toc3462"/>
      <w:bookmarkStart w:id="341" w:name="_Toc29011"/>
      <w:bookmarkStart w:id="342" w:name="_Toc7604"/>
      <w:bookmarkStart w:id="343" w:name="_Toc19746"/>
      <w:bookmarkStart w:id="344" w:name="_Toc19326"/>
      <w:bookmarkStart w:id="345" w:name="_Toc12022"/>
      <w:bookmarkStart w:id="346" w:name="_Toc25961"/>
      <w:bookmarkStart w:id="347" w:name="_Toc18931"/>
      <w:bookmarkStart w:id="348" w:name="_Toc20576"/>
      <w:bookmarkStart w:id="349" w:name="_Toc18652"/>
      <w:bookmarkStart w:id="350" w:name="_Toc11231"/>
      <w:r>
        <w:rPr>
          <w:rFonts w:hint="eastAsia"/>
          <w:color w:val="auto"/>
        </w:rPr>
        <w:t>（七）实施“工业雁阵”工程，强化梯次企业培育</w:t>
      </w:r>
      <w:bookmarkEnd w:id="339"/>
      <w:bookmarkEnd w:id="340"/>
      <w:bookmarkEnd w:id="341"/>
      <w:bookmarkEnd w:id="342"/>
      <w:bookmarkEnd w:id="343"/>
      <w:bookmarkEnd w:id="344"/>
      <w:bookmarkEnd w:id="345"/>
      <w:bookmarkEnd w:id="346"/>
      <w:bookmarkEnd w:id="347"/>
      <w:bookmarkEnd w:id="348"/>
      <w:bookmarkEnd w:id="349"/>
      <w:bookmarkEnd w:id="350"/>
    </w:p>
    <w:p>
      <w:pPr>
        <w:rPr>
          <w:rFonts w:hint="eastAsia" w:ascii="仿宋_GB2312" w:hAnsi="仿宋_GB2312" w:eastAsia="仿宋_GB2312" w:cs="仿宋_GB2312"/>
          <w:color w:val="auto"/>
        </w:rPr>
      </w:pPr>
      <w:r>
        <w:rPr>
          <w:rFonts w:hint="eastAsia" w:ascii="仿宋_GB2312" w:hAnsi="仿宋_GB2312" w:eastAsia="仿宋_GB2312" w:cs="仿宋_GB2312"/>
          <w:color w:val="auto"/>
        </w:rPr>
        <w:t>实施企业梯队培育计划，引导中小企业成长为国内市场领先的“小巨人”企业，聚焦重点行业和领域引导“小巨人”等各类企业成长为国际市场领先的单项冠军企业，引导大企业集团发展成为具有生态主导力、国际竞争力的领航企业，建设卓越制造企业群体。</w:t>
      </w:r>
    </w:p>
    <w:p>
      <w:pPr>
        <w:rPr>
          <w:rFonts w:hint="eastAsia" w:ascii="仿宋_GB2312" w:hAnsi="仿宋_GB2312" w:eastAsia="仿宋_GB2312" w:cs="仿宋_GB2312"/>
          <w:color w:val="auto"/>
        </w:rPr>
      </w:pPr>
      <w:r>
        <w:rPr>
          <w:rFonts w:hint="eastAsia" w:ascii="仿宋_GB2312" w:hAnsi="仿宋_GB2312" w:eastAsia="仿宋_GB2312" w:cs="仿宋_GB2312"/>
          <w:b/>
          <w:bCs/>
          <w:color w:val="auto"/>
        </w:rPr>
        <w:t>1.</w:t>
      </w:r>
      <w:r>
        <w:rPr>
          <w:rFonts w:hint="eastAsia" w:ascii="仿宋_GB2312" w:hAnsi="仿宋_GB2312" w:eastAsia="仿宋_GB2312" w:cs="仿宋_GB2312"/>
          <w:b/>
          <w:bCs/>
          <w:color w:val="auto"/>
          <w:lang w:val="en-US" w:eastAsia="zh-CN"/>
        </w:rPr>
        <w:t>强化龙头</w:t>
      </w:r>
      <w:r>
        <w:rPr>
          <w:rFonts w:hint="eastAsia" w:ascii="仿宋_GB2312" w:hAnsi="仿宋_GB2312" w:eastAsia="仿宋_GB2312" w:cs="仿宋_GB2312"/>
          <w:b/>
          <w:bCs/>
          <w:color w:val="auto"/>
        </w:rPr>
        <w:t>企业</w:t>
      </w:r>
      <w:r>
        <w:rPr>
          <w:rFonts w:hint="eastAsia" w:ascii="仿宋_GB2312" w:hAnsi="仿宋_GB2312" w:eastAsia="仿宋_GB2312" w:cs="仿宋_GB2312"/>
          <w:b/>
          <w:bCs/>
          <w:color w:val="auto"/>
          <w:lang w:val="en-US" w:eastAsia="zh-CN"/>
        </w:rPr>
        <w:t>生态</w:t>
      </w:r>
      <w:r>
        <w:rPr>
          <w:rFonts w:hint="eastAsia" w:ascii="仿宋_GB2312" w:hAnsi="仿宋_GB2312" w:eastAsia="仿宋_GB2312" w:cs="仿宋_GB2312"/>
          <w:b/>
          <w:bCs/>
          <w:color w:val="auto"/>
        </w:rPr>
        <w:t>带动力</w:t>
      </w:r>
      <w:r>
        <w:rPr>
          <w:rFonts w:hint="eastAsia" w:ascii="仿宋_GB2312" w:hAnsi="仿宋_GB2312" w:eastAsia="仿宋_GB2312" w:cs="仿宋_GB2312"/>
          <w:color w:val="auto"/>
        </w:rPr>
        <w:t>。完善“超级联络人”对接服务机制，支持企业在尖端技术、创新产品、重大平台、智能工厂、应用场景等方面持续发力，加速其技术外溢与赋能效应。支持领军企业建立高水平研发机构，牵头开展关键核心技术攻关，培育集聚一批核心技术能力突出、引领产业发展、具有较强国际竞争力的领军企业。鼓励领军企业整合产业资源和创新要素，推广供应链协同、创新能力共享、数据协同开放和产业生态融通发展等模式，带动上下游中小微企业协同发展。</w:t>
      </w:r>
    </w:p>
    <w:p>
      <w:pPr>
        <w:rPr>
          <w:rFonts w:hint="eastAsia" w:ascii="仿宋_GB2312" w:hAnsi="仿宋_GB2312" w:eastAsia="仿宋_GB2312" w:cs="仿宋_GB2312"/>
          <w:color w:val="auto"/>
        </w:rPr>
      </w:pPr>
      <w:r>
        <w:rPr>
          <w:rFonts w:hint="eastAsia" w:ascii="仿宋_GB2312" w:hAnsi="仿宋_GB2312" w:eastAsia="仿宋_GB2312" w:cs="仿宋_GB2312"/>
          <w:b/>
          <w:bCs/>
          <w:color w:val="auto"/>
        </w:rPr>
        <w:t>2.</w:t>
      </w:r>
      <w:r>
        <w:rPr>
          <w:rFonts w:hint="eastAsia" w:ascii="仿宋_GB2312" w:hAnsi="仿宋_GB2312" w:eastAsia="仿宋_GB2312" w:cs="仿宋_GB2312"/>
          <w:b/>
          <w:bCs/>
          <w:color w:val="auto"/>
          <w:lang w:val="en-US" w:eastAsia="zh-CN"/>
        </w:rPr>
        <w:t>稳步壮大中坚型</w:t>
      </w:r>
      <w:r>
        <w:rPr>
          <w:rFonts w:hint="eastAsia" w:ascii="仿宋_GB2312" w:hAnsi="仿宋_GB2312" w:eastAsia="仿宋_GB2312" w:cs="仿宋_GB2312"/>
          <w:b/>
          <w:bCs/>
          <w:color w:val="auto"/>
        </w:rPr>
        <w:t>企业</w:t>
      </w:r>
      <w:r>
        <w:rPr>
          <w:rFonts w:hint="eastAsia" w:ascii="仿宋_GB2312" w:hAnsi="仿宋_GB2312" w:eastAsia="仿宋_GB2312" w:cs="仿宋_GB2312"/>
          <w:b/>
          <w:bCs/>
          <w:color w:val="auto"/>
          <w:lang w:val="en-US" w:eastAsia="zh-CN"/>
        </w:rPr>
        <w:t>群</w:t>
      </w:r>
      <w:r>
        <w:rPr>
          <w:rFonts w:hint="eastAsia" w:ascii="仿宋_GB2312" w:hAnsi="仿宋_GB2312" w:eastAsia="仿宋_GB2312" w:cs="仿宋_GB2312"/>
          <w:color w:val="auto"/>
        </w:rPr>
        <w:t>。全力保障</w:t>
      </w:r>
      <w:r>
        <w:rPr>
          <w:rFonts w:hint="eastAsia" w:ascii="仿宋_GB2312" w:hAnsi="仿宋_GB2312" w:eastAsia="仿宋_GB2312" w:cs="仿宋_GB2312"/>
          <w:color w:val="auto"/>
          <w:lang w:val="en-US" w:eastAsia="zh-CN"/>
        </w:rPr>
        <w:t>重点企业</w:t>
      </w:r>
      <w:r>
        <w:rPr>
          <w:rFonts w:hint="eastAsia" w:ascii="仿宋_GB2312" w:hAnsi="仿宋_GB2312" w:eastAsia="仿宋_GB2312" w:cs="仿宋_GB2312"/>
          <w:color w:val="auto"/>
        </w:rPr>
        <w:t>扩产投资等重大项目顺利实施，及时响应并解决运营难题，促进</w:t>
      </w:r>
      <w:r>
        <w:rPr>
          <w:rFonts w:hint="eastAsia" w:ascii="仿宋_GB2312" w:hAnsi="仿宋_GB2312" w:eastAsia="仿宋_GB2312" w:cs="仿宋_GB2312"/>
          <w:color w:val="auto"/>
          <w:lang w:val="en-US" w:eastAsia="zh-CN"/>
        </w:rPr>
        <w:t>重点企业</w:t>
      </w:r>
      <w:r>
        <w:rPr>
          <w:rFonts w:hint="eastAsia" w:ascii="仿宋_GB2312" w:hAnsi="仿宋_GB2312" w:eastAsia="仿宋_GB2312" w:cs="仿宋_GB2312"/>
          <w:color w:val="auto"/>
        </w:rPr>
        <w:t>持续扩大规模、提升发展层级。做优链主企业，支持占据产业链价值链关键环节的企业，优化整合生产、供需等上下游环节，提升在产业链中的竞争力和掌控力。做大硬核科技企业，支持创新企业加强</w:t>
      </w:r>
      <w:r>
        <w:rPr>
          <w:rFonts w:hint="eastAsia" w:ascii="仿宋_GB2312" w:hAnsi="仿宋_GB2312" w:eastAsia="仿宋_GB2312" w:cs="仿宋_GB2312"/>
          <w:color w:val="auto"/>
          <w:lang w:val="en-US" w:eastAsia="zh-CN"/>
        </w:rPr>
        <w:t>核心</w:t>
      </w:r>
      <w:r>
        <w:rPr>
          <w:rFonts w:hint="eastAsia" w:ascii="仿宋_GB2312" w:hAnsi="仿宋_GB2312" w:eastAsia="仿宋_GB2312" w:cs="仿宋_GB2312"/>
          <w:color w:val="auto"/>
        </w:rPr>
        <w:t>技术攻关，提升企业品牌和综合竞争力，加快培育一批竞争优势突出、品牌影响力大、发展潜力强的民营企业，促进民营经济健康发展。</w:t>
      </w:r>
    </w:p>
    <w:p>
      <w:pPr>
        <w:rPr>
          <w:color w:val="auto"/>
        </w:rPr>
      </w:pPr>
      <w:r>
        <w:rPr>
          <w:rFonts w:hint="eastAsia" w:ascii="仿宋_GB2312" w:hAnsi="仿宋_GB2312" w:eastAsia="仿宋_GB2312" w:cs="仿宋_GB2312"/>
          <w:b/>
          <w:bCs/>
          <w:color w:val="auto"/>
        </w:rPr>
        <w:t>3.培育</w:t>
      </w:r>
      <w:r>
        <w:rPr>
          <w:rFonts w:hint="eastAsia" w:ascii="仿宋_GB2312" w:hAnsi="仿宋_GB2312" w:eastAsia="仿宋_GB2312" w:cs="仿宋_GB2312"/>
          <w:b/>
          <w:bCs/>
          <w:color w:val="auto"/>
          <w:lang w:val="en-US" w:eastAsia="zh-CN"/>
        </w:rPr>
        <w:t>量大面广创新型</w:t>
      </w:r>
      <w:r>
        <w:rPr>
          <w:rFonts w:hint="eastAsia" w:ascii="仿宋_GB2312" w:hAnsi="仿宋_GB2312" w:eastAsia="仿宋_GB2312" w:cs="仿宋_GB2312"/>
          <w:b/>
          <w:bCs/>
          <w:color w:val="auto"/>
        </w:rPr>
        <w:t>企业。</w:t>
      </w:r>
      <w:r>
        <w:rPr>
          <w:rFonts w:hint="eastAsia" w:ascii="仿宋_GB2312" w:hAnsi="仿宋_GB2312" w:eastAsia="仿宋_GB2312" w:cs="仿宋_GB2312"/>
          <w:color w:val="auto"/>
        </w:rPr>
        <w:t>实施梯度成长计划，覆盖“小升规”“规做精”“精做优”“优上市”全链条。鼓励中小微企业深耕行业领域做精做专、练好内功，在技术或市场方面掌握核心竞争力。支持企业成长为专精特新“小巨人”、单项冠军、独角兽企业，做好高成长企业的跟踪服务、统筹布局以及空间保障。完善创新支持政策，鼓励中小微企业组建多种形式的创新联合体，抱团开展联合创新。</w:t>
      </w:r>
    </w:p>
    <w:bookmarkEnd w:id="190"/>
    <w:bookmarkEnd w:id="191"/>
    <w:bookmarkEnd w:id="192"/>
    <w:bookmarkEnd w:id="283"/>
    <w:bookmarkEnd w:id="284"/>
    <w:bookmarkEnd w:id="285"/>
    <w:p>
      <w:pPr>
        <w:pStyle w:val="3"/>
        <w:rPr>
          <w:rFonts w:hint="eastAsia"/>
          <w:color w:val="auto"/>
        </w:rPr>
      </w:pPr>
      <w:bookmarkStart w:id="351" w:name="_Toc12797"/>
      <w:bookmarkStart w:id="352" w:name="_Toc11386"/>
      <w:bookmarkStart w:id="353" w:name="_Toc27481"/>
      <w:bookmarkStart w:id="354" w:name="_Toc30996"/>
      <w:bookmarkStart w:id="355" w:name="_Toc30649"/>
      <w:bookmarkStart w:id="356" w:name="_Toc17449"/>
      <w:bookmarkStart w:id="357" w:name="_Toc24533"/>
      <w:bookmarkStart w:id="358" w:name="_Toc11570"/>
      <w:bookmarkStart w:id="359" w:name="_Toc23457"/>
      <w:bookmarkStart w:id="360" w:name="_Toc16417"/>
      <w:bookmarkStart w:id="361" w:name="_Toc17798"/>
      <w:bookmarkStart w:id="362" w:name="_Toc26825"/>
      <w:r>
        <w:rPr>
          <w:rFonts w:hint="eastAsia"/>
          <w:color w:val="auto"/>
        </w:rPr>
        <w:t>（八）实施“招商引资”工程，加强重大项目布局</w:t>
      </w:r>
      <w:bookmarkEnd w:id="351"/>
      <w:bookmarkEnd w:id="352"/>
      <w:bookmarkEnd w:id="353"/>
      <w:bookmarkEnd w:id="354"/>
      <w:bookmarkEnd w:id="355"/>
      <w:bookmarkEnd w:id="356"/>
      <w:bookmarkEnd w:id="357"/>
      <w:bookmarkEnd w:id="358"/>
      <w:bookmarkEnd w:id="359"/>
      <w:bookmarkEnd w:id="360"/>
    </w:p>
    <w:p>
      <w:pPr>
        <w:rPr>
          <w:rFonts w:hint="eastAsia" w:ascii="仿宋_GB2312" w:hAnsi="仿宋_GB2312" w:eastAsia="仿宋_GB2312" w:cs="仿宋_GB2312"/>
          <w:color w:val="auto"/>
          <w:szCs w:val="22"/>
        </w:rPr>
      </w:pPr>
      <w:r>
        <w:rPr>
          <w:rFonts w:hint="eastAsia" w:ascii="仿宋_GB2312" w:hAnsi="仿宋_GB2312" w:eastAsia="仿宋_GB2312" w:cs="仿宋_GB2312"/>
          <w:color w:val="auto"/>
          <w:szCs w:val="22"/>
        </w:rPr>
        <w:t>持续完善招商引资服务矩阵，创新招商引资模式，提高招商引资精准度，构建起“政策有温度、服务有精度、体系有力度”的招商引资生态。</w:t>
      </w:r>
    </w:p>
    <w:p>
      <w:pPr>
        <w:rPr>
          <w:rFonts w:hint="eastAsia" w:ascii="仿宋_GB2312" w:hAnsi="仿宋_GB2312" w:eastAsia="仿宋_GB2312" w:cs="仿宋_GB2312"/>
          <w:color w:val="auto"/>
          <w:szCs w:val="22"/>
        </w:rPr>
      </w:pPr>
      <w:r>
        <w:rPr>
          <w:rFonts w:hint="eastAsia" w:ascii="仿宋_GB2312" w:hAnsi="仿宋_GB2312" w:eastAsia="仿宋_GB2312" w:cs="仿宋_GB2312"/>
          <w:b/>
          <w:bCs/>
          <w:color w:val="auto"/>
          <w:szCs w:val="22"/>
        </w:rPr>
        <w:t>1.完善“1+1+6+N”招商引资服务矩阵。</w:t>
      </w:r>
      <w:r>
        <w:rPr>
          <w:rFonts w:hint="eastAsia" w:ascii="仿宋_GB2312" w:hAnsi="仿宋_GB2312" w:eastAsia="仿宋_GB2312" w:cs="仿宋_GB2312"/>
          <w:color w:val="auto"/>
          <w:szCs w:val="22"/>
        </w:rPr>
        <w:t>持续完善1个总站统筹、1个国际站链接全球、6个街道服务点下沉、N个园区窗口延伸的招商引资服务体系，形成覆盖企业全生命周期的服务网络，从政策咨询、落地审批到运营扶持，为企业提供“一站式”精准服务。依托深圳承办APEC会议的契机，组建重点产业链“双招双引”攻坚小组，围绕APEC重点合作领域靶向招商。</w:t>
      </w:r>
      <w:r>
        <w:rPr>
          <w:rFonts w:hint="eastAsia" w:ascii="仿宋_GB2312" w:hAnsi="仿宋_GB2312" w:eastAsia="仿宋_GB2312" w:cs="仿宋_GB2312"/>
          <w:bCs/>
          <w:color w:val="auto"/>
        </w:rPr>
        <w:t>用好亚布力论坛、全球招商大会等优质平台，准确把握企业战略布局点对点招商。</w:t>
      </w:r>
      <w:r>
        <w:rPr>
          <w:rFonts w:hint="eastAsia" w:ascii="仿宋_GB2312" w:hAnsi="仿宋_GB2312" w:eastAsia="仿宋_GB2312" w:cs="仿宋_GB2312"/>
          <w:color w:val="auto"/>
          <w:shd w:val="clear" w:color="auto" w:fill="FFFFFF"/>
        </w:rPr>
        <w:t>塑造“投资龙华第一站”招商品牌，提供项目挖掘、对接、洽谈、落地、投产、发展等一站式服务，确保优质项目“落得下、留得住、发展得好”。</w:t>
      </w:r>
    </w:p>
    <w:p>
      <w:pPr>
        <w:widowControl/>
        <w:rPr>
          <w:rFonts w:hint="eastAsia" w:ascii="仿宋_GB2312" w:hAnsi="仿宋_GB2312" w:eastAsia="仿宋_GB2312" w:cs="仿宋_GB2312"/>
          <w:bCs/>
          <w:color w:val="auto"/>
        </w:rPr>
      </w:pPr>
      <w:r>
        <w:rPr>
          <w:rFonts w:hint="eastAsia" w:ascii="仿宋_GB2312" w:hAnsi="仿宋_GB2312" w:eastAsia="仿宋_GB2312" w:cs="仿宋_GB2312"/>
          <w:b/>
          <w:bCs/>
          <w:color w:val="auto"/>
          <w:szCs w:val="22"/>
        </w:rPr>
        <w:t>2.开展产业链精准招引。</w:t>
      </w:r>
      <w:r>
        <w:rPr>
          <w:rFonts w:hint="eastAsia" w:ascii="仿宋_GB2312" w:hAnsi="仿宋_GB2312" w:eastAsia="仿宋_GB2312" w:cs="仿宋_GB2312"/>
          <w:color w:val="auto"/>
          <w:szCs w:val="22"/>
          <w:lang w:val="en-US" w:eastAsia="zh-CN"/>
        </w:rPr>
        <w:t>聚焦</w:t>
      </w:r>
      <w:r>
        <w:rPr>
          <w:rFonts w:hint="eastAsia" w:ascii="仿宋_GB2312" w:hAnsi="仿宋_GB2312" w:eastAsia="仿宋_GB2312" w:cs="仿宋_GB2312"/>
          <w:color w:val="auto"/>
          <w:lang w:val="en-US" w:eastAsia="zh-CN"/>
        </w:rPr>
        <w:t>重点产业集群</w:t>
      </w:r>
      <w:r>
        <w:rPr>
          <w:rFonts w:hint="eastAsia" w:ascii="仿宋_GB2312" w:hAnsi="仿宋_GB2312" w:eastAsia="仿宋_GB2312" w:cs="仿宋_GB2312"/>
          <w:color w:val="auto"/>
        </w:rPr>
        <w:t>，绘制产业链图谱，精准识别优势、薄弱和缺失环节，围绕“强链补链延链”，</w:t>
      </w:r>
      <w:r>
        <w:rPr>
          <w:rFonts w:hint="eastAsia" w:ascii="仿宋_GB2312" w:hAnsi="仿宋_GB2312" w:eastAsia="仿宋_GB2312" w:cs="仿宋_GB2312"/>
          <w:bCs/>
          <w:color w:val="auto"/>
        </w:rPr>
        <w:t>重点引进具备高水准科技含量、强劲带动能力、高成长性特质、高附加值的领军企业、专精特新“小巨人”企业等优质企业，全方位提升龙华产业集群竞争力。支持企业在龙华设立专业型总部、</w:t>
      </w:r>
      <w:r>
        <w:rPr>
          <w:rFonts w:hint="eastAsia" w:ascii="仿宋_GB2312" w:hAnsi="仿宋_GB2312" w:eastAsia="仿宋_GB2312" w:cs="仿宋_GB2312"/>
          <w:bCs/>
          <w:color w:val="auto"/>
          <w:lang w:val="en-US" w:eastAsia="zh-CN"/>
        </w:rPr>
        <w:tab/>
      </w:r>
      <w:r>
        <w:rPr>
          <w:rFonts w:hint="eastAsia" w:ascii="仿宋_GB2312" w:hAnsi="仿宋_GB2312" w:eastAsia="仿宋_GB2312" w:cs="仿宋_GB2312"/>
          <w:bCs/>
          <w:color w:val="auto"/>
          <w:lang w:val="en-US" w:eastAsia="zh-CN"/>
        </w:rPr>
        <w:t>区域性总部、</w:t>
      </w:r>
      <w:r>
        <w:rPr>
          <w:rFonts w:hint="eastAsia" w:ascii="仿宋_GB2312" w:hAnsi="仿宋_GB2312" w:eastAsia="仿宋_GB2312" w:cs="仿宋_GB2312"/>
          <w:bCs/>
          <w:color w:val="auto"/>
        </w:rPr>
        <w:t>综合性总部，发展总部经济。</w:t>
      </w:r>
      <w:r>
        <w:rPr>
          <w:rFonts w:hint="eastAsia" w:ascii="仿宋_GB2312" w:hAnsi="仿宋_GB2312" w:eastAsia="仿宋_GB2312" w:cs="仿宋_GB2312"/>
          <w:color w:val="auto"/>
          <w:szCs w:val="22"/>
        </w:rPr>
        <w:t>打好资本招商、空间招商、场景招商、以商招商、出海招商“组合拳”，形成“一批在谈、一批签约、一批在建、一批投产”的良性格局。</w:t>
      </w:r>
    </w:p>
    <w:p>
      <w:pPr>
        <w:widowControl/>
        <w:rPr>
          <w:rFonts w:hint="eastAsia" w:ascii="仿宋_GB2312" w:hAnsi="仿宋_GB2312" w:eastAsia="仿宋_GB2312" w:cs="仿宋_GB2312"/>
          <w:bCs/>
          <w:color w:val="auto"/>
        </w:rPr>
      </w:pPr>
      <w:r>
        <w:rPr>
          <w:rFonts w:hint="eastAsia" w:ascii="仿宋_GB2312" w:hAnsi="仿宋_GB2312" w:eastAsia="仿宋_GB2312" w:cs="仿宋_GB2312"/>
          <w:b/>
          <w:bCs/>
          <w:color w:val="auto"/>
          <w:szCs w:val="22"/>
        </w:rPr>
        <w:t>3.持续加强重大产业项目的引进建设。</w:t>
      </w:r>
      <w:r>
        <w:rPr>
          <w:rFonts w:hint="eastAsia" w:ascii="仿宋_GB2312" w:hAnsi="仿宋_GB2312" w:eastAsia="仿宋_GB2312" w:cs="仿宋_GB2312"/>
          <w:bCs/>
          <w:color w:val="auto"/>
        </w:rPr>
        <w:t>瞄准</w:t>
      </w:r>
      <w:r>
        <w:rPr>
          <w:rFonts w:hint="eastAsia" w:ascii="仿宋_GB2312" w:hAnsi="仿宋_GB2312" w:eastAsia="仿宋_GB2312" w:cs="仿宋_GB2312"/>
          <w:bCs/>
          <w:color w:val="auto"/>
          <w:lang w:val="en-US" w:eastAsia="zh-CN"/>
        </w:rPr>
        <w:t>智能终端</w:t>
      </w:r>
      <w:r>
        <w:rPr>
          <w:rFonts w:hint="eastAsia" w:ascii="仿宋_GB2312" w:hAnsi="仿宋_GB2312" w:eastAsia="仿宋_GB2312" w:cs="仿宋_GB2312"/>
          <w:bCs/>
          <w:color w:val="auto"/>
        </w:rPr>
        <w:t>、</w:t>
      </w:r>
      <w:r>
        <w:rPr>
          <w:rFonts w:hint="eastAsia" w:ascii="仿宋_GB2312" w:hAnsi="仿宋_GB2312" w:eastAsia="仿宋_GB2312" w:cs="仿宋_GB2312"/>
          <w:bCs/>
          <w:color w:val="auto"/>
          <w:lang w:val="en-US" w:eastAsia="zh-CN"/>
        </w:rPr>
        <w:t>新型网络与通信</w:t>
      </w:r>
      <w:r>
        <w:rPr>
          <w:rFonts w:hint="eastAsia" w:ascii="仿宋_GB2312" w:hAnsi="仿宋_GB2312" w:eastAsia="仿宋_GB2312" w:cs="仿宋_GB2312"/>
          <w:bCs/>
          <w:color w:val="auto"/>
        </w:rPr>
        <w:t>、</w:t>
      </w:r>
      <w:r>
        <w:rPr>
          <w:rFonts w:hint="eastAsia" w:ascii="仿宋_GB2312" w:hAnsi="仿宋_GB2312" w:eastAsia="仿宋_GB2312" w:cs="仿宋_GB2312"/>
          <w:bCs/>
          <w:color w:val="auto"/>
          <w:lang w:val="en-US" w:eastAsia="zh-CN"/>
        </w:rPr>
        <w:t>智能机器人</w:t>
      </w:r>
      <w:r>
        <w:rPr>
          <w:rFonts w:hint="eastAsia" w:ascii="仿宋_GB2312" w:hAnsi="仿宋_GB2312" w:eastAsia="仿宋_GB2312" w:cs="仿宋_GB2312"/>
          <w:bCs/>
          <w:color w:val="auto"/>
        </w:rPr>
        <w:t>、</w:t>
      </w:r>
      <w:r>
        <w:rPr>
          <w:rFonts w:hint="eastAsia" w:ascii="仿宋_GB2312" w:hAnsi="仿宋_GB2312" w:eastAsia="仿宋_GB2312" w:cs="仿宋_GB2312"/>
          <w:bCs/>
          <w:color w:val="auto"/>
          <w:lang w:val="en-US" w:eastAsia="zh-CN"/>
        </w:rPr>
        <w:t>智能网联新能源汽车、半导体与集成电路</w:t>
      </w:r>
      <w:r>
        <w:rPr>
          <w:rFonts w:hint="eastAsia" w:ascii="仿宋_GB2312" w:hAnsi="仿宋_GB2312" w:eastAsia="仿宋_GB2312" w:cs="仿宋_GB2312"/>
          <w:bCs/>
          <w:color w:val="auto"/>
        </w:rPr>
        <w:t>等重点领域，加快引进建设产业能级高、产业链带动性强、社会效益好的重大产业项目，扩大制造业有效投资规模，提高投资质量和效益。</w:t>
      </w:r>
      <w:r>
        <w:rPr>
          <w:rFonts w:hint="eastAsia" w:ascii="仿宋_GB2312" w:hAnsi="仿宋_GB2312" w:eastAsia="仿宋_GB2312" w:cs="仿宋_GB2312"/>
          <w:color w:val="auto"/>
        </w:rPr>
        <w:t>支持总部企业扩大投资、提升能级，提高配置全球资源能力。</w:t>
      </w:r>
      <w:r>
        <w:rPr>
          <w:rFonts w:hint="eastAsia" w:ascii="仿宋_GB2312" w:hAnsi="仿宋_GB2312" w:eastAsia="仿宋_GB2312" w:cs="仿宋_GB2312"/>
          <w:bCs/>
          <w:color w:val="auto"/>
        </w:rPr>
        <w:t>加大技术改造焕新力度，以高端、智能、绿色为导向，持续支持企业实施技术改造，通过应用新技术、新工艺、新设备等，改善产品供给质量，优化供给结构。</w:t>
      </w:r>
    </w:p>
    <w:p>
      <w:pPr>
        <w:outlineLvl w:val="1"/>
        <w:rPr>
          <w:rFonts w:hint="eastAsia" w:ascii="楷体_GB2312" w:hAnsi="楷体_GB2312" w:eastAsia="楷体_GB2312" w:cs="楷体_GB2312"/>
          <w:color w:val="auto"/>
          <w:kern w:val="24"/>
        </w:rPr>
      </w:pPr>
      <w:bookmarkStart w:id="363" w:name="_Toc27682"/>
      <w:bookmarkStart w:id="364" w:name="_Toc13000"/>
      <w:bookmarkStart w:id="365" w:name="_Toc17751"/>
      <w:bookmarkStart w:id="366" w:name="_Toc4439"/>
      <w:bookmarkStart w:id="367" w:name="_Toc971"/>
      <w:bookmarkStart w:id="368" w:name="_Toc31390"/>
      <w:bookmarkStart w:id="369" w:name="_Toc11964"/>
      <w:bookmarkStart w:id="370" w:name="_Toc8989"/>
      <w:bookmarkStart w:id="371" w:name="_Toc27254"/>
      <w:bookmarkStart w:id="372" w:name="_Toc17943"/>
      <w:r>
        <w:rPr>
          <w:rFonts w:hint="eastAsia" w:ascii="楷体_GB2312" w:hAnsi="楷体_GB2312" w:eastAsia="楷体_GB2312" w:cs="楷体_GB2312"/>
          <w:color w:val="auto"/>
          <w:kern w:val="24"/>
        </w:rPr>
        <w:t>（九）实施“开放创新”工程，提升国际合作能力</w:t>
      </w:r>
      <w:bookmarkEnd w:id="361"/>
      <w:bookmarkEnd w:id="362"/>
      <w:bookmarkEnd w:id="363"/>
      <w:bookmarkEnd w:id="364"/>
      <w:bookmarkEnd w:id="365"/>
      <w:bookmarkEnd w:id="366"/>
      <w:bookmarkEnd w:id="367"/>
      <w:bookmarkEnd w:id="368"/>
      <w:bookmarkEnd w:id="369"/>
      <w:bookmarkEnd w:id="370"/>
      <w:bookmarkEnd w:id="371"/>
      <w:bookmarkEnd w:id="372"/>
    </w:p>
    <w:p>
      <w:pPr>
        <w:rPr>
          <w:rFonts w:hint="eastAsia" w:ascii="仿宋_GB2312" w:hAnsi="仿宋_GB2312" w:eastAsia="仿宋_GB2312" w:cs="仿宋_GB2312"/>
          <w:color w:val="auto"/>
          <w:szCs w:val="22"/>
        </w:rPr>
      </w:pPr>
      <w:r>
        <w:rPr>
          <w:rFonts w:hint="eastAsia" w:ascii="仿宋_GB2312" w:hAnsi="仿宋_GB2312" w:eastAsia="仿宋_GB2312" w:cs="仿宋_GB2312"/>
          <w:color w:val="auto"/>
          <w:szCs w:val="22"/>
        </w:rPr>
        <w:t>以开放创新为动力，以产业国际化为主线，打造粤港澳大湾区先进制造与国际交往融合发展标杆城区。</w:t>
      </w:r>
    </w:p>
    <w:p>
      <w:pPr>
        <w:widowControl/>
        <w:rPr>
          <w:rFonts w:hint="eastAsia" w:ascii="仿宋_GB2312" w:hAnsi="仿宋_GB2312" w:eastAsia="仿宋_GB2312" w:cs="仿宋_GB2312"/>
          <w:color w:val="auto"/>
          <w:szCs w:val="22"/>
        </w:rPr>
      </w:pPr>
      <w:r>
        <w:rPr>
          <w:rFonts w:hint="eastAsia" w:ascii="仿宋_GB2312" w:hAnsi="仿宋_GB2312" w:eastAsia="仿宋_GB2312" w:cs="仿宋_GB2312"/>
          <w:b/>
          <w:bCs/>
          <w:color w:val="auto"/>
          <w:szCs w:val="22"/>
        </w:rPr>
        <w:t>1.推进深港先进制造合作。</w:t>
      </w:r>
      <w:r>
        <w:rPr>
          <w:rFonts w:hint="eastAsia" w:ascii="仿宋_GB2312" w:hAnsi="仿宋_GB2312" w:eastAsia="仿宋_GB2312" w:cs="仿宋_GB2312"/>
          <w:color w:val="auto"/>
          <w:szCs w:val="22"/>
        </w:rPr>
        <w:t>发挥龙华中轴数字产业核心区的区位优势与发展潜力，鼓励制造企业与香港高校共建联合实验室，围绕人工智能、智能机器人、生物医药、新能源等前沿领域开展技术研发和关键核心技术攻关。积极吸引香港的工业设计、检测认证、法律会计等高端专业服务机构落户，为制造业企业提供国际化、高水平的专业服务支撑。结合梅林关片区规划建设，推动搭建高能级产业协同平台，规划建设深港数字技术孵化基地，支持港澳高校</w:t>
      </w:r>
      <w:r>
        <w:rPr>
          <w:rFonts w:hint="eastAsia" w:ascii="仿宋_GB2312" w:hAnsi="仿宋_GB2312" w:eastAsia="仿宋_GB2312" w:cs="仿宋_GB2312"/>
          <w:color w:val="auto"/>
          <w:szCs w:val="22"/>
          <w:lang w:eastAsia="zh-CN"/>
        </w:rPr>
        <w:t>、</w:t>
      </w:r>
      <w:r>
        <w:rPr>
          <w:rFonts w:hint="eastAsia" w:ascii="仿宋_GB2312" w:hAnsi="仿宋_GB2312" w:eastAsia="仿宋_GB2312" w:cs="仿宋_GB2312"/>
          <w:color w:val="auto"/>
          <w:szCs w:val="22"/>
          <w:lang w:val="en-US" w:eastAsia="zh-CN"/>
        </w:rPr>
        <w:t>科研机构、企业等</w:t>
      </w:r>
      <w:r>
        <w:rPr>
          <w:rFonts w:hint="eastAsia" w:ascii="仿宋_GB2312" w:hAnsi="仿宋_GB2312" w:eastAsia="仿宋_GB2312" w:cs="仿宋_GB2312"/>
          <w:color w:val="auto"/>
          <w:szCs w:val="22"/>
        </w:rPr>
        <w:t>在龙华建设</w:t>
      </w:r>
      <w:r>
        <w:rPr>
          <w:rFonts w:hint="eastAsia" w:ascii="仿宋_GB2312" w:hAnsi="仿宋_GB2312" w:eastAsia="仿宋_GB2312" w:cs="仿宋_GB2312"/>
          <w:color w:val="auto"/>
          <w:szCs w:val="22"/>
          <w:lang w:val="en-US" w:eastAsia="zh-CN"/>
        </w:rPr>
        <w:t>创新平台、研发中心</w:t>
      </w:r>
      <w:r>
        <w:rPr>
          <w:rFonts w:hint="eastAsia" w:ascii="仿宋_GB2312" w:hAnsi="仿宋_GB2312" w:eastAsia="仿宋_GB2312" w:cs="仿宋_GB2312"/>
          <w:color w:val="auto"/>
          <w:szCs w:val="22"/>
        </w:rPr>
        <w:t>，作为核心载体吸引港资、港技、港才集聚</w:t>
      </w:r>
      <w:r>
        <w:rPr>
          <w:rFonts w:hint="eastAsia" w:ascii="仿宋_GB2312" w:hAnsi="仿宋_GB2312" w:eastAsia="仿宋_GB2312" w:cs="仿宋_GB2312"/>
          <w:color w:val="auto"/>
          <w:szCs w:val="22"/>
          <w:lang w:eastAsia="zh-CN"/>
        </w:rPr>
        <w:t>。</w:t>
      </w:r>
      <w:r>
        <w:rPr>
          <w:rFonts w:hint="eastAsia" w:ascii="仿宋_GB2312" w:hAnsi="仿宋_GB2312" w:eastAsia="仿宋_GB2312" w:cs="仿宋_GB2312"/>
          <w:color w:val="auto"/>
          <w:szCs w:val="22"/>
        </w:rPr>
        <w:t>支持两地行业协会与企业共建跨区域产业链联盟，定期举办深港制造业峰会、创新大赛等高能级活动，形成“香港研发—龙华转化—联合出海”的协同发展模式。</w:t>
      </w:r>
    </w:p>
    <w:p>
      <w:pPr>
        <w:rPr>
          <w:rFonts w:hint="eastAsia" w:ascii="仿宋_GB2312" w:hAnsi="仿宋_GB2312" w:eastAsia="仿宋_GB2312" w:cs="仿宋_GB2312"/>
          <w:color w:val="auto"/>
          <w:kern w:val="24"/>
        </w:rPr>
      </w:pPr>
      <w:r>
        <w:rPr>
          <w:rFonts w:hint="eastAsia" w:ascii="仿宋_GB2312" w:hAnsi="仿宋_GB2312" w:eastAsia="仿宋_GB2312" w:cs="仿宋_GB2312"/>
          <w:b/>
          <w:bCs/>
          <w:color w:val="auto"/>
        </w:rPr>
        <w:t>2.</w:t>
      </w:r>
      <w:r>
        <w:rPr>
          <w:rFonts w:hint="eastAsia" w:ascii="仿宋_GB2312" w:hAnsi="仿宋_GB2312" w:eastAsia="仿宋_GB2312" w:cs="仿宋_GB2312"/>
          <w:b/>
          <w:bCs/>
          <w:color w:val="auto"/>
          <w:kern w:val="24"/>
        </w:rPr>
        <w:t>促进制造业高质量“出海”。</w:t>
      </w:r>
      <w:r>
        <w:rPr>
          <w:rFonts w:hint="eastAsia" w:ascii="仿宋_GB2312" w:hAnsi="仿宋_GB2312" w:eastAsia="仿宋_GB2312" w:cs="仿宋_GB2312"/>
          <w:color w:val="auto"/>
        </w:rPr>
        <w:t>推动企业融入国际产业链供应链，引导企业通过海外投资设厂、技术授权等方式因地制宜加强与海外企业的合作。</w:t>
      </w:r>
      <w:r>
        <w:rPr>
          <w:rFonts w:hint="eastAsia" w:ascii="仿宋_GB2312" w:hAnsi="仿宋_GB2312" w:eastAsia="仿宋_GB2312" w:cs="仿宋_GB2312"/>
          <w:color w:val="auto"/>
          <w:kern w:val="24"/>
        </w:rPr>
        <w:t>加强出海服务系统化供给，布局企业出海公共服务平台，协助开拓出海市场，借助产业对接、跨境撮合、标准认证及云平台资源，支持企业“抱团出海”与品牌国际化。重点加大对境外技术标准、技术法规等研究和对接力度，开展国际标准检测认证服务。联合云服务商为中小企业出海提供高质量云服务保障。协助提升出海管理能力，针对东道国市场准入、安全审查、行业监管、外汇管理、财税法规、劳工权益、环境保护、数据安全等要求，开展跨境合规指导服务，重点增强企业跨境运营与ESG治理水平。鼓励互联网平台、新媒体等发挥品牌、市场、渠道、技术、算力优势，助力中小企业开拓海外市场、扩大品牌影响力。健全权益保护体系，整合法律、税务、知识产权</w:t>
      </w:r>
      <w:r>
        <w:rPr>
          <w:rFonts w:hint="eastAsia" w:ascii="仿宋_GB2312" w:hAnsi="仿宋_GB2312" w:eastAsia="仿宋_GB2312" w:cs="仿宋_GB2312"/>
          <w:color w:val="auto"/>
          <w:kern w:val="24"/>
          <w:lang w:val="en-US" w:eastAsia="zh-CN"/>
        </w:rPr>
        <w:t>等</w:t>
      </w:r>
      <w:r>
        <w:rPr>
          <w:rFonts w:hint="eastAsia" w:ascii="仿宋_GB2312" w:hAnsi="仿宋_GB2312" w:eastAsia="仿宋_GB2312" w:cs="仿宋_GB2312"/>
          <w:color w:val="auto"/>
          <w:kern w:val="24"/>
        </w:rPr>
        <w:t>服务，构建全方位海外维权援助机制。</w:t>
      </w:r>
    </w:p>
    <w:p>
      <w:pPr>
        <w:rPr>
          <w:rFonts w:hint="eastAsia" w:ascii="仿宋_GB2312" w:hAnsi="仿宋_GB2312" w:eastAsia="仿宋_GB2312" w:cs="仿宋_GB2312"/>
          <w:color w:val="auto"/>
          <w:kern w:val="24"/>
        </w:rPr>
      </w:pPr>
      <w:r>
        <w:rPr>
          <w:rFonts w:hint="eastAsia" w:ascii="仿宋_GB2312" w:hAnsi="仿宋_GB2312" w:eastAsia="仿宋_GB2312" w:cs="仿宋_GB2312"/>
          <w:b/>
          <w:bCs/>
          <w:color w:val="auto"/>
          <w:kern w:val="24"/>
        </w:rPr>
        <w:t>3.提高制造业外商投资水平</w:t>
      </w:r>
      <w:r>
        <w:rPr>
          <w:rFonts w:hint="eastAsia" w:ascii="仿宋_GB2312" w:hAnsi="仿宋_GB2312" w:eastAsia="仿宋_GB2312" w:cs="仿宋_GB2312"/>
          <w:color w:val="auto"/>
          <w:kern w:val="24"/>
        </w:rPr>
        <w:t>。落实全面取消制造业领域外资准入限制要求，保障外商投资企业国民待遇。支持外资企业参与新型工业化进程，更好利用外资推进制造业补链强链。积极引进先进制造领域外商投资，鼓励跨国公司设立总部型机构和规模化生产基地。加大制造业领域外资企业区内再投资支持力度，研究制定鼓励外资企业再投资政策措施，支持外资企业实施增资、新建、股权收购等权益性投资。持续开展境外投资促进活动，针对主要投资来源研究制定差异化引资目标和策略，加大项目撮合对接力度。</w:t>
      </w:r>
    </w:p>
    <w:p>
      <w:pPr>
        <w:outlineLvl w:val="0"/>
        <w:rPr>
          <w:rFonts w:hint="eastAsia" w:ascii="黑体" w:hAnsi="黑体" w:eastAsia="黑体" w:cs="黑体"/>
          <w:color w:val="auto"/>
          <w:kern w:val="24"/>
          <w:highlight w:val="yellow"/>
        </w:rPr>
      </w:pPr>
      <w:bookmarkStart w:id="373" w:name="_Toc13999"/>
      <w:bookmarkStart w:id="374" w:name="_Toc2136"/>
      <w:bookmarkStart w:id="375" w:name="_Toc20505"/>
      <w:bookmarkStart w:id="376" w:name="_Toc5009"/>
      <w:bookmarkStart w:id="377" w:name="_Toc7037"/>
      <w:bookmarkStart w:id="378" w:name="_Toc14082"/>
      <w:bookmarkStart w:id="379" w:name="_Toc16202"/>
      <w:bookmarkStart w:id="380" w:name="_Toc11394"/>
      <w:bookmarkStart w:id="381" w:name="_Toc24168"/>
      <w:bookmarkStart w:id="382" w:name="_Toc28658"/>
      <w:bookmarkStart w:id="383" w:name="_Toc5293"/>
      <w:bookmarkStart w:id="384" w:name="_Toc8275"/>
      <w:bookmarkStart w:id="385" w:name="_Toc30452"/>
      <w:bookmarkStart w:id="386" w:name="_Toc17380"/>
      <w:r>
        <w:rPr>
          <w:rFonts w:hint="eastAsia" w:ascii="黑体" w:hAnsi="黑体" w:eastAsia="黑体" w:cs="黑体"/>
          <w:color w:val="auto"/>
          <w:kern w:val="24"/>
          <w:lang w:val="en-US" w:eastAsia="zh-CN"/>
        </w:rPr>
        <w:t>八</w:t>
      </w:r>
      <w:r>
        <w:rPr>
          <w:rFonts w:hint="eastAsia" w:ascii="黑体" w:hAnsi="黑体" w:eastAsia="黑体" w:cs="黑体"/>
          <w:color w:val="auto"/>
          <w:kern w:val="24"/>
        </w:rPr>
        <w:t>、空间布局</w:t>
      </w:r>
      <w:bookmarkEnd w:id="373"/>
      <w:bookmarkEnd w:id="374"/>
      <w:bookmarkEnd w:id="375"/>
      <w:bookmarkEnd w:id="376"/>
      <w:bookmarkEnd w:id="377"/>
      <w:bookmarkEnd w:id="378"/>
      <w:bookmarkEnd w:id="379"/>
      <w:bookmarkEnd w:id="380"/>
      <w:bookmarkEnd w:id="381"/>
      <w:bookmarkEnd w:id="382"/>
      <w:bookmarkEnd w:id="383"/>
      <w:bookmarkEnd w:id="384"/>
    </w:p>
    <w:p>
      <w:pPr>
        <w:rPr>
          <w:rFonts w:hint="eastAsia" w:cs="Times New Roman"/>
          <w:color w:val="auto"/>
          <w:szCs w:val="22"/>
        </w:rPr>
      </w:pPr>
      <w:r>
        <w:rPr>
          <w:rFonts w:hint="eastAsia" w:cs="Times New Roman"/>
          <w:color w:val="auto"/>
          <w:szCs w:val="22"/>
        </w:rPr>
        <w:t>落实全区“一轴双心多点”总体空间规划，结合工业发展基础，</w:t>
      </w:r>
      <w:r>
        <w:rPr>
          <w:rFonts w:hint="eastAsia" w:cs="Times New Roman"/>
          <w:color w:val="auto"/>
          <w:szCs w:val="22"/>
          <w:lang w:val="en-US" w:eastAsia="zh-CN"/>
        </w:rPr>
        <w:t>梯次</w:t>
      </w:r>
      <w:r>
        <w:rPr>
          <w:rFonts w:hint="eastAsia" w:cs="Times New Roman"/>
          <w:color w:val="auto"/>
          <w:szCs w:val="22"/>
        </w:rPr>
        <w:t>构建“</w:t>
      </w:r>
      <w:r>
        <w:rPr>
          <w:rFonts w:hint="eastAsia" w:cs="Times New Roman"/>
          <w:color w:val="auto"/>
          <w:szCs w:val="22"/>
          <w:highlight w:val="none"/>
        </w:rPr>
        <w:t>双</w:t>
      </w:r>
      <w:r>
        <w:rPr>
          <w:rFonts w:hint="eastAsia" w:cs="Times New Roman"/>
          <w:color w:val="auto"/>
          <w:szCs w:val="22"/>
        </w:rPr>
        <w:t>心</w:t>
      </w:r>
      <w:r>
        <w:rPr>
          <w:rFonts w:hint="eastAsia" w:cs="Times New Roman"/>
          <w:color w:val="auto"/>
          <w:szCs w:val="22"/>
          <w:highlight w:val="none"/>
        </w:rPr>
        <w:t>引领、一带联动、</w:t>
      </w:r>
      <w:r>
        <w:rPr>
          <w:rFonts w:hint="eastAsia" w:cs="Times New Roman"/>
          <w:color w:val="auto"/>
          <w:szCs w:val="22"/>
        </w:rPr>
        <w:t>三</w:t>
      </w:r>
      <w:r>
        <w:rPr>
          <w:rFonts w:hint="eastAsia" w:cs="Times New Roman"/>
          <w:color w:val="auto"/>
          <w:szCs w:val="22"/>
          <w:lang w:val="en-US" w:eastAsia="zh-CN"/>
        </w:rPr>
        <w:t>区</w:t>
      </w:r>
      <w:r>
        <w:rPr>
          <w:rFonts w:hint="eastAsia" w:cs="Times New Roman"/>
          <w:color w:val="auto"/>
          <w:szCs w:val="22"/>
          <w:highlight w:val="none"/>
        </w:rPr>
        <w:t>协同、</w:t>
      </w:r>
      <w:r>
        <w:rPr>
          <w:rFonts w:hint="eastAsia" w:cs="Times New Roman"/>
          <w:color w:val="auto"/>
          <w:szCs w:val="22"/>
        </w:rPr>
        <w:t>多</w:t>
      </w:r>
      <w:r>
        <w:rPr>
          <w:rFonts w:hint="eastAsia" w:cs="Times New Roman"/>
          <w:color w:val="auto"/>
          <w:szCs w:val="22"/>
          <w:highlight w:val="none"/>
        </w:rPr>
        <w:t>园支撑</w:t>
      </w:r>
      <w:r>
        <w:rPr>
          <w:rFonts w:hint="eastAsia" w:cs="Times New Roman"/>
          <w:color w:val="auto"/>
          <w:szCs w:val="22"/>
        </w:rPr>
        <w:t>”工业发展空间，全面提升产业空间的集聚度、承载力和产出率。</w:t>
      </w:r>
    </w:p>
    <w:p>
      <w:pPr>
        <w:pStyle w:val="3"/>
        <w:rPr>
          <w:rFonts w:hint="eastAsia"/>
          <w:color w:val="auto"/>
        </w:rPr>
      </w:pPr>
      <w:bookmarkStart w:id="387" w:name="_Toc27378"/>
      <w:bookmarkStart w:id="388" w:name="_Toc19556"/>
      <w:bookmarkStart w:id="389" w:name="_Toc28141"/>
      <w:bookmarkStart w:id="390" w:name="_Toc6024"/>
      <w:bookmarkStart w:id="391" w:name="_Toc12875"/>
      <w:bookmarkStart w:id="392" w:name="_Toc18356"/>
      <w:bookmarkStart w:id="393" w:name="_Toc14356"/>
      <w:bookmarkStart w:id="394" w:name="_Toc32654"/>
      <w:bookmarkStart w:id="395" w:name="_Toc30697"/>
      <w:bookmarkStart w:id="396" w:name="_Toc12710"/>
      <w:r>
        <w:rPr>
          <w:rFonts w:hint="eastAsia"/>
          <w:color w:val="auto"/>
        </w:rPr>
        <w:t>（一）构筑</w:t>
      </w:r>
      <w:r>
        <w:rPr>
          <w:rFonts w:hint="eastAsia"/>
          <w:color w:val="auto"/>
          <w:lang w:eastAsia="zh-CN"/>
        </w:rPr>
        <w:t>“</w:t>
      </w:r>
      <w:r>
        <w:rPr>
          <w:rFonts w:hint="eastAsia"/>
          <w:color w:val="auto"/>
        </w:rPr>
        <w:t>双心一带</w:t>
      </w:r>
      <w:r>
        <w:rPr>
          <w:rFonts w:hint="eastAsia"/>
          <w:color w:val="auto"/>
          <w:lang w:eastAsia="zh-CN"/>
        </w:rPr>
        <w:t>”</w:t>
      </w:r>
      <w:r>
        <w:rPr>
          <w:rFonts w:hint="eastAsia"/>
          <w:color w:val="auto"/>
        </w:rPr>
        <w:t>发展格局</w:t>
      </w:r>
      <w:bookmarkEnd w:id="387"/>
      <w:bookmarkEnd w:id="388"/>
      <w:bookmarkEnd w:id="389"/>
      <w:bookmarkEnd w:id="390"/>
      <w:bookmarkEnd w:id="391"/>
      <w:bookmarkEnd w:id="392"/>
      <w:bookmarkEnd w:id="393"/>
      <w:bookmarkEnd w:id="394"/>
    </w:p>
    <w:p>
      <w:pPr>
        <w:rPr>
          <w:rFonts w:hint="eastAsia" w:ascii="仿宋_GB2312" w:hAnsi="仿宋_GB2312" w:eastAsia="仿宋_GB2312" w:cs="仿宋_GB2312"/>
          <w:color w:val="auto"/>
        </w:rPr>
      </w:pPr>
      <w:r>
        <w:rPr>
          <w:rFonts w:hint="eastAsia" w:ascii="仿宋_GB2312" w:hAnsi="仿宋_GB2312" w:eastAsia="仿宋_GB2312" w:cs="仿宋_GB2312"/>
          <w:b/>
          <w:bCs/>
          <w:color w:val="auto"/>
        </w:rPr>
        <w:t>1.南部智造服务核心：</w:t>
      </w:r>
      <w:r>
        <w:rPr>
          <w:rFonts w:hint="eastAsia" w:ascii="仿宋_GB2312" w:hAnsi="仿宋_GB2312" w:eastAsia="仿宋_GB2312" w:cs="仿宋_GB2312"/>
          <w:color w:val="auto"/>
        </w:rPr>
        <w:t>以</w:t>
      </w:r>
      <w:r>
        <w:rPr>
          <w:rFonts w:hint="eastAsia" w:ascii="仿宋_GB2312" w:hAnsi="仿宋_GB2312" w:eastAsia="仿宋_GB2312" w:cs="仿宋_GB2312"/>
          <w:color w:val="auto"/>
          <w:lang w:val="en-US" w:eastAsia="zh-CN"/>
        </w:rPr>
        <w:t>北站国际商务区</w:t>
      </w:r>
      <w:r>
        <w:rPr>
          <w:rFonts w:hint="eastAsia" w:ascii="仿宋_GB2312" w:hAnsi="仿宋_GB2312" w:eastAsia="仿宋_GB2312" w:cs="仿宋_GB2312"/>
          <w:color w:val="auto"/>
        </w:rPr>
        <w:t>、梅林关片区</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华南物流园片区联动共建</w:t>
      </w:r>
      <w:r>
        <w:rPr>
          <w:rFonts w:hint="eastAsia" w:ascii="仿宋_GB2312" w:hAnsi="仿宋_GB2312" w:eastAsia="仿宋_GB2312" w:cs="仿宋_GB2312"/>
          <w:color w:val="auto"/>
        </w:rPr>
        <w:t>龙华中轴数字产业核心区，重点发展软件信息、工业设计、检验检测、金融科技等服务型制造，推动数字技术与先进制造深度融合，构建全链条赋能体系。集聚总部经济、平台经济</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出海经济</w:t>
      </w:r>
      <w:r>
        <w:rPr>
          <w:rFonts w:hint="eastAsia" w:ascii="仿宋_GB2312" w:hAnsi="仿宋_GB2312" w:eastAsia="仿宋_GB2312" w:cs="仿宋_GB2312"/>
          <w:color w:val="auto"/>
        </w:rPr>
        <w:t>等高端服务功能，提升产业链控制力和资源配置力。布局高端智造中小试、轻量化制造等</w:t>
      </w:r>
      <w:r>
        <w:rPr>
          <w:rFonts w:hint="eastAsia" w:ascii="仿宋_GB2312" w:hAnsi="仿宋_GB2312" w:eastAsia="仿宋_GB2312" w:cs="仿宋_GB2312"/>
          <w:color w:val="auto"/>
          <w:lang w:val="en-US" w:eastAsia="zh-CN"/>
        </w:rPr>
        <w:t>都市型制造</w:t>
      </w:r>
      <w:r>
        <w:rPr>
          <w:rFonts w:hint="eastAsia" w:ascii="仿宋_GB2312" w:hAnsi="仿宋_GB2312" w:eastAsia="仿宋_GB2312" w:cs="仿宋_GB2312"/>
          <w:color w:val="auto"/>
        </w:rPr>
        <w:t>，推动创新验证、柔性生产与规模化制造的有序衔接，打造成为引领全区</w:t>
      </w:r>
      <w:r>
        <w:rPr>
          <w:rFonts w:hint="eastAsia" w:ascii="仿宋_GB2312" w:hAnsi="仿宋_GB2312" w:eastAsia="仿宋_GB2312" w:cs="仿宋_GB2312"/>
          <w:color w:val="auto"/>
          <w:lang w:val="en-US" w:eastAsia="zh-CN"/>
        </w:rPr>
        <w:t>两业融合</w:t>
      </w:r>
      <w:r>
        <w:rPr>
          <w:rFonts w:hint="eastAsia" w:ascii="仿宋_GB2312" w:hAnsi="仿宋_GB2312" w:eastAsia="仿宋_GB2312" w:cs="仿宋_GB2312"/>
          <w:color w:val="auto"/>
        </w:rPr>
        <w:t>的战略枢纽。</w:t>
      </w:r>
    </w:p>
    <w:p>
      <w:pPr>
        <w:rPr>
          <w:rFonts w:hint="eastAsia" w:ascii="仿宋_GB2312" w:hAnsi="仿宋_GB2312" w:eastAsia="仿宋_GB2312" w:cs="仿宋_GB2312"/>
          <w:color w:val="auto"/>
        </w:rPr>
      </w:pPr>
      <w:r>
        <w:rPr>
          <w:rFonts w:hint="eastAsia" w:ascii="仿宋_GB2312" w:hAnsi="仿宋_GB2312" w:eastAsia="仿宋_GB2312" w:cs="仿宋_GB2312"/>
          <w:b/>
          <w:bCs/>
          <w:color w:val="auto"/>
        </w:rPr>
        <w:t>2.北部先进制造核心：</w:t>
      </w:r>
      <w:r>
        <w:rPr>
          <w:rFonts w:hint="eastAsia" w:ascii="仿宋_GB2312" w:hAnsi="仿宋_GB2312" w:eastAsia="仿宋_GB2312" w:cs="仿宋_GB2312"/>
          <w:color w:val="auto"/>
        </w:rPr>
        <w:t>以</w:t>
      </w:r>
      <w:r>
        <w:rPr>
          <w:rFonts w:hint="eastAsia" w:ascii="仿宋_GB2312" w:hAnsi="仿宋_GB2312" w:eastAsia="仿宋_GB2312" w:cs="仿宋_GB2312"/>
          <w:color w:val="auto"/>
          <w:lang w:val="en-US" w:eastAsia="zh-CN"/>
        </w:rPr>
        <w:t>龙华</w:t>
      </w:r>
      <w:r>
        <w:rPr>
          <w:rFonts w:hint="eastAsia" w:ascii="仿宋_GB2312" w:hAnsi="仿宋_GB2312" w:eastAsia="仿宋_GB2312" w:cs="仿宋_GB2312"/>
          <w:color w:val="auto"/>
        </w:rPr>
        <w:t>中心区为核心，联动九龙山数字城、能源科技城、世界</w:t>
      </w:r>
      <w:r>
        <w:rPr>
          <w:rFonts w:hint="eastAsia" w:ascii="仿宋_GB2312" w:hAnsi="仿宋_GB2312" w:eastAsia="仿宋_GB2312" w:cs="仿宋_GB2312"/>
          <w:color w:val="auto"/>
          <w:lang w:val="en-US" w:eastAsia="zh-CN"/>
        </w:rPr>
        <w:t>级</w:t>
      </w:r>
      <w:r>
        <w:rPr>
          <w:rFonts w:hint="eastAsia" w:ascii="仿宋_GB2312" w:hAnsi="仿宋_GB2312" w:eastAsia="仿宋_GB2312" w:cs="仿宋_GB2312"/>
          <w:color w:val="auto"/>
        </w:rPr>
        <w:t>半导体产业</w:t>
      </w:r>
      <w:r>
        <w:rPr>
          <w:rFonts w:hint="eastAsia" w:ascii="仿宋_GB2312" w:hAnsi="仿宋_GB2312" w:eastAsia="仿宋_GB2312" w:cs="仿宋_GB2312"/>
          <w:color w:val="auto"/>
          <w:lang w:val="en-US" w:eastAsia="zh-CN"/>
        </w:rPr>
        <w:t>科技</w:t>
      </w:r>
      <w:r>
        <w:rPr>
          <w:rFonts w:hint="eastAsia" w:ascii="仿宋_GB2312" w:hAnsi="仿宋_GB2312" w:eastAsia="仿宋_GB2312" w:cs="仿宋_GB2312"/>
          <w:color w:val="auto"/>
        </w:rPr>
        <w:t>中心建设，</w:t>
      </w:r>
      <w:r>
        <w:rPr>
          <w:rFonts w:hint="eastAsia" w:ascii="仿宋_GB2312" w:hAnsi="仿宋_GB2312" w:eastAsia="仿宋_GB2312" w:cs="仿宋_GB2312"/>
          <w:color w:val="auto"/>
          <w:lang w:val="en-US" w:eastAsia="zh-CN"/>
        </w:rPr>
        <w:t>巩固</w:t>
      </w:r>
      <w:r>
        <w:rPr>
          <w:rFonts w:hint="eastAsia" w:ascii="仿宋_GB2312" w:hAnsi="仿宋_GB2312" w:eastAsia="仿宋_GB2312" w:cs="仿宋_GB2312"/>
          <w:color w:val="auto"/>
        </w:rPr>
        <w:t>智能终端、网络与通信两大千亿级产业集群，</w:t>
      </w:r>
      <w:r>
        <w:rPr>
          <w:rFonts w:hint="eastAsia" w:ascii="仿宋_GB2312" w:hAnsi="仿宋_GB2312" w:eastAsia="仿宋_GB2312" w:cs="仿宋_GB2312"/>
          <w:color w:val="auto"/>
          <w:lang w:val="en-US" w:eastAsia="zh-CN"/>
        </w:rPr>
        <w:t>提升</w:t>
      </w:r>
      <w:r>
        <w:rPr>
          <w:rFonts w:hint="eastAsia" w:ascii="仿宋_GB2312" w:hAnsi="仿宋_GB2312" w:eastAsia="仿宋_GB2312" w:cs="仿宋_GB2312"/>
          <w:color w:val="auto"/>
        </w:rPr>
        <w:t>新能源、高端医疗器械两大支撑产业</w:t>
      </w:r>
      <w:r>
        <w:rPr>
          <w:rFonts w:hint="eastAsia" w:ascii="仿宋_GB2312" w:hAnsi="仿宋_GB2312" w:eastAsia="仿宋_GB2312" w:cs="仿宋_GB2312"/>
          <w:color w:val="auto"/>
          <w:lang w:val="en-US" w:eastAsia="zh-CN"/>
        </w:rPr>
        <w:t>能级</w:t>
      </w:r>
      <w:r>
        <w:rPr>
          <w:rFonts w:hint="eastAsia" w:ascii="仿宋_GB2312" w:hAnsi="仿宋_GB2312" w:eastAsia="仿宋_GB2312" w:cs="仿宋_GB2312"/>
          <w:color w:val="auto"/>
        </w:rPr>
        <w:t>，</w:t>
      </w:r>
      <w:r>
        <w:rPr>
          <w:rFonts w:hint="eastAsia" w:ascii="仿宋_GB2312" w:hAnsi="仿宋_GB2312" w:eastAsia="仿宋_GB2312" w:cs="仿宋_GB2312"/>
          <w:color w:val="auto"/>
          <w:lang w:val="en-US" w:eastAsia="zh-CN"/>
        </w:rPr>
        <w:t>抢占</w:t>
      </w:r>
      <w:r>
        <w:rPr>
          <w:rFonts w:hint="eastAsia" w:ascii="仿宋_GB2312" w:hAnsi="仿宋_GB2312" w:eastAsia="仿宋_GB2312" w:cs="仿宋_GB2312"/>
          <w:color w:val="auto"/>
        </w:rPr>
        <w:t>半导体与集成电路、智能机器人、智能网联汽车、低空经济等</w:t>
      </w:r>
      <w:r>
        <w:rPr>
          <w:rFonts w:hint="eastAsia" w:ascii="仿宋_GB2312" w:hAnsi="仿宋_GB2312" w:eastAsia="仿宋_GB2312" w:cs="仿宋_GB2312"/>
          <w:color w:val="auto"/>
          <w:lang w:val="en-US" w:eastAsia="zh-CN"/>
        </w:rPr>
        <w:t>新兴</w:t>
      </w:r>
      <w:r>
        <w:rPr>
          <w:rFonts w:hint="eastAsia" w:ascii="仿宋_GB2312" w:hAnsi="仿宋_GB2312" w:eastAsia="仿宋_GB2312" w:cs="仿宋_GB2312"/>
          <w:color w:val="auto"/>
        </w:rPr>
        <w:t>赛道，加快布局重点实验室、制造业创新中心、检验检测平台等</w:t>
      </w:r>
      <w:r>
        <w:rPr>
          <w:rFonts w:hint="eastAsia" w:ascii="仿宋_GB2312" w:hAnsi="仿宋_GB2312" w:eastAsia="仿宋_GB2312" w:cs="仿宋_GB2312"/>
          <w:color w:val="auto"/>
          <w:lang w:val="en-US" w:eastAsia="zh-CN"/>
        </w:rPr>
        <w:t>创新载体</w:t>
      </w:r>
      <w:r>
        <w:rPr>
          <w:rFonts w:hint="eastAsia" w:ascii="仿宋_GB2312" w:hAnsi="仿宋_GB2312" w:eastAsia="仿宋_GB2312" w:cs="仿宋_GB2312"/>
          <w:color w:val="auto"/>
        </w:rPr>
        <w:t>，构建“研发—中试—量产”全链条产业生态，打造成为龙华先进制造产业极核和增长引擎。</w:t>
      </w:r>
    </w:p>
    <w:p>
      <w:pPr>
        <w:rPr>
          <w:color w:val="auto"/>
        </w:rPr>
      </w:pPr>
      <w:r>
        <w:rPr>
          <w:rFonts w:hint="eastAsia" w:ascii="仿宋_GB2312" w:hAnsi="仿宋_GB2312" w:eastAsia="仿宋_GB2312" w:cs="仿宋_GB2312"/>
          <w:b/>
          <w:bCs/>
          <w:color w:val="auto"/>
        </w:rPr>
        <w:t>3.梅观产业创新发展带：</w:t>
      </w:r>
      <w:r>
        <w:rPr>
          <w:rFonts w:hint="eastAsia" w:ascii="仿宋_GB2312" w:hAnsi="仿宋_GB2312" w:eastAsia="仿宋_GB2312" w:cs="仿宋_GB2312"/>
          <w:color w:val="auto"/>
        </w:rPr>
        <w:t>以梅观</w:t>
      </w:r>
      <w:r>
        <w:rPr>
          <w:rFonts w:hint="eastAsia" w:ascii="仿宋_GB2312" w:hAnsi="仿宋_GB2312" w:eastAsia="仿宋_GB2312" w:cs="仿宋_GB2312"/>
          <w:color w:val="auto"/>
          <w:lang w:val="en-US" w:eastAsia="zh-CN"/>
        </w:rPr>
        <w:t>大道</w:t>
      </w:r>
      <w:r>
        <w:rPr>
          <w:rFonts w:hint="eastAsia" w:ascii="仿宋_GB2312" w:hAnsi="仿宋_GB2312" w:eastAsia="仿宋_GB2312" w:cs="仿宋_GB2312"/>
          <w:color w:val="auto"/>
        </w:rPr>
        <w:t>为主轴，由南向北串联梅林关片区、深圳北站、观澜高新园、鹭湖片区、黎光片区等重点产业园区和创新节点，形成梯次清晰、功能互补的纵向产业布局。向南，</w:t>
      </w:r>
      <w:r>
        <w:rPr>
          <w:rFonts w:hint="eastAsia" w:ascii="仿宋_GB2312" w:hAnsi="仿宋_GB2312" w:eastAsia="仿宋_GB2312" w:cs="仿宋_GB2312"/>
          <w:color w:val="auto"/>
          <w:lang w:val="en-US" w:eastAsia="zh-CN"/>
        </w:rPr>
        <w:t>积极</w:t>
      </w:r>
      <w:r>
        <w:rPr>
          <w:rFonts w:hint="eastAsia" w:ascii="仿宋_GB2312" w:hAnsi="仿宋_GB2312" w:eastAsia="仿宋_GB2312" w:cs="仿宋_GB2312"/>
          <w:color w:val="auto"/>
        </w:rPr>
        <w:t>对接南山智园、福田中心区、河套深港科技创新合作区，主动吸纳高端科创资源和总部经济外溢，打造深港创新要素向北辐射</w:t>
      </w:r>
      <w:r>
        <w:rPr>
          <w:rFonts w:hint="eastAsia" w:ascii="仿宋_GB2312" w:hAnsi="仿宋_GB2312" w:eastAsia="仿宋_GB2312" w:cs="仿宋_GB2312"/>
          <w:color w:val="auto"/>
          <w:lang w:val="en-US" w:eastAsia="zh-CN"/>
        </w:rPr>
        <w:t>首站</w:t>
      </w:r>
      <w:r>
        <w:rPr>
          <w:rFonts w:hint="eastAsia" w:ascii="仿宋_GB2312" w:hAnsi="仿宋_GB2312" w:eastAsia="仿宋_GB2312" w:cs="仿宋_GB2312"/>
          <w:color w:val="auto"/>
        </w:rPr>
        <w:t>承载区；中部，聚焦传统制造数智化转型，系统导入科研机构、创新转化及产业公共服务平台，强化南北功能衔接</w:t>
      </w:r>
      <w:r>
        <w:rPr>
          <w:rFonts w:hint="eastAsia" w:ascii="仿宋_GB2312" w:hAnsi="仿宋_GB2312" w:eastAsia="仿宋_GB2312" w:cs="仿宋_GB2312"/>
          <w:color w:val="auto"/>
          <w:lang w:val="en-US" w:eastAsia="zh-CN"/>
        </w:rPr>
        <w:t>与</w:t>
      </w:r>
      <w:r>
        <w:rPr>
          <w:rFonts w:hint="eastAsia" w:ascii="仿宋_GB2312" w:hAnsi="仿宋_GB2312" w:eastAsia="仿宋_GB2312" w:cs="仿宋_GB2312"/>
          <w:color w:val="auto"/>
        </w:rPr>
        <w:t>产业配套，打造产城融合示范样板；向北，联动东莞松山湖、塘厦、凤岗临深片区，</w:t>
      </w:r>
      <w:r>
        <w:rPr>
          <w:rFonts w:hint="eastAsia" w:ascii="仿宋_GB2312" w:hAnsi="仿宋_GB2312" w:eastAsia="仿宋_GB2312" w:cs="仿宋_GB2312"/>
          <w:color w:val="auto"/>
          <w:sz w:val="32"/>
          <w:szCs w:val="32"/>
        </w:rPr>
        <w:t>构建</w:t>
      </w:r>
      <w:r>
        <w:rPr>
          <w:rFonts w:hint="eastAsia" w:ascii="仿宋_GB2312" w:hAnsi="仿宋_GB2312" w:eastAsia="仿宋_GB2312" w:cs="仿宋_GB2312"/>
          <w:color w:val="auto"/>
        </w:rPr>
        <w:t>纵向贯通、</w:t>
      </w:r>
      <w:r>
        <w:rPr>
          <w:rFonts w:hint="eastAsia" w:ascii="仿宋_GB2312" w:hAnsi="仿宋_GB2312" w:eastAsia="仿宋_GB2312" w:cs="仿宋_GB2312"/>
          <w:color w:val="auto"/>
          <w:lang w:val="en-US" w:eastAsia="zh-CN"/>
        </w:rPr>
        <w:t>深莞</w:t>
      </w:r>
      <w:r>
        <w:rPr>
          <w:rFonts w:hint="eastAsia" w:ascii="仿宋_GB2312" w:hAnsi="仿宋_GB2312" w:eastAsia="仿宋_GB2312" w:cs="仿宋_GB2312"/>
          <w:color w:val="auto"/>
        </w:rPr>
        <w:t>联动的</w:t>
      </w:r>
      <w:r>
        <w:rPr>
          <w:rFonts w:hint="eastAsia" w:ascii="仿宋_GB2312" w:hAnsi="仿宋_GB2312" w:eastAsia="仿宋_GB2312" w:cs="仿宋_GB2312"/>
          <w:color w:val="auto"/>
          <w:sz w:val="32"/>
          <w:szCs w:val="32"/>
        </w:rPr>
        <w:t>产业协同体系</w:t>
      </w:r>
      <w:r>
        <w:rPr>
          <w:rFonts w:hint="eastAsia" w:ascii="仿宋_GB2312" w:hAnsi="仿宋_GB2312" w:eastAsia="仿宋_GB2312" w:cs="仿宋_GB2312"/>
          <w:color w:val="auto"/>
        </w:rPr>
        <w:t>，助推深圳中轴崛起为先进制造业脊梁。</w:t>
      </w:r>
    </w:p>
    <w:bookmarkEnd w:id="395"/>
    <w:bookmarkEnd w:id="396"/>
    <w:p>
      <w:pPr>
        <w:pStyle w:val="3"/>
        <w:rPr>
          <w:rFonts w:hint="eastAsia"/>
          <w:color w:val="auto"/>
          <w:highlight w:val="yellow"/>
        </w:rPr>
      </w:pPr>
      <w:bookmarkStart w:id="397" w:name="_Toc25018"/>
      <w:bookmarkStart w:id="398" w:name="_Toc27442"/>
      <w:bookmarkStart w:id="399" w:name="_Toc3040"/>
      <w:bookmarkStart w:id="400" w:name="_Toc25762"/>
      <w:bookmarkStart w:id="401" w:name="_Toc3560"/>
      <w:bookmarkStart w:id="402" w:name="_Toc16424"/>
      <w:bookmarkStart w:id="403" w:name="_Toc3218"/>
      <w:bookmarkStart w:id="404" w:name="_Toc12468"/>
      <w:bookmarkStart w:id="405" w:name="_Toc16407"/>
      <w:bookmarkStart w:id="406" w:name="_Toc26481"/>
      <w:r>
        <w:rPr>
          <w:rFonts w:hint="eastAsia"/>
          <w:color w:val="auto"/>
        </w:rPr>
        <w:t>（二）</w:t>
      </w:r>
      <w:r>
        <w:rPr>
          <w:color w:val="auto"/>
        </w:rPr>
        <w:t>建设</w:t>
      </w:r>
      <w:r>
        <w:rPr>
          <w:rFonts w:hint="eastAsia"/>
          <w:color w:val="auto"/>
        </w:rPr>
        <w:t>芯端软</w:t>
      </w:r>
      <w:bookmarkEnd w:id="397"/>
      <w:bookmarkEnd w:id="398"/>
      <w:r>
        <w:rPr>
          <w:rFonts w:hint="eastAsia"/>
          <w:color w:val="auto"/>
        </w:rPr>
        <w:t>三大集聚区</w:t>
      </w:r>
      <w:bookmarkEnd w:id="399"/>
      <w:bookmarkEnd w:id="400"/>
      <w:bookmarkEnd w:id="401"/>
      <w:bookmarkEnd w:id="402"/>
      <w:bookmarkEnd w:id="403"/>
      <w:bookmarkEnd w:id="404"/>
      <w:bookmarkEnd w:id="405"/>
      <w:bookmarkEnd w:id="406"/>
    </w:p>
    <w:p>
      <w:pPr>
        <w:rPr>
          <w:rFonts w:hint="eastAsia" w:ascii="仿宋_GB2312" w:hAnsi="仿宋_GB2312" w:eastAsia="仿宋_GB2312" w:cs="仿宋_GB2312"/>
          <w:color w:val="auto"/>
        </w:rPr>
      </w:pPr>
      <w:r>
        <w:rPr>
          <w:rFonts w:hint="eastAsia" w:ascii="仿宋_GB2312" w:hAnsi="仿宋_GB2312" w:eastAsia="仿宋_GB2312" w:cs="仿宋_GB2312"/>
          <w:b/>
          <w:bCs/>
          <w:color w:val="auto"/>
        </w:rPr>
        <w:t>1.世界级半导体产业</w:t>
      </w:r>
      <w:r>
        <w:rPr>
          <w:rFonts w:hint="eastAsia" w:ascii="仿宋_GB2312" w:hAnsi="仿宋_GB2312" w:eastAsia="仿宋_GB2312" w:cs="仿宋_GB2312"/>
          <w:b/>
          <w:bCs/>
          <w:color w:val="auto"/>
          <w:lang w:val="en-US" w:eastAsia="zh-CN"/>
        </w:rPr>
        <w:t>科技</w:t>
      </w:r>
      <w:r>
        <w:rPr>
          <w:rFonts w:hint="eastAsia" w:ascii="仿宋_GB2312" w:hAnsi="仿宋_GB2312" w:eastAsia="仿宋_GB2312" w:cs="仿宋_GB2312"/>
          <w:b/>
          <w:bCs/>
          <w:color w:val="auto"/>
        </w:rPr>
        <w:t>中心</w:t>
      </w:r>
      <w:r>
        <w:rPr>
          <w:rFonts w:hint="eastAsia" w:ascii="仿宋_GB2312" w:hAnsi="仿宋_GB2312" w:eastAsia="仿宋_GB2312" w:cs="仿宋_GB2312"/>
          <w:color w:val="auto"/>
        </w:rPr>
        <w:t>。以龙华中心区、鹭湖中心城为核心承载区，联动平湖中心、罗山片区，</w:t>
      </w:r>
      <w:r>
        <w:rPr>
          <w:rFonts w:hint="eastAsia" w:ascii="仿宋_GB2312" w:hAnsi="仿宋_GB2312" w:eastAsia="仿宋_GB2312" w:cs="仿宋_GB2312"/>
          <w:color w:val="auto"/>
          <w:lang w:val="en-US" w:eastAsia="zh-CN"/>
        </w:rPr>
        <w:t>主攻</w:t>
      </w:r>
      <w:r>
        <w:rPr>
          <w:rFonts w:hint="eastAsia" w:ascii="仿宋_GB2312" w:hAnsi="仿宋_GB2312" w:eastAsia="仿宋_GB2312" w:cs="仿宋_GB2312"/>
          <w:color w:val="auto"/>
        </w:rPr>
        <w:t>特色工艺芯片设计、半导体设备、先进封装测试和第三代半导体四大核心赛道，推动技术差异化突破与产业链垂直整合，打造成为全国半导体与集成电路产业链供应链重要战略支点。</w:t>
      </w:r>
      <w:r>
        <w:rPr>
          <w:rFonts w:hint="eastAsia" w:ascii="仿宋_GB2312" w:hAnsi="仿宋_GB2312" w:eastAsia="仿宋_GB2312" w:cs="仿宋_GB2312"/>
          <w:color w:val="auto"/>
          <w:lang w:val="en-US" w:eastAsia="zh-CN"/>
        </w:rPr>
        <w:t>依托龙头</w:t>
      </w:r>
      <w:r>
        <w:rPr>
          <w:rFonts w:hint="eastAsia" w:ascii="仿宋_GB2312" w:hAnsi="仿宋_GB2312" w:eastAsia="仿宋_GB2312" w:cs="仿宋_GB2312"/>
          <w:color w:val="auto"/>
        </w:rPr>
        <w:t>企业</w:t>
      </w:r>
      <w:r>
        <w:rPr>
          <w:rFonts w:hint="eastAsia" w:ascii="仿宋_GB2312" w:hAnsi="仿宋_GB2312" w:eastAsia="仿宋_GB2312" w:cs="仿宋_GB2312"/>
          <w:color w:val="auto"/>
          <w:lang w:val="en-US" w:eastAsia="zh-CN"/>
        </w:rPr>
        <w:t>引领</w:t>
      </w:r>
      <w:r>
        <w:rPr>
          <w:rFonts w:hint="eastAsia" w:ascii="仿宋_GB2312" w:hAnsi="仿宋_GB2312" w:eastAsia="仿宋_GB2312" w:cs="仿宋_GB2312"/>
          <w:color w:val="auto"/>
        </w:rPr>
        <w:t>带动，</w:t>
      </w:r>
      <w:r>
        <w:rPr>
          <w:rFonts w:hint="eastAsia" w:ascii="仿宋_GB2312" w:hAnsi="仿宋_GB2312" w:eastAsia="仿宋_GB2312" w:cs="仿宋_GB2312"/>
          <w:color w:val="auto"/>
          <w:lang w:val="en-US" w:eastAsia="zh-CN"/>
        </w:rPr>
        <w:t>沿</w:t>
      </w:r>
      <w:r>
        <w:rPr>
          <w:rFonts w:hint="eastAsia" w:ascii="仿宋_GB2312" w:hAnsi="仿宋_GB2312" w:eastAsia="仿宋_GB2312" w:cs="仿宋_GB2312"/>
          <w:color w:val="auto"/>
        </w:rPr>
        <w:t>产业链上下游精准引育一批创新型企业，提升产业集群竞争力。联合电子科技大学（深圳）高等研究院等高校院所，建设半导体研发实验室、转化中心、概念验证等创新平台，</w:t>
      </w:r>
      <w:r>
        <w:rPr>
          <w:rFonts w:hint="eastAsia" w:ascii="仿宋_GB2312" w:hAnsi="仿宋_GB2312" w:eastAsia="仿宋_GB2312" w:cs="仿宋_GB2312"/>
          <w:color w:val="auto"/>
          <w:lang w:val="en-US" w:eastAsia="zh-CN"/>
        </w:rPr>
        <w:t>聚力</w:t>
      </w:r>
      <w:r>
        <w:rPr>
          <w:rFonts w:hint="eastAsia" w:ascii="仿宋_GB2312" w:hAnsi="仿宋_GB2312" w:eastAsia="仿宋_GB2312" w:cs="仿宋_GB2312"/>
          <w:color w:val="auto"/>
        </w:rPr>
        <w:t>关键核心技术攻关，</w:t>
      </w:r>
      <w:r>
        <w:rPr>
          <w:rFonts w:hint="eastAsia" w:ascii="仿宋_GB2312" w:hAnsi="仿宋_GB2312" w:eastAsia="仿宋_GB2312" w:cs="仿宋_GB2312"/>
          <w:color w:val="auto"/>
          <w:kern w:val="24"/>
        </w:rPr>
        <w:t>支持电子科技大学（深圳）高等研究院牵头建设集成电路测试产业园，</w:t>
      </w:r>
      <w:r>
        <w:rPr>
          <w:rFonts w:hint="eastAsia" w:ascii="仿宋_GB2312" w:hAnsi="仿宋_GB2312" w:eastAsia="仿宋_GB2312" w:cs="仿宋_GB2312"/>
          <w:color w:val="auto"/>
        </w:rPr>
        <w:t>打通“基础研究—技术开发—成果转化—产业应用”全链条，</w:t>
      </w:r>
      <w:r>
        <w:rPr>
          <w:rFonts w:hint="eastAsia" w:ascii="仿宋_GB2312" w:hAnsi="仿宋_GB2312" w:eastAsia="仿宋_GB2312" w:cs="仿宋_GB2312"/>
          <w:color w:val="auto"/>
          <w:lang w:val="en-US" w:eastAsia="zh-CN"/>
        </w:rPr>
        <w:t>构建</w:t>
      </w:r>
      <w:r>
        <w:rPr>
          <w:rFonts w:hint="eastAsia" w:ascii="仿宋_GB2312" w:hAnsi="仿宋_GB2312" w:eastAsia="仿宋_GB2312" w:cs="仿宋_GB2312"/>
          <w:color w:val="auto"/>
        </w:rPr>
        <w:t>自主创新</w:t>
      </w:r>
      <w:r>
        <w:rPr>
          <w:rFonts w:hint="eastAsia" w:ascii="仿宋_GB2312" w:hAnsi="仿宋_GB2312" w:eastAsia="仿宋_GB2312" w:cs="仿宋_GB2312"/>
          <w:color w:val="auto"/>
          <w:lang w:val="en-US" w:eastAsia="zh-CN"/>
        </w:rPr>
        <w:t>高地</w:t>
      </w:r>
      <w:r>
        <w:rPr>
          <w:rFonts w:hint="eastAsia" w:ascii="仿宋_GB2312" w:hAnsi="仿宋_GB2312" w:eastAsia="仿宋_GB2312" w:cs="仿宋_GB2312"/>
          <w:color w:val="auto"/>
        </w:rPr>
        <w:t>。</w:t>
      </w:r>
    </w:p>
    <w:p>
      <w:pPr>
        <w:widowControl/>
        <w:rPr>
          <w:rFonts w:hint="eastAsia" w:ascii="仿宋_GB2312" w:hAnsi="仿宋_GB2312" w:eastAsia="仿宋_GB2312" w:cs="仿宋_GB2312"/>
          <w:color w:val="auto"/>
        </w:rPr>
      </w:pPr>
      <w:r>
        <w:rPr>
          <w:rFonts w:hint="eastAsia" w:ascii="仿宋_GB2312" w:hAnsi="仿宋_GB2312" w:eastAsia="仿宋_GB2312" w:cs="仿宋_GB2312"/>
          <w:b/>
          <w:bCs/>
          <w:color w:val="auto"/>
        </w:rPr>
        <w:t>2.未来终端科技城</w:t>
      </w:r>
      <w:r>
        <w:rPr>
          <w:rFonts w:hint="eastAsia" w:ascii="仿宋_GB2312" w:hAnsi="仿宋_GB2312" w:eastAsia="仿宋_GB2312" w:cs="仿宋_GB2312"/>
          <w:color w:val="auto"/>
        </w:rPr>
        <w:t>。依托清湖</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大浪先进制造业园区，聚焦人工智能手机和电脑、智能机器人、智能家居、智能穿戴等新一代智能终端</w:t>
      </w:r>
      <w:r>
        <w:rPr>
          <w:rFonts w:hint="eastAsia" w:ascii="仿宋_GB2312" w:hAnsi="仿宋_GB2312" w:eastAsia="仿宋_GB2312" w:cs="仿宋_GB2312"/>
          <w:color w:val="auto"/>
          <w:lang w:val="en-US" w:eastAsia="zh-CN"/>
        </w:rPr>
        <w:t>产品</w:t>
      </w:r>
      <w:r>
        <w:rPr>
          <w:rFonts w:hint="eastAsia" w:ascii="仿宋_GB2312" w:hAnsi="仿宋_GB2312" w:eastAsia="仿宋_GB2312" w:cs="仿宋_GB2312"/>
          <w:color w:val="auto"/>
        </w:rPr>
        <w:t>，</w:t>
      </w:r>
      <w:r>
        <w:rPr>
          <w:rFonts w:hint="eastAsia" w:ascii="仿宋_GB2312" w:hAnsi="仿宋_GB2312" w:eastAsia="仿宋_GB2312" w:cs="仿宋_GB2312"/>
          <w:color w:val="auto"/>
          <w:sz w:val="32"/>
          <w:szCs w:val="32"/>
        </w:rPr>
        <w:t>构建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核心芯片—关键器件—整机制造—场景应用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垂直整合的自主可控产业链</w:t>
      </w:r>
      <w:r>
        <w:rPr>
          <w:rFonts w:hint="eastAsia" w:ascii="仿宋_GB2312" w:hAnsi="仿宋_GB2312" w:eastAsia="仿宋_GB2312" w:cs="仿宋_GB2312"/>
          <w:color w:val="auto"/>
        </w:rPr>
        <w:t>。进一步强化智能终端领域的高端制造能力，拓展新一代产品制造业务。</w:t>
      </w:r>
      <w:r>
        <w:rPr>
          <w:rFonts w:hint="eastAsia" w:ascii="仿宋_GB2312" w:hAnsi="仿宋_GB2312" w:eastAsia="仿宋_GB2312" w:cs="仿宋_GB2312"/>
          <w:color w:val="auto"/>
          <w:lang w:val="en-US" w:eastAsia="zh-CN"/>
        </w:rPr>
        <w:t>支持龙头企业</w:t>
      </w:r>
      <w:r>
        <w:rPr>
          <w:rFonts w:hint="eastAsia" w:ascii="仿宋_GB2312" w:hAnsi="仿宋_GB2312" w:eastAsia="仿宋_GB2312" w:cs="仿宋_GB2312"/>
          <w:color w:val="auto"/>
        </w:rPr>
        <w:t>建设新一代智能终端研发总部，搭建开放共享的公共技术平台，布局规模化、柔性化生产基地。</w:t>
      </w:r>
      <w:r>
        <w:rPr>
          <w:rFonts w:hint="eastAsia" w:ascii="仿宋_GB2312" w:hAnsi="仿宋_GB2312" w:eastAsia="仿宋_GB2312" w:cs="仿宋_GB2312"/>
          <w:color w:val="auto"/>
          <w:sz w:val="32"/>
          <w:szCs w:val="32"/>
        </w:rPr>
        <w:t>深耕鸿蒙生态，大力培育基于鸿蒙的全场景智能终端产品矩阵，</w:t>
      </w:r>
      <w:r>
        <w:rPr>
          <w:rFonts w:hint="eastAsia" w:ascii="仿宋_GB2312" w:hAnsi="仿宋_GB2312" w:eastAsia="仿宋_GB2312" w:cs="仿宋_GB2312"/>
          <w:color w:val="auto"/>
        </w:rPr>
        <w:t>建设鸿蒙生态加速器、产品中试与认证基地、全场景应用示范区等关键载体，吸引鸿蒙</w:t>
      </w:r>
      <w:r>
        <w:rPr>
          <w:rFonts w:hint="eastAsia" w:ascii="仿宋_GB2312" w:hAnsi="仿宋_GB2312" w:eastAsia="仿宋_GB2312" w:cs="仿宋_GB2312"/>
          <w:color w:val="auto"/>
          <w:lang w:val="en-US" w:eastAsia="zh-CN"/>
        </w:rPr>
        <w:t>软硬件</w:t>
      </w:r>
      <w:r>
        <w:rPr>
          <w:rFonts w:hint="eastAsia" w:ascii="仿宋_GB2312" w:hAnsi="仿宋_GB2312" w:eastAsia="仿宋_GB2312" w:cs="仿宋_GB2312"/>
          <w:color w:val="auto"/>
        </w:rPr>
        <w:t>优质企业集聚，</w:t>
      </w:r>
      <w:r>
        <w:rPr>
          <w:rFonts w:hint="eastAsia" w:ascii="仿宋_GB2312" w:hAnsi="仿宋_GB2312" w:eastAsia="仿宋_GB2312" w:cs="仿宋_GB2312"/>
          <w:color w:val="auto"/>
          <w:sz w:val="32"/>
          <w:szCs w:val="32"/>
        </w:rPr>
        <w:t>打造自主可控终端创新先导区。</w:t>
      </w:r>
    </w:p>
    <w:p>
      <w:pPr>
        <w:rPr>
          <w:rFonts w:hint="eastAsia" w:ascii="仿宋_GB2312" w:hAnsi="仿宋_GB2312" w:eastAsia="仿宋_GB2312" w:cs="仿宋_GB2312"/>
          <w:color w:val="auto"/>
        </w:rPr>
      </w:pPr>
      <w:r>
        <w:rPr>
          <w:rFonts w:hint="eastAsia" w:ascii="仿宋_GB2312" w:hAnsi="仿宋_GB2312" w:eastAsia="仿宋_GB2312" w:cs="仿宋_GB2312"/>
          <w:b/>
          <w:bCs/>
          <w:color w:val="auto"/>
        </w:rPr>
        <w:t>3.软件</w:t>
      </w:r>
      <w:r>
        <w:rPr>
          <w:rFonts w:hint="eastAsia" w:ascii="仿宋_GB2312" w:hAnsi="仿宋_GB2312" w:eastAsia="仿宋_GB2312" w:cs="仿宋_GB2312"/>
          <w:b/>
          <w:bCs/>
          <w:color w:val="auto"/>
          <w:lang w:val="en-US" w:eastAsia="zh-CN"/>
        </w:rPr>
        <w:t>与</w:t>
      </w:r>
      <w:r>
        <w:rPr>
          <w:rFonts w:hint="eastAsia" w:ascii="仿宋_GB2312" w:hAnsi="仿宋_GB2312" w:eastAsia="仿宋_GB2312" w:cs="仿宋_GB2312"/>
          <w:b/>
          <w:bCs/>
          <w:color w:val="auto"/>
        </w:rPr>
        <w:t>人工智能产业基地。</w:t>
      </w:r>
      <w:r>
        <w:rPr>
          <w:rFonts w:hint="eastAsia" w:ascii="仿宋_GB2312" w:hAnsi="仿宋_GB2312" w:eastAsia="仿宋_GB2312" w:cs="仿宋_GB2312"/>
          <w:sz w:val="32"/>
          <w:szCs w:val="32"/>
          <w:highlight w:val="none"/>
        </w:rPr>
        <w:t>以</w:t>
      </w:r>
      <w:r>
        <w:rPr>
          <w:rFonts w:hint="eastAsia" w:ascii="仿宋_GB2312" w:hAnsi="仿宋_GB2312" w:eastAsia="仿宋_GB2312" w:cs="仿宋_GB2312"/>
          <w:sz w:val="32"/>
          <w:szCs w:val="32"/>
          <w:highlight w:val="none"/>
          <w:lang w:eastAsia="zh-CN"/>
        </w:rPr>
        <w:t>深圳北</w:t>
      </w:r>
      <w:r>
        <w:rPr>
          <w:rFonts w:hint="eastAsia" w:ascii="仿宋_GB2312" w:hAnsi="仿宋_GB2312" w:eastAsia="仿宋_GB2312" w:cs="仿宋_GB2312"/>
          <w:sz w:val="32"/>
          <w:szCs w:val="32"/>
          <w:highlight w:val="none"/>
        </w:rPr>
        <w:t>枢纽片区、梅林关片区为核心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布局多层次的综合软件名园、特色软件名园矩阵，</w:t>
      </w:r>
      <w:r>
        <w:rPr>
          <w:rFonts w:hint="eastAsia" w:ascii="仿宋_GB2312" w:hAnsi="仿宋_GB2312" w:eastAsia="仿宋_GB2312" w:cs="仿宋_GB2312"/>
          <w:sz w:val="32"/>
          <w:szCs w:val="32"/>
          <w:highlight w:val="none"/>
          <w:lang w:val="en-US" w:eastAsia="zh-CN"/>
        </w:rPr>
        <w:t>建设</w:t>
      </w:r>
      <w:r>
        <w:rPr>
          <w:rFonts w:hint="eastAsia" w:ascii="仿宋_GB2312" w:hAnsi="仿宋_GB2312" w:eastAsia="仿宋_GB2312" w:cs="仿宋_GB2312"/>
          <w:sz w:val="32"/>
          <w:szCs w:val="32"/>
          <w:highlight w:val="none"/>
          <w:lang w:eastAsia="zh-CN"/>
        </w:rPr>
        <w:t>新兴软件与</w:t>
      </w:r>
      <w:r>
        <w:rPr>
          <w:rFonts w:hint="eastAsia" w:ascii="仿宋_GB2312" w:hAnsi="仿宋_GB2312" w:eastAsia="仿宋_GB2312" w:cs="仿宋_GB2312"/>
          <w:sz w:val="32"/>
          <w:szCs w:val="32"/>
          <w:highlight w:val="none"/>
          <w:lang w:val="en-US" w:eastAsia="zh-CN"/>
        </w:rPr>
        <w:t>人工智能</w:t>
      </w:r>
      <w:r>
        <w:rPr>
          <w:rFonts w:hint="eastAsia" w:ascii="仿宋_GB2312" w:hAnsi="仿宋_GB2312" w:eastAsia="仿宋_GB2312" w:cs="仿宋_GB2312"/>
          <w:sz w:val="32"/>
          <w:szCs w:val="32"/>
          <w:highlight w:val="none"/>
          <w:lang w:eastAsia="zh-CN"/>
        </w:rPr>
        <w:t>产业承载区</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b w:val="0"/>
          <w:sz w:val="32"/>
          <w:szCs w:val="32"/>
          <w:highlight w:val="none"/>
        </w:rPr>
        <w:t>高水平建设深圳北</w:t>
      </w:r>
      <w:r>
        <w:rPr>
          <w:rFonts w:hint="eastAsia" w:ascii="仿宋_GB2312" w:hAnsi="仿宋_GB2312" w:eastAsia="仿宋_GB2312" w:cs="仿宋_GB2312"/>
          <w:b w:val="0"/>
          <w:sz w:val="32"/>
          <w:szCs w:val="32"/>
          <w:highlight w:val="none"/>
          <w:lang w:val="en-US" w:eastAsia="zh-CN"/>
        </w:rPr>
        <w:t>综合</w:t>
      </w:r>
      <w:r>
        <w:rPr>
          <w:rFonts w:hint="eastAsia" w:ascii="仿宋_GB2312" w:hAnsi="仿宋_GB2312" w:eastAsia="仿宋_GB2312" w:cs="仿宋_GB2312"/>
          <w:b w:val="0"/>
          <w:sz w:val="32"/>
          <w:szCs w:val="32"/>
          <w:highlight w:val="none"/>
        </w:rPr>
        <w:t>软件</w:t>
      </w:r>
      <w:r>
        <w:rPr>
          <w:rFonts w:hint="eastAsia" w:ascii="仿宋_GB2312" w:hAnsi="仿宋_GB2312" w:eastAsia="仿宋_GB2312" w:cs="仿宋_GB2312"/>
          <w:b w:val="0"/>
          <w:sz w:val="32"/>
          <w:szCs w:val="32"/>
          <w:highlight w:val="none"/>
          <w:lang w:val="en-US" w:eastAsia="zh-CN"/>
        </w:rPr>
        <w:t>名园</w:t>
      </w:r>
      <w:r>
        <w:rPr>
          <w:rFonts w:hint="eastAsia" w:ascii="仿宋_GB2312" w:hAnsi="仿宋_GB2312" w:eastAsia="仿宋_GB2312" w:cs="仿宋_GB2312"/>
          <w:b w:val="0"/>
          <w:sz w:val="32"/>
          <w:szCs w:val="32"/>
          <w:highlight w:val="none"/>
          <w:lang w:eastAsia="zh-CN"/>
        </w:rPr>
        <w:t>，</w:t>
      </w:r>
      <w:r>
        <w:rPr>
          <w:rFonts w:hint="eastAsia" w:ascii="仿宋_GB2312" w:hAnsi="仿宋_GB2312" w:eastAsia="仿宋_GB2312" w:cs="仿宋_GB2312"/>
          <w:bCs w:val="0"/>
          <w:sz w:val="32"/>
          <w:szCs w:val="32"/>
          <w:highlight w:val="none"/>
        </w:rPr>
        <w:t>以北站汇德、汇隆、数创中心、北站壹号、红山6979为启动区，</w:t>
      </w:r>
      <w:r>
        <w:rPr>
          <w:rFonts w:hint="eastAsia" w:ascii="仿宋_GB2312" w:hAnsi="仿宋_GB2312" w:eastAsia="仿宋_GB2312" w:cs="仿宋_GB2312"/>
          <w:b w:val="0"/>
          <w:bCs w:val="0"/>
          <w:sz w:val="32"/>
          <w:szCs w:val="32"/>
          <w:highlight w:val="none"/>
        </w:rPr>
        <w:t>重点集聚平台软件头部企业，</w:t>
      </w:r>
      <w:r>
        <w:rPr>
          <w:rFonts w:hint="eastAsia" w:ascii="仿宋_GB2312" w:hAnsi="仿宋_GB2312" w:eastAsia="仿宋_GB2312" w:cs="仿宋_GB2312"/>
          <w:b w:val="0"/>
          <w:bCs w:val="0"/>
          <w:sz w:val="32"/>
          <w:szCs w:val="32"/>
          <w:highlight w:val="none"/>
          <w:lang w:val="en-US" w:eastAsia="zh-CN"/>
        </w:rPr>
        <w:t>以及</w:t>
      </w:r>
      <w:r>
        <w:rPr>
          <w:rFonts w:hint="eastAsia" w:ascii="仿宋_GB2312" w:hAnsi="仿宋_GB2312" w:eastAsia="仿宋_GB2312" w:cs="仿宋_GB2312"/>
          <w:b w:val="0"/>
          <w:bCs w:val="0"/>
          <w:sz w:val="32"/>
          <w:szCs w:val="32"/>
          <w:highlight w:val="none"/>
        </w:rPr>
        <w:t>人工智能</w:t>
      </w:r>
      <w:r>
        <w:rPr>
          <w:rFonts w:hint="eastAsia" w:ascii="仿宋_GB2312" w:hAnsi="仿宋_GB2312" w:eastAsia="仿宋_GB2312" w:cs="仿宋_GB2312"/>
          <w:b w:val="0"/>
          <w:bCs w:val="0"/>
          <w:sz w:val="32"/>
          <w:szCs w:val="32"/>
          <w:highlight w:val="none"/>
          <w:lang w:val="en-US" w:eastAsia="zh-CN"/>
        </w:rPr>
        <w:t>算法</w:t>
      </w: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val="en-US" w:eastAsia="zh-CN"/>
        </w:rPr>
        <w:t>集成电路设计</w:t>
      </w:r>
      <w:r>
        <w:rPr>
          <w:rFonts w:hint="eastAsia" w:ascii="仿宋_GB2312" w:hAnsi="仿宋_GB2312" w:eastAsia="仿宋_GB2312" w:cs="仿宋_GB2312"/>
          <w:b w:val="0"/>
          <w:bCs w:val="0"/>
          <w:sz w:val="32"/>
          <w:szCs w:val="32"/>
          <w:highlight w:val="none"/>
        </w:rPr>
        <w:t>等</w:t>
      </w:r>
      <w:r>
        <w:rPr>
          <w:rFonts w:hint="eastAsia" w:ascii="仿宋_GB2312" w:hAnsi="仿宋_GB2312" w:eastAsia="仿宋_GB2312" w:cs="仿宋_GB2312"/>
          <w:b w:val="0"/>
          <w:bCs w:val="0"/>
          <w:sz w:val="32"/>
          <w:szCs w:val="32"/>
          <w:highlight w:val="none"/>
          <w:lang w:val="en-US" w:eastAsia="zh-CN"/>
        </w:rPr>
        <w:t>领域</w:t>
      </w:r>
      <w:r>
        <w:rPr>
          <w:rFonts w:hint="eastAsia" w:ascii="仿宋_GB2312" w:hAnsi="仿宋_GB2312" w:eastAsia="仿宋_GB2312" w:cs="仿宋_GB2312"/>
          <w:b w:val="0"/>
          <w:bCs w:val="0"/>
          <w:sz w:val="32"/>
          <w:szCs w:val="32"/>
          <w:highlight w:val="none"/>
        </w:rPr>
        <w:t>新兴</w:t>
      </w:r>
      <w:r>
        <w:rPr>
          <w:rFonts w:hint="eastAsia" w:ascii="仿宋_GB2312" w:hAnsi="仿宋_GB2312" w:eastAsia="仿宋_GB2312" w:cs="仿宋_GB2312"/>
          <w:b w:val="0"/>
          <w:bCs w:val="0"/>
          <w:sz w:val="32"/>
          <w:szCs w:val="32"/>
          <w:highlight w:val="none"/>
          <w:lang w:val="en-US" w:eastAsia="zh-CN"/>
        </w:rPr>
        <w:t>软件企业</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推动建设一批</w:t>
      </w:r>
      <w:r>
        <w:rPr>
          <w:rFonts w:hint="eastAsia" w:ascii="仿宋_GB2312" w:hAnsi="仿宋_GB2312" w:eastAsia="仿宋_GB2312" w:cs="仿宋_GB2312"/>
          <w:sz w:val="32"/>
          <w:szCs w:val="32"/>
          <w:highlight w:val="none"/>
        </w:rPr>
        <w:t>特色</w:t>
      </w:r>
      <w:r>
        <w:rPr>
          <w:rFonts w:hint="eastAsia" w:ascii="仿宋_GB2312" w:hAnsi="仿宋_GB2312" w:eastAsia="仿宋_GB2312" w:cs="仿宋_GB2312"/>
          <w:b w:val="0"/>
          <w:bCs w:val="0"/>
          <w:sz w:val="32"/>
          <w:szCs w:val="32"/>
          <w:highlight w:val="none"/>
          <w:lang w:val="en-US" w:eastAsia="zh-CN"/>
        </w:rPr>
        <w:t>软件名园，以</w:t>
      </w:r>
      <w:r>
        <w:rPr>
          <w:rFonts w:hint="eastAsia" w:ascii="仿宋_GB2312" w:hAnsi="仿宋_GB2312" w:eastAsia="仿宋_GB2312" w:cs="仿宋_GB2312"/>
          <w:bCs w:val="0"/>
          <w:sz w:val="32"/>
          <w:szCs w:val="32"/>
          <w:highlight w:val="none"/>
        </w:rPr>
        <w:t>华南物流园、华南</w:t>
      </w:r>
      <w:r>
        <w:rPr>
          <w:rFonts w:hint="eastAsia" w:ascii="仿宋_GB2312" w:hAnsi="仿宋_GB2312" w:eastAsia="仿宋_GB2312" w:cs="仿宋_GB2312"/>
          <w:bCs w:val="0"/>
          <w:sz w:val="32"/>
          <w:szCs w:val="32"/>
          <w:highlight w:val="none"/>
          <w:lang w:eastAsia="zh-CN"/>
        </w:rPr>
        <w:t>数智</w:t>
      </w:r>
      <w:r>
        <w:rPr>
          <w:rFonts w:hint="eastAsia" w:ascii="仿宋_GB2312" w:hAnsi="仿宋_GB2312" w:eastAsia="仿宋_GB2312" w:cs="仿宋_GB2312"/>
          <w:bCs w:val="0"/>
          <w:sz w:val="32"/>
          <w:szCs w:val="32"/>
          <w:highlight w:val="none"/>
        </w:rPr>
        <w:t>谷、北站超核</w:t>
      </w:r>
      <w:r>
        <w:rPr>
          <w:rFonts w:hint="eastAsia" w:ascii="仿宋_GB2312" w:hAnsi="仿宋_GB2312" w:eastAsia="仿宋_GB2312" w:cs="仿宋_GB2312"/>
          <w:bCs w:val="0"/>
          <w:sz w:val="32"/>
          <w:szCs w:val="32"/>
          <w:highlight w:val="none"/>
          <w:lang w:val="en-US" w:eastAsia="zh-CN"/>
        </w:rPr>
        <w:t>为拓展区，打造</w:t>
      </w:r>
      <w:r>
        <w:rPr>
          <w:rFonts w:hint="eastAsia" w:ascii="仿宋_GB2312" w:hAnsi="仿宋_GB2312" w:eastAsia="仿宋_GB2312" w:cs="仿宋_GB2312"/>
          <w:b w:val="0"/>
          <w:bCs w:val="0"/>
          <w:sz w:val="32"/>
          <w:szCs w:val="32"/>
          <w:highlight w:val="none"/>
        </w:rPr>
        <w:t>“鸿蒙+欧拉”</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工业软件</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云原生</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数据服务</w:t>
      </w:r>
      <w:r>
        <w:rPr>
          <w:rFonts w:hint="eastAsia" w:ascii="仿宋_GB2312" w:hAnsi="仿宋_GB2312" w:eastAsia="仿宋_GB2312" w:cs="仿宋_GB2312"/>
          <w:b w:val="0"/>
          <w:bCs w:val="0"/>
          <w:sz w:val="32"/>
          <w:szCs w:val="32"/>
          <w:highlight w:val="none"/>
          <w:lang w:val="en-US" w:eastAsia="zh-CN"/>
        </w:rPr>
        <w:t>等专业特色园。</w:t>
      </w:r>
      <w:r>
        <w:rPr>
          <w:rFonts w:hint="eastAsia" w:ascii="仿宋_GB2312" w:hAnsi="仿宋_GB2312" w:eastAsia="仿宋_GB2312" w:cs="仿宋_GB2312"/>
          <w:bCs/>
          <w:sz w:val="32"/>
          <w:szCs w:val="32"/>
          <w:lang w:val="en-US" w:eastAsia="zh-CN"/>
        </w:rPr>
        <w:t>加快</w:t>
      </w:r>
      <w:r>
        <w:rPr>
          <w:rFonts w:hint="eastAsia" w:ascii="仿宋_GB2312" w:hAnsi="仿宋_GB2312" w:eastAsia="仿宋_GB2312" w:cs="仿宋_GB2312"/>
          <w:bCs/>
          <w:sz w:val="32"/>
          <w:szCs w:val="32"/>
        </w:rPr>
        <w:t>出台软件名园建设专项规划和扶持政策，支持信创适配中心、工业软件创新中心、算力服务中心等软件领域创新载体优先在软件名园落地，鼓励软件园区承办具有行业影响力的全国性、国际性展会。</w:t>
      </w:r>
    </w:p>
    <w:p>
      <w:pPr>
        <w:pStyle w:val="3"/>
        <w:rPr>
          <w:rFonts w:hint="eastAsia"/>
          <w:color w:val="auto"/>
        </w:rPr>
      </w:pPr>
      <w:bookmarkStart w:id="407" w:name="_Toc25609"/>
      <w:bookmarkStart w:id="408" w:name="_Toc21286"/>
      <w:bookmarkStart w:id="409" w:name="_Toc2068"/>
      <w:bookmarkStart w:id="410" w:name="_Toc17939"/>
      <w:bookmarkStart w:id="411" w:name="_Toc6392"/>
      <w:bookmarkStart w:id="412" w:name="_Toc26808"/>
      <w:bookmarkStart w:id="413" w:name="_Toc9207"/>
      <w:bookmarkStart w:id="414" w:name="_Toc1011"/>
      <w:bookmarkStart w:id="415" w:name="_Toc16197"/>
      <w:bookmarkStart w:id="416" w:name="_Toc23735"/>
      <w:r>
        <w:rPr>
          <w:rFonts w:hint="eastAsia"/>
          <w:color w:val="auto"/>
        </w:rPr>
        <w:t>（三）</w:t>
      </w:r>
      <w:r>
        <w:rPr>
          <w:rFonts w:hint="eastAsia"/>
          <w:color w:val="auto"/>
          <w:lang w:val="en-US" w:eastAsia="zh-CN"/>
        </w:rPr>
        <w:t>打造</w:t>
      </w:r>
      <w:r>
        <w:rPr>
          <w:rFonts w:hint="eastAsia"/>
          <w:color w:val="auto"/>
        </w:rPr>
        <w:t>特色</w:t>
      </w:r>
      <w:r>
        <w:rPr>
          <w:rFonts w:hint="eastAsia"/>
          <w:color w:val="auto"/>
          <w:lang w:val="en-US" w:eastAsia="zh-CN"/>
        </w:rPr>
        <w:t>专业</w:t>
      </w:r>
      <w:r>
        <w:rPr>
          <w:rFonts w:hint="eastAsia"/>
          <w:color w:val="auto"/>
        </w:rPr>
        <w:t>产业园区</w:t>
      </w:r>
      <w:bookmarkEnd w:id="407"/>
      <w:bookmarkEnd w:id="408"/>
      <w:bookmarkEnd w:id="409"/>
      <w:bookmarkEnd w:id="410"/>
      <w:bookmarkEnd w:id="411"/>
      <w:bookmarkEnd w:id="412"/>
      <w:bookmarkEnd w:id="413"/>
      <w:bookmarkEnd w:id="414"/>
      <w:bookmarkEnd w:id="415"/>
      <w:bookmarkEnd w:id="416"/>
    </w:p>
    <w:p>
      <w:pPr>
        <w:widowControl/>
        <w:rPr>
          <w:rFonts w:hint="eastAsia" w:ascii="仿宋_GB2312" w:hAnsi="仿宋_GB2312" w:eastAsia="仿宋_GB2312" w:cs="仿宋_GB2312"/>
          <w:color w:val="auto"/>
        </w:rPr>
      </w:pPr>
      <w:r>
        <w:rPr>
          <w:rFonts w:hint="eastAsia" w:ascii="仿宋_GB2312" w:hAnsi="仿宋_GB2312" w:eastAsia="仿宋_GB2312" w:cs="仿宋_GB2312"/>
          <w:b/>
          <w:bCs/>
          <w:color w:val="auto"/>
        </w:rPr>
        <w:t>1.智能汽车产业园</w:t>
      </w:r>
      <w:r>
        <w:rPr>
          <w:rFonts w:hint="eastAsia" w:ascii="仿宋_GB2312" w:hAnsi="仿宋_GB2312" w:eastAsia="仿宋_GB2312" w:cs="仿宋_GB2312"/>
          <w:color w:val="auto"/>
        </w:rPr>
        <w:t>。依托龙头企业带动作用，沿产业链招引车载传感器、车规级芯片、智能座舱、线控底盘等关键环节企业，</w:t>
      </w:r>
      <w:r>
        <w:rPr>
          <w:rFonts w:hint="eastAsia" w:ascii="仿宋_GB2312" w:hAnsi="仿宋_GB2312" w:eastAsia="仿宋_GB2312" w:cs="仿宋_GB2312"/>
          <w:color w:val="auto"/>
          <w:sz w:val="32"/>
          <w:szCs w:val="32"/>
          <w:shd w:val="clear" w:color="auto" w:fill="auto"/>
        </w:rPr>
        <w:t>发挥</w:t>
      </w:r>
      <w:r>
        <w:rPr>
          <w:rFonts w:hint="eastAsia" w:ascii="仿宋_GB2312" w:hAnsi="仿宋_GB2312" w:eastAsia="仿宋_GB2312" w:cs="仿宋_GB2312"/>
          <w:color w:val="auto"/>
        </w:rPr>
        <w:t>九龙山数字城产业空间优势</w:t>
      </w:r>
      <w:r>
        <w:rPr>
          <w:rFonts w:hint="eastAsia" w:ascii="仿宋_GB2312" w:hAnsi="仿宋_GB2312" w:eastAsia="仿宋_GB2312" w:cs="仿宋_GB2312"/>
          <w:color w:val="auto"/>
          <w:sz w:val="32"/>
          <w:szCs w:val="32"/>
          <w:shd w:val="clear" w:color="auto" w:fill="auto"/>
        </w:rPr>
        <w:t>，定制化建设高标准</w:t>
      </w:r>
      <w:r>
        <w:rPr>
          <w:rFonts w:hint="eastAsia" w:ascii="仿宋_GB2312" w:hAnsi="仿宋_GB2312" w:eastAsia="仿宋_GB2312" w:cs="仿宋_GB2312"/>
          <w:color w:val="auto"/>
          <w:sz w:val="32"/>
          <w:szCs w:val="32"/>
          <w:shd w:val="clear" w:color="auto" w:fill="auto"/>
          <w:lang w:val="en-US" w:eastAsia="zh-CN"/>
        </w:rPr>
        <w:t>工业</w:t>
      </w:r>
      <w:r>
        <w:rPr>
          <w:rFonts w:hint="eastAsia" w:ascii="仿宋_GB2312" w:hAnsi="仿宋_GB2312" w:eastAsia="仿宋_GB2312" w:cs="仿宋_GB2312"/>
          <w:color w:val="auto"/>
          <w:sz w:val="32"/>
          <w:szCs w:val="32"/>
          <w:shd w:val="clear" w:color="auto" w:fill="auto"/>
        </w:rPr>
        <w:t>厂房及研发办公载体，加速完善产业生态。</w:t>
      </w:r>
      <w:r>
        <w:rPr>
          <w:rFonts w:hint="eastAsia" w:ascii="仿宋_GB2312" w:hAnsi="仿宋_GB2312" w:eastAsia="仿宋_GB2312" w:cs="仿宋_GB2312"/>
          <w:b w:val="0"/>
          <w:bCs w:val="0"/>
          <w:i w:val="0"/>
          <w:iCs w:val="0"/>
          <w:caps w:val="0"/>
          <w:color w:val="auto"/>
          <w:spacing w:val="0"/>
          <w:kern w:val="0"/>
          <w:sz w:val="32"/>
          <w:szCs w:val="32"/>
          <w:highlight w:val="none"/>
          <w:u w:val="none" w:color="auto"/>
          <w:lang w:val="en-US" w:eastAsia="zh-CN" w:bidi="ar-SA"/>
        </w:rPr>
        <w:t>盘活释放观澜片区相关企业用地及汽车整车制造资质价值</w:t>
      </w:r>
      <w:r>
        <w:rPr>
          <w:rFonts w:hint="eastAsia" w:ascii="仿宋_GB2312" w:hAnsi="仿宋_GB2312" w:eastAsia="仿宋_GB2312" w:cs="仿宋_GB2312"/>
          <w:b w:val="0"/>
          <w:bCs w:val="0"/>
          <w:i w:val="0"/>
          <w:iCs w:val="0"/>
          <w:caps w:val="0"/>
          <w:color w:val="auto"/>
          <w:spacing w:val="0"/>
          <w:kern w:val="0"/>
          <w:sz w:val="32"/>
          <w:szCs w:val="32"/>
          <w:u w:val="none"/>
          <w:lang w:val="en-US" w:eastAsia="zh-CN" w:bidi="ar-SA"/>
        </w:rPr>
        <w:t>。</w:t>
      </w:r>
      <w:r>
        <w:rPr>
          <w:rFonts w:hint="eastAsia" w:ascii="仿宋_GB2312" w:hAnsi="仿宋_GB2312" w:eastAsia="仿宋_GB2312" w:cs="仿宋_GB2312"/>
          <w:color w:val="auto"/>
        </w:rPr>
        <w:t>积极联动高校共建重点实验室、技术创新中心等，配套建设自动驾驶测试、车网互动等应用场景，</w:t>
      </w:r>
      <w:r>
        <w:rPr>
          <w:rFonts w:hint="eastAsia" w:ascii="仿宋_GB2312" w:hAnsi="仿宋_GB2312" w:eastAsia="仿宋_GB2312" w:cs="仿宋_GB2312"/>
          <w:color w:val="auto"/>
          <w:sz w:val="32"/>
          <w:szCs w:val="32"/>
        </w:rPr>
        <w:t>通过龙头带动、创新驱动与场景赋能，全力打造</w:t>
      </w:r>
      <w:r>
        <w:rPr>
          <w:rFonts w:hint="eastAsia" w:ascii="仿宋_GB2312" w:hAnsi="仿宋_GB2312" w:eastAsia="仿宋_GB2312" w:cs="仿宋_GB2312"/>
          <w:color w:val="auto"/>
        </w:rPr>
        <w:t>智能网联汽车产业发展新标杆。</w:t>
      </w:r>
    </w:p>
    <w:p>
      <w:pPr>
        <w:widowControl/>
        <w:jc w:val="left"/>
        <w:rPr>
          <w:rFonts w:hint="eastAsia" w:ascii="仿宋_GB2312" w:hAnsi="仿宋_GB2312" w:eastAsia="仿宋_GB2312" w:cs="仿宋_GB2312"/>
          <w:color w:val="auto"/>
        </w:rPr>
      </w:pPr>
      <w:r>
        <w:rPr>
          <w:rFonts w:hint="eastAsia" w:ascii="仿宋_GB2312" w:hAnsi="仿宋_GB2312" w:eastAsia="仿宋_GB2312" w:cs="仿宋_GB2312"/>
          <w:b/>
          <w:bCs/>
          <w:color w:val="auto"/>
        </w:rPr>
        <w:t>2.</w:t>
      </w:r>
      <w:r>
        <w:rPr>
          <w:rFonts w:hint="eastAsia" w:ascii="仿宋_GB2312" w:hAnsi="仿宋_GB2312" w:eastAsia="仿宋_GB2312" w:cs="仿宋_GB2312"/>
          <w:b/>
          <w:bCs/>
          <w:color w:val="auto"/>
          <w:lang w:val="en-US" w:eastAsia="zh-CN"/>
        </w:rPr>
        <w:t>高端</w:t>
      </w:r>
      <w:r>
        <w:rPr>
          <w:rFonts w:hint="eastAsia" w:ascii="仿宋_GB2312" w:hAnsi="仿宋_GB2312" w:eastAsia="仿宋_GB2312" w:cs="仿宋_GB2312"/>
          <w:b/>
          <w:bCs/>
          <w:color w:val="auto"/>
        </w:rPr>
        <w:t>装备产业园</w:t>
      </w:r>
      <w:r>
        <w:rPr>
          <w:rFonts w:hint="eastAsia" w:ascii="仿宋_GB2312" w:hAnsi="仿宋_GB2312" w:eastAsia="仿宋_GB2312" w:cs="仿宋_GB2312"/>
          <w:color w:val="auto"/>
        </w:rPr>
        <w:t>。以龙华区激光产业基地为核心，聚焦激光装备、</w:t>
      </w:r>
      <w:r>
        <w:rPr>
          <w:rFonts w:hint="eastAsia" w:ascii="仿宋_GB2312" w:hAnsi="仿宋_GB2312" w:eastAsia="仿宋_GB2312" w:cs="仿宋_GB2312"/>
          <w:color w:val="auto"/>
          <w:lang w:val="en-US" w:eastAsia="zh-CN"/>
        </w:rPr>
        <w:t>工业母机</w:t>
      </w:r>
      <w:r>
        <w:rPr>
          <w:rFonts w:hint="eastAsia" w:ascii="仿宋_GB2312" w:hAnsi="仿宋_GB2312" w:eastAsia="仿宋_GB2312" w:cs="仿宋_GB2312"/>
          <w:color w:val="auto"/>
        </w:rPr>
        <w:t>等核心领域，引导半导体与集成电路、新能源、智能汽车等领域专用智能装备集聚，重点招引整机装备制造商、核心功能部件供应商及系统集成解决方案商落地，</w:t>
      </w:r>
      <w:r>
        <w:rPr>
          <w:rFonts w:hint="eastAsia" w:ascii="仿宋_GB2312" w:hAnsi="仿宋_GB2312" w:eastAsia="仿宋_GB2312" w:cs="仿宋_GB2312"/>
          <w:color w:val="auto"/>
          <w:lang w:val="en-US" w:eastAsia="zh-CN"/>
        </w:rPr>
        <w:t>布局</w:t>
      </w:r>
      <w:r>
        <w:rPr>
          <w:rFonts w:hint="eastAsia" w:ascii="仿宋_GB2312" w:hAnsi="仿宋_GB2312" w:eastAsia="仿宋_GB2312" w:cs="仿宋_GB2312"/>
          <w:color w:val="auto"/>
        </w:rPr>
        <w:t>建设智能装备公共中试基地和检验检测中心，打造集研发、制造、集成、服务于一体的智能装备产业园区。</w:t>
      </w:r>
    </w:p>
    <w:p>
      <w:pPr>
        <w:widowControl/>
        <w:jc w:val="left"/>
        <w:rPr>
          <w:rFonts w:hint="eastAsia" w:ascii="仿宋_GB2312" w:hAnsi="仿宋_GB2312" w:eastAsia="仿宋_GB2312" w:cs="仿宋_GB2312"/>
          <w:color w:val="auto"/>
        </w:rPr>
      </w:pPr>
      <w:r>
        <w:rPr>
          <w:rFonts w:hint="eastAsia" w:ascii="仿宋_GB2312" w:hAnsi="仿宋_GB2312" w:eastAsia="仿宋_GB2312" w:cs="仿宋_GB2312"/>
          <w:b/>
          <w:bCs/>
          <w:color w:val="auto"/>
        </w:rPr>
        <w:t>3.三维智造产业园区</w:t>
      </w:r>
      <w:r>
        <w:rPr>
          <w:rFonts w:hint="eastAsia" w:ascii="仿宋_GB2312" w:hAnsi="仿宋_GB2312" w:eastAsia="仿宋_GB2312" w:cs="仿宋_GB2312"/>
          <w:color w:val="auto"/>
        </w:rPr>
        <w:t>。聚焦3D打印全产业链布局，重点招引3D打印材料研发生产、设备核心部件制造、数字化设计服务、下游定制化应用开发等领域企业，建设3D打印协同创新中心、共享制造工厂、技术认证与中试平台等产业基础设施。推动“AI+3D打印”赋能医疗齿科、航空航天等垂直领域，攻关新材料、新工艺与行业解决方案</w:t>
      </w:r>
      <w:r>
        <w:rPr>
          <w:rFonts w:hint="eastAsia" w:ascii="仿宋_GB2312" w:hAnsi="仿宋_GB2312" w:eastAsia="仿宋_GB2312" w:cs="仿宋_GB2312"/>
          <w:color w:val="auto"/>
          <w:lang w:eastAsia="zh-CN"/>
        </w:rPr>
        <w:t>，打造增材制造创新发展集聚地。</w:t>
      </w:r>
    </w:p>
    <w:p>
      <w:pPr>
        <w:widowControl/>
        <w:jc w:val="left"/>
        <w:rPr>
          <w:rFonts w:hint="eastAsia" w:ascii="仿宋_GB2312" w:hAnsi="仿宋_GB2312" w:eastAsia="仿宋_GB2312" w:cs="仿宋_GB2312"/>
          <w:color w:val="auto"/>
        </w:rPr>
      </w:pPr>
      <w:r>
        <w:rPr>
          <w:rFonts w:hint="eastAsia" w:ascii="仿宋_GB2312" w:hAnsi="仿宋_GB2312" w:eastAsia="仿宋_GB2312" w:cs="仿宋_GB2312"/>
          <w:b/>
          <w:bCs/>
          <w:color w:val="auto"/>
        </w:rPr>
        <w:t>4.</w:t>
      </w:r>
      <w:r>
        <w:rPr>
          <w:rFonts w:hint="eastAsia" w:ascii="仿宋_GB2312" w:hAnsi="仿宋_GB2312" w:eastAsia="仿宋_GB2312" w:cs="仿宋_GB2312"/>
          <w:b/>
          <w:bCs/>
          <w:color w:val="auto"/>
          <w:highlight w:val="none"/>
        </w:rPr>
        <w:t>具身</w:t>
      </w:r>
      <w:r>
        <w:rPr>
          <w:rFonts w:hint="eastAsia" w:ascii="仿宋_GB2312" w:hAnsi="仿宋_GB2312" w:eastAsia="仿宋_GB2312" w:cs="仿宋_GB2312"/>
          <w:b/>
          <w:bCs/>
          <w:color w:val="auto"/>
        </w:rPr>
        <w:t>智能机器人产业园</w:t>
      </w:r>
      <w:r>
        <w:rPr>
          <w:rFonts w:hint="eastAsia" w:ascii="仿宋_GB2312" w:hAnsi="仿宋_GB2312" w:eastAsia="仿宋_GB2312" w:cs="仿宋_GB2312"/>
          <w:color w:val="auto"/>
        </w:rPr>
        <w:t>。</w:t>
      </w:r>
      <w:r>
        <w:rPr>
          <w:rFonts w:hint="eastAsia" w:ascii="仿宋_GB2312" w:hAnsi="仿宋_GB2312" w:eastAsia="仿宋_GB2312" w:cs="仿宋_GB2312"/>
          <w:color w:val="auto"/>
          <w:highlight w:val="none"/>
        </w:rPr>
        <w:t>以锦绣科学园为核心</w:t>
      </w:r>
      <w:r>
        <w:rPr>
          <w:rFonts w:hint="eastAsia" w:ascii="仿宋_GB2312" w:hAnsi="仿宋_GB2312" w:eastAsia="仿宋_GB2312" w:cs="仿宋_GB2312"/>
          <w:color w:val="auto"/>
        </w:rPr>
        <w:t>，聚焦</w:t>
      </w:r>
      <w:r>
        <w:rPr>
          <w:rFonts w:hint="eastAsia" w:ascii="仿宋_GB2312" w:hAnsi="仿宋_GB2312" w:eastAsia="仿宋_GB2312" w:cs="仿宋_GB2312"/>
          <w:color w:val="auto"/>
          <w:highlight w:val="none"/>
        </w:rPr>
        <w:t>具身智能机器人</w:t>
      </w:r>
      <w:r>
        <w:rPr>
          <w:rFonts w:hint="eastAsia" w:ascii="仿宋_GB2312" w:hAnsi="仿宋_GB2312" w:eastAsia="仿宋_GB2312" w:cs="仿宋_GB2312"/>
          <w:color w:val="auto"/>
        </w:rPr>
        <w:t>核心零部件和整机研发制造，集聚具身智能专用芯片、核心主板、关节模组、灵巧手、智能传感器、视觉相机等高价值环节，推动人形机器人</w:t>
      </w:r>
      <w:r>
        <w:rPr>
          <w:rFonts w:hint="eastAsia" w:ascii="仿宋_GB2312" w:hAnsi="仿宋_GB2312" w:eastAsia="仿宋_GB2312" w:cs="仿宋_GB2312"/>
          <w:color w:val="auto"/>
          <w:lang w:val="en-US" w:eastAsia="zh-CN"/>
        </w:rPr>
        <w:t>规模化</w:t>
      </w:r>
      <w:r>
        <w:rPr>
          <w:rFonts w:hint="eastAsia" w:ascii="仿宋_GB2312" w:hAnsi="仿宋_GB2312" w:eastAsia="仿宋_GB2312" w:cs="仿宋_GB2312"/>
          <w:color w:val="auto"/>
        </w:rPr>
        <w:t>产线落地。联合本地智能制造龙头企业建设打造孵化器、公共测试平台、技术交流平台、样机研制平台、展示体验平台，提供从技术验证、样机快速打样、性能检测到应用场景展示的全流程服务，打造专业化的机器人产业集群。</w:t>
      </w:r>
    </w:p>
    <w:p>
      <w:pPr>
        <w:widowControl/>
        <w:rPr>
          <w:rFonts w:hint="eastAsia" w:ascii="仿宋_GB2312" w:hAnsi="仿宋_GB2312" w:eastAsia="仿宋_GB2312" w:cs="仿宋_GB2312"/>
          <w:color w:val="auto"/>
        </w:rPr>
      </w:pPr>
      <w:r>
        <w:rPr>
          <w:rFonts w:hint="eastAsia" w:ascii="仿宋_GB2312" w:hAnsi="仿宋_GB2312" w:eastAsia="仿宋_GB2312" w:cs="仿宋_GB2312"/>
          <w:b/>
          <w:bCs/>
          <w:color w:val="auto"/>
        </w:rPr>
        <w:t>5.智能算力产业园</w:t>
      </w:r>
      <w:r>
        <w:rPr>
          <w:rFonts w:hint="eastAsia" w:ascii="仿宋_GB2312" w:hAnsi="仿宋_GB2312" w:eastAsia="仿宋_GB2312" w:cs="仿宋_GB2312"/>
          <w:color w:val="auto"/>
        </w:rPr>
        <w:t>。依托鄱阳科技园、象山科技园，靶向部署AI芯片先进封装、高端PCB、先进液冷、高速互联、高端电源等智算集群关键环节的制造与集成。面向AI服务器整机，积极引进具有异构集成与软硬件协同能力的龙头企业，打造国产化服务器品牌与生产基地。吸引国内综合型智算云和垂直型智算云企业集聚，推动海外智算云企业在龙华布局。</w:t>
      </w:r>
    </w:p>
    <w:p>
      <w:pPr>
        <w:widowControl/>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rPr>
        <w:t>6.新型显示产业园。</w:t>
      </w:r>
      <w:r>
        <w:rPr>
          <w:rFonts w:hint="eastAsia" w:ascii="仿宋_GB2312" w:hAnsi="仿宋_GB2312" w:eastAsia="仿宋_GB2312" w:cs="仿宋_GB2312"/>
          <w:color w:val="auto"/>
        </w:rPr>
        <w:t>发挥</w:t>
      </w:r>
      <w:r>
        <w:rPr>
          <w:rFonts w:hint="eastAsia" w:ascii="仿宋_GB2312" w:hAnsi="仿宋_GB2312" w:eastAsia="仿宋_GB2312" w:cs="仿宋_GB2312"/>
          <w:color w:val="auto"/>
          <w:highlight w:val="none"/>
        </w:rPr>
        <w:t>新型显示集群</w:t>
      </w:r>
      <w:r>
        <w:rPr>
          <w:rFonts w:hint="eastAsia" w:ascii="仿宋_GB2312" w:hAnsi="仿宋_GB2312" w:eastAsia="仿宋_GB2312" w:cs="仿宋_GB2312"/>
          <w:color w:val="auto"/>
        </w:rPr>
        <w:t>基础优势</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rPr>
        <w:t>重点布局Micro LED、OLED等新一代显示技术，鼓励龙头企业建设高世代产线，推动现有产业园扩容升级，集聚高端模组与终端设备制造商，</w:t>
      </w:r>
      <w:r>
        <w:rPr>
          <w:rFonts w:hint="eastAsia" w:ascii="仿宋_GB2312" w:hAnsi="仿宋_GB2312" w:eastAsia="仿宋_GB2312" w:cs="仿宋_GB2312"/>
          <w:color w:val="auto"/>
          <w:lang w:val="en-US" w:eastAsia="zh-CN"/>
        </w:rPr>
        <w:t>引育</w:t>
      </w:r>
      <w:r>
        <w:rPr>
          <w:rFonts w:hint="eastAsia" w:ascii="仿宋_GB2312" w:hAnsi="仿宋_GB2312" w:eastAsia="仿宋_GB2312" w:cs="仿宋_GB2312"/>
          <w:color w:val="auto"/>
        </w:rPr>
        <w:t>将显示技术与车载、智能眼镜、智能视听等技术深度融合的高成长企业。</w:t>
      </w:r>
      <w:r>
        <w:rPr>
          <w:rFonts w:hint="eastAsia" w:ascii="仿宋_GB2312" w:hAnsi="仿宋_GB2312" w:eastAsia="仿宋_GB2312" w:cs="仿宋_GB2312"/>
          <w:color w:val="auto"/>
          <w:highlight w:val="none"/>
        </w:rPr>
        <w:t>支持围绕近眼显示与超高清显示技术发展的共性需求，建设公共服务平台，为企业提供从原型验证、中试验证到量测认证的一站式技术支撑，提升超高清视频技术引领力和产业竞争力</w:t>
      </w:r>
      <w:r>
        <w:rPr>
          <w:rFonts w:hint="eastAsia" w:ascii="仿宋_GB2312" w:hAnsi="仿宋_GB2312" w:eastAsia="仿宋_GB2312" w:cs="仿宋_GB2312"/>
          <w:color w:val="auto"/>
        </w:rPr>
        <w:t>，支撑龙华打造国家级超高清综合应用示范区</w:t>
      </w:r>
      <w:r>
        <w:rPr>
          <w:rFonts w:hint="eastAsia" w:ascii="仿宋_GB2312" w:hAnsi="仿宋_GB2312" w:eastAsia="仿宋_GB2312" w:cs="仿宋_GB2312"/>
          <w:color w:val="auto"/>
          <w:highlight w:val="none"/>
        </w:rPr>
        <w:t>。</w:t>
      </w:r>
    </w:p>
    <w:p>
      <w:pPr>
        <w:widowControl/>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7.</w:t>
      </w:r>
      <w:r>
        <w:rPr>
          <w:rFonts w:hint="eastAsia" w:ascii="仿宋_GB2312" w:hAnsi="仿宋_GB2312" w:eastAsia="仿宋_GB2312" w:cs="仿宋_GB2312"/>
          <w:b/>
          <w:bCs/>
          <w:color w:val="auto"/>
          <w:highlight w:val="none"/>
          <w:lang w:val="en-US" w:eastAsia="zh-CN"/>
        </w:rPr>
        <w:t>高端</w:t>
      </w:r>
      <w:r>
        <w:rPr>
          <w:rFonts w:hint="eastAsia" w:ascii="仿宋_GB2312" w:hAnsi="仿宋_GB2312" w:eastAsia="仿宋_GB2312" w:cs="仿宋_GB2312"/>
          <w:b/>
          <w:bCs/>
          <w:color w:val="auto"/>
          <w:highlight w:val="none"/>
        </w:rPr>
        <w:t>医疗器械产业园</w:t>
      </w:r>
      <w:r>
        <w:rPr>
          <w:rFonts w:hint="eastAsia" w:ascii="仿宋_GB2312" w:hAnsi="仿宋_GB2312" w:eastAsia="仿宋_GB2312" w:cs="仿宋_GB2312"/>
          <w:color w:val="auto"/>
          <w:highlight w:val="none"/>
        </w:rPr>
        <w:t>。依托银星科学园等</w:t>
      </w:r>
      <w:r>
        <w:rPr>
          <w:rFonts w:hint="eastAsia" w:ascii="仿宋_GB2312" w:hAnsi="仿宋_GB2312" w:eastAsia="仿宋_GB2312" w:cs="仿宋_GB2312"/>
          <w:color w:val="auto"/>
          <w:highlight w:val="none"/>
          <w:lang w:val="en-US" w:eastAsia="zh-CN"/>
        </w:rPr>
        <w:t>专业医疗器械产业</w:t>
      </w:r>
      <w:r>
        <w:rPr>
          <w:rFonts w:hint="eastAsia" w:ascii="仿宋_GB2312" w:hAnsi="仿宋_GB2312" w:eastAsia="仿宋_GB2312" w:cs="仿宋_GB2312"/>
          <w:color w:val="auto"/>
          <w:highlight w:val="none"/>
        </w:rPr>
        <w:t>园，</w:t>
      </w:r>
      <w:r>
        <w:rPr>
          <w:rFonts w:hint="eastAsia" w:ascii="仿宋_GB2312" w:hAnsi="仿宋_GB2312" w:eastAsia="仿宋_GB2312" w:cs="仿宋_GB2312"/>
          <w:color w:val="auto"/>
          <w:highlight w:val="none"/>
          <w:lang w:val="en-US" w:eastAsia="zh-CN"/>
        </w:rPr>
        <w:t>以高端医疗器械创新中心和引擎，重点做强</w:t>
      </w:r>
      <w:r>
        <w:rPr>
          <w:rFonts w:hint="eastAsia" w:ascii="仿宋_GB2312" w:hAnsi="仿宋_GB2312" w:eastAsia="仿宋_GB2312" w:cs="仿宋_GB2312"/>
          <w:color w:val="auto"/>
          <w:highlight w:val="none"/>
        </w:rPr>
        <w:t>植介入器械、高端医学影像、体外诊断</w:t>
      </w:r>
      <w:r>
        <w:rPr>
          <w:rFonts w:hint="eastAsia" w:ascii="仿宋_GB2312" w:hAnsi="仿宋_GB2312" w:eastAsia="仿宋_GB2312" w:cs="仿宋_GB2312"/>
          <w:color w:val="auto"/>
          <w:highlight w:val="none"/>
          <w:lang w:val="en-US" w:eastAsia="zh-CN"/>
        </w:rPr>
        <w:t>三大优势产业，提升</w:t>
      </w:r>
      <w:r>
        <w:rPr>
          <w:rFonts w:hint="eastAsia" w:ascii="仿宋_GB2312" w:hAnsi="仿宋_GB2312" w:eastAsia="仿宋_GB2312" w:cs="仿宋_GB2312"/>
          <w:color w:val="auto"/>
          <w:highlight w:val="none"/>
        </w:rPr>
        <w:t>生命监护和生命支持、医用耗材、放射治疗</w:t>
      </w:r>
      <w:r>
        <w:rPr>
          <w:rFonts w:hint="eastAsia" w:ascii="仿宋_GB2312" w:hAnsi="仿宋_GB2312" w:eastAsia="仿宋_GB2312" w:cs="仿宋_GB2312"/>
          <w:color w:val="auto"/>
          <w:highlight w:val="none"/>
          <w:lang w:val="en-US" w:eastAsia="zh-CN"/>
        </w:rPr>
        <w:t>产业发展能级，着力培育</w:t>
      </w:r>
      <w:r>
        <w:rPr>
          <w:rFonts w:hint="eastAsia" w:ascii="仿宋_GB2312" w:hAnsi="仿宋_GB2312" w:eastAsia="仿宋_GB2312" w:cs="仿宋_GB2312"/>
          <w:color w:val="auto"/>
          <w:highlight w:val="none"/>
        </w:rPr>
        <w:t>康复养老器械</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手术机器人</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智慧医疗等</w:t>
      </w:r>
      <w:r>
        <w:rPr>
          <w:rFonts w:hint="eastAsia" w:ascii="仿宋_GB2312" w:hAnsi="仿宋_GB2312" w:eastAsia="仿宋_GB2312" w:cs="仿宋_GB2312"/>
          <w:color w:val="auto"/>
          <w:highlight w:val="none"/>
          <w:lang w:val="en-US" w:eastAsia="zh-CN"/>
        </w:rPr>
        <w:t>新兴方向</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建设</w:t>
      </w:r>
      <w:r>
        <w:rPr>
          <w:rFonts w:hint="eastAsia" w:ascii="仿宋_GB2312" w:hAnsi="仿宋_GB2312" w:eastAsia="仿宋_GB2312" w:cs="仿宋_GB2312"/>
          <w:color w:val="auto"/>
          <w:highlight w:val="none"/>
          <w:lang w:val="en-US" w:eastAsia="zh-CN"/>
        </w:rPr>
        <w:t>专业化</w:t>
      </w:r>
      <w:r>
        <w:rPr>
          <w:rFonts w:hint="eastAsia" w:ascii="仿宋_GB2312" w:hAnsi="仿宋_GB2312" w:eastAsia="仿宋_GB2312" w:cs="仿宋_GB2312"/>
          <w:color w:val="auto"/>
          <w:highlight w:val="none"/>
        </w:rPr>
        <w:t>临床试验、审评审批、检验</w:t>
      </w:r>
      <w:r>
        <w:rPr>
          <w:rFonts w:hint="eastAsia" w:ascii="仿宋_GB2312" w:hAnsi="仿宋_GB2312" w:eastAsia="仿宋_GB2312" w:cs="仿宋_GB2312"/>
          <w:color w:val="auto"/>
          <w:highlight w:val="none"/>
          <w:lang w:val="en-US" w:eastAsia="zh-CN"/>
        </w:rPr>
        <w:t>认证</w:t>
      </w:r>
      <w:r>
        <w:rPr>
          <w:rFonts w:hint="eastAsia" w:ascii="仿宋_GB2312" w:hAnsi="仿宋_GB2312" w:eastAsia="仿宋_GB2312" w:cs="仿宋_GB2312"/>
          <w:color w:val="auto"/>
          <w:highlight w:val="none"/>
        </w:rPr>
        <w:t>、产品转化和</w:t>
      </w:r>
      <w:r>
        <w:rPr>
          <w:rFonts w:hint="eastAsia" w:ascii="仿宋_GB2312" w:hAnsi="仿宋_GB2312" w:eastAsia="仿宋_GB2312" w:cs="仿宋_GB2312"/>
          <w:color w:val="auto"/>
          <w:highlight w:val="none"/>
          <w:lang w:eastAsia="zh-CN"/>
        </w:rPr>
        <w:t>C</w:t>
      </w:r>
      <w:r>
        <w:rPr>
          <w:rFonts w:hint="eastAsia" w:ascii="仿宋_GB2312" w:hAnsi="仿宋_GB2312" w:eastAsia="仿宋_GB2312" w:cs="仿宋_GB2312"/>
          <w:color w:val="auto"/>
          <w:highlight w:val="none"/>
          <w:lang w:val="en-US" w:eastAsia="zh-CN"/>
        </w:rPr>
        <w:t>DMO</w:t>
      </w:r>
      <w:r>
        <w:rPr>
          <w:rFonts w:hint="eastAsia" w:ascii="仿宋_GB2312" w:hAnsi="仿宋_GB2312" w:eastAsia="仿宋_GB2312" w:cs="仿宋_GB2312"/>
          <w:color w:val="auto"/>
          <w:highlight w:val="none"/>
        </w:rPr>
        <w:t>平台，</w:t>
      </w:r>
      <w:r>
        <w:rPr>
          <w:rFonts w:hint="eastAsia" w:ascii="仿宋_GB2312" w:hAnsi="仿宋_GB2312" w:eastAsia="仿宋_GB2312" w:cs="仿宋_GB2312"/>
          <w:color w:val="auto"/>
          <w:highlight w:val="none"/>
          <w:lang w:val="en-US" w:eastAsia="zh-CN"/>
        </w:rPr>
        <w:t>构建全产业链服务体系。</w:t>
      </w:r>
      <w:r>
        <w:rPr>
          <w:rFonts w:hint="eastAsia" w:ascii="仿宋_GB2312" w:hAnsi="仿宋_GB2312" w:eastAsia="仿宋_GB2312" w:cs="仿宋_GB2312"/>
          <w:color w:val="auto"/>
          <w:sz w:val="32"/>
          <w:szCs w:val="32"/>
          <w:highlight w:val="none"/>
        </w:rPr>
        <w:t>强化高端装备、</w:t>
      </w:r>
      <w:r>
        <w:rPr>
          <w:rFonts w:hint="eastAsia" w:ascii="仿宋_GB2312" w:hAnsi="仿宋_GB2312" w:eastAsia="仿宋_GB2312" w:cs="仿宋_GB2312"/>
          <w:color w:val="auto"/>
          <w:sz w:val="32"/>
          <w:szCs w:val="32"/>
          <w:highlight w:val="none"/>
          <w:lang w:val="en-US" w:eastAsia="zh-CN"/>
        </w:rPr>
        <w:t>核心部件、</w:t>
      </w:r>
      <w:r>
        <w:rPr>
          <w:rFonts w:hint="eastAsia" w:ascii="仿宋_GB2312" w:hAnsi="仿宋_GB2312" w:eastAsia="仿宋_GB2312" w:cs="仿宋_GB2312"/>
          <w:color w:val="auto"/>
          <w:sz w:val="32"/>
          <w:szCs w:val="32"/>
          <w:highlight w:val="none"/>
        </w:rPr>
        <w:t>关键材料、诊疗软件和</w:t>
      </w:r>
      <w:r>
        <w:rPr>
          <w:rFonts w:hint="eastAsia" w:ascii="仿宋_GB2312" w:hAnsi="仿宋_GB2312" w:eastAsia="仿宋_GB2312" w:cs="仿宋_GB2312"/>
          <w:color w:val="auto"/>
          <w:sz w:val="32"/>
          <w:szCs w:val="32"/>
          <w:highlight w:val="none"/>
          <w:lang w:val="en-US" w:eastAsia="zh-CN"/>
        </w:rPr>
        <w:t>人工</w:t>
      </w:r>
      <w:r>
        <w:rPr>
          <w:rFonts w:hint="eastAsia" w:ascii="仿宋_GB2312" w:hAnsi="仿宋_GB2312" w:eastAsia="仿宋_GB2312" w:cs="仿宋_GB2312"/>
          <w:color w:val="auto"/>
          <w:sz w:val="32"/>
          <w:szCs w:val="32"/>
          <w:highlight w:val="none"/>
        </w:rPr>
        <w:t>智能协同创新，</w:t>
      </w:r>
      <w:r>
        <w:rPr>
          <w:rFonts w:hint="eastAsia" w:ascii="仿宋_GB2312" w:hAnsi="仿宋_GB2312" w:eastAsia="仿宋_GB2312" w:cs="仿宋_GB2312"/>
          <w:color w:val="auto"/>
          <w:sz w:val="32"/>
          <w:szCs w:val="32"/>
          <w:highlight w:val="none"/>
          <w:lang w:eastAsia="zh-CN"/>
        </w:rPr>
        <w:t>推动医工交叉融合创新，加快高端医疗器械产品落地和产业化进程，</w:t>
      </w:r>
      <w:r>
        <w:rPr>
          <w:rFonts w:hint="eastAsia" w:ascii="仿宋_GB2312" w:hAnsi="仿宋_GB2312" w:eastAsia="仿宋_GB2312" w:cs="仿宋_GB2312"/>
          <w:color w:val="auto"/>
          <w:highlight w:val="none"/>
        </w:rPr>
        <w:t>打造</w:t>
      </w:r>
      <w:r>
        <w:rPr>
          <w:rFonts w:hint="eastAsia" w:ascii="仿宋_GB2312" w:hAnsi="仿宋_GB2312" w:eastAsia="仿宋_GB2312" w:cs="仿宋_GB2312"/>
          <w:color w:val="auto"/>
          <w:highlight w:val="none"/>
          <w:lang w:val="en-US" w:eastAsia="zh-CN"/>
        </w:rPr>
        <w:t>成为深圳市</w:t>
      </w:r>
      <w:r>
        <w:rPr>
          <w:rFonts w:hint="eastAsia" w:ascii="仿宋_GB2312" w:hAnsi="仿宋_GB2312" w:eastAsia="仿宋_GB2312" w:cs="仿宋_GB2312"/>
          <w:color w:val="auto"/>
          <w:highlight w:val="none"/>
        </w:rPr>
        <w:t>高端医疗器械产业</w:t>
      </w:r>
      <w:r>
        <w:rPr>
          <w:rFonts w:hint="eastAsia" w:ascii="仿宋_GB2312" w:hAnsi="仿宋_GB2312" w:eastAsia="仿宋_GB2312" w:cs="仿宋_GB2312"/>
          <w:color w:val="auto"/>
          <w:highlight w:val="none"/>
          <w:lang w:val="en-US" w:eastAsia="zh-CN"/>
        </w:rPr>
        <w:t>核心引领区</w:t>
      </w:r>
      <w:r>
        <w:rPr>
          <w:rFonts w:hint="eastAsia" w:ascii="仿宋_GB2312" w:hAnsi="仿宋_GB2312" w:eastAsia="仿宋_GB2312" w:cs="仿宋_GB2312"/>
          <w:color w:val="auto"/>
          <w:highlight w:val="none"/>
        </w:rPr>
        <w:t>。</w:t>
      </w:r>
    </w:p>
    <w:p>
      <w:pPr>
        <w:widowControl/>
        <w:rPr>
          <w:rFonts w:hint="eastAsia" w:ascii="仿宋_GB2312" w:hAnsi="仿宋_GB2312" w:eastAsia="仿宋_GB2312" w:cs="仿宋_GB2312"/>
          <w:color w:val="auto"/>
        </w:rPr>
      </w:pPr>
      <w:r>
        <w:rPr>
          <w:rFonts w:hint="eastAsia" w:ascii="仿宋_GB2312" w:hAnsi="仿宋_GB2312" w:eastAsia="仿宋_GB2312" w:cs="仿宋_GB2312"/>
          <w:b/>
          <w:bCs/>
          <w:color w:val="auto"/>
        </w:rPr>
        <w:t>8.低空经济产业园</w:t>
      </w:r>
      <w:r>
        <w:rPr>
          <w:rFonts w:hint="eastAsia" w:ascii="仿宋_GB2312" w:hAnsi="仿宋_GB2312" w:eastAsia="仿宋_GB2312" w:cs="仿宋_GB2312"/>
          <w:color w:val="auto"/>
        </w:rPr>
        <w:t>。加速推进樟坑径机场改造升级，同步建成电动垂直起降飞行器（eVTOL）起降区、低空测试场、应急救援基地等，构建“制造—测试—应用”一体化产业综合体。</w:t>
      </w:r>
      <w:r>
        <w:rPr>
          <w:rFonts w:hint="eastAsia" w:ascii="仿宋_GB2312" w:hAnsi="仿宋_GB2312" w:eastAsia="仿宋_GB2312" w:cs="仿宋_GB2312"/>
          <w:color w:val="auto"/>
          <w:lang w:val="en-US" w:eastAsia="zh-CN"/>
        </w:rPr>
        <w:t>支持</w:t>
      </w:r>
      <w:r>
        <w:rPr>
          <w:rFonts w:hint="eastAsia" w:ascii="仿宋_GB2312" w:hAnsi="仿宋_GB2312" w:eastAsia="仿宋_GB2312" w:cs="仿宋_GB2312"/>
          <w:color w:val="auto"/>
        </w:rPr>
        <w:t>周边产业空间载体吸引无人机整机制造、核心零部件研发生产、低空运营服务、低空培训等上下游企业集聚，打造低空经济创新发展园区。</w:t>
      </w:r>
    </w:p>
    <w:p>
      <w:pPr>
        <w:pStyle w:val="3"/>
        <w:rPr>
          <w:rFonts w:hint="eastAsia" w:eastAsia="楷体_GB2312"/>
          <w:color w:val="auto"/>
          <w:lang w:eastAsia="zh-CN"/>
        </w:rPr>
      </w:pPr>
      <w:bookmarkStart w:id="417" w:name="_Toc29513"/>
      <w:bookmarkStart w:id="418" w:name="_Toc20189"/>
      <w:bookmarkStart w:id="419" w:name="_Toc9574"/>
      <w:bookmarkStart w:id="420" w:name="_Toc23242"/>
      <w:bookmarkStart w:id="421" w:name="_Toc7393"/>
      <w:bookmarkStart w:id="422" w:name="_Toc30727"/>
      <w:bookmarkStart w:id="423" w:name="_Toc1798"/>
      <w:bookmarkStart w:id="424" w:name="_Toc7773"/>
      <w:bookmarkStart w:id="425" w:name="_Toc31354"/>
      <w:bookmarkStart w:id="426" w:name="_Toc1550"/>
      <w:r>
        <w:rPr>
          <w:rFonts w:hint="eastAsia"/>
          <w:color w:val="auto"/>
        </w:rPr>
        <w:t>（四）优化</w:t>
      </w:r>
      <w:r>
        <w:rPr>
          <w:rFonts w:hint="eastAsia"/>
          <w:color w:val="auto"/>
          <w:lang w:val="en-US" w:eastAsia="zh-CN"/>
        </w:rPr>
        <w:t>产业</w:t>
      </w:r>
      <w:r>
        <w:rPr>
          <w:rFonts w:hint="eastAsia"/>
          <w:color w:val="auto"/>
        </w:rPr>
        <w:t>空间供给保障</w:t>
      </w:r>
      <w:bookmarkEnd w:id="417"/>
      <w:bookmarkEnd w:id="418"/>
      <w:bookmarkEnd w:id="419"/>
      <w:bookmarkEnd w:id="420"/>
      <w:bookmarkEnd w:id="421"/>
      <w:bookmarkEnd w:id="422"/>
      <w:bookmarkEnd w:id="423"/>
      <w:bookmarkEnd w:id="424"/>
      <w:bookmarkEnd w:id="425"/>
      <w:bookmarkEnd w:id="426"/>
    </w:p>
    <w:p>
      <w:pPr>
        <w:rPr>
          <w:rFonts w:hint="eastAsia" w:ascii="仿宋_GB2312" w:hAnsi="仿宋_GB2312" w:eastAsia="仿宋_GB2312" w:cs="仿宋_GB2312"/>
          <w:color w:val="auto"/>
        </w:rPr>
      </w:pPr>
      <w:r>
        <w:rPr>
          <w:rFonts w:hint="eastAsia" w:ascii="仿宋_GB2312" w:hAnsi="仿宋_GB2312" w:eastAsia="仿宋_GB2312" w:cs="仿宋_GB2312"/>
          <w:b/>
          <w:bCs/>
          <w:color w:val="auto"/>
        </w:rPr>
        <w:t>1.推进</w:t>
      </w:r>
      <w:r>
        <w:rPr>
          <w:rFonts w:hint="eastAsia" w:ascii="仿宋_GB2312" w:hAnsi="仿宋_GB2312" w:eastAsia="仿宋_GB2312" w:cs="仿宋_GB2312"/>
          <w:b/>
          <w:bCs/>
          <w:color w:val="auto"/>
          <w:lang w:val="en-US" w:eastAsia="zh-CN"/>
        </w:rPr>
        <w:t>产业</w:t>
      </w:r>
      <w:r>
        <w:rPr>
          <w:rFonts w:hint="eastAsia" w:ascii="仿宋_GB2312" w:hAnsi="仿宋_GB2312" w:eastAsia="仿宋_GB2312" w:cs="仿宋_GB2312"/>
          <w:b/>
          <w:bCs/>
          <w:color w:val="auto"/>
        </w:rPr>
        <w:t>用地</w:t>
      </w:r>
      <w:r>
        <w:rPr>
          <w:rFonts w:hint="eastAsia" w:ascii="仿宋_GB2312" w:hAnsi="仿宋_GB2312" w:eastAsia="仿宋_GB2312" w:cs="仿宋_GB2312"/>
          <w:b/>
          <w:bCs/>
          <w:color w:val="auto"/>
          <w:lang w:val="en-US" w:eastAsia="zh-CN"/>
        </w:rPr>
        <w:t>高质量</w:t>
      </w:r>
      <w:r>
        <w:rPr>
          <w:rFonts w:hint="eastAsia" w:ascii="仿宋_GB2312" w:hAnsi="仿宋_GB2312" w:eastAsia="仿宋_GB2312" w:cs="仿宋_GB2312"/>
          <w:b/>
          <w:bCs/>
          <w:color w:val="auto"/>
        </w:rPr>
        <w:t>供给</w:t>
      </w:r>
      <w:r>
        <w:rPr>
          <w:rFonts w:hint="eastAsia" w:ascii="仿宋_GB2312" w:hAnsi="仿宋_GB2312" w:eastAsia="仿宋_GB2312" w:cs="仿宋_GB2312"/>
          <w:color w:val="auto"/>
        </w:rPr>
        <w:t>。</w:t>
      </w:r>
      <w:r>
        <w:rPr>
          <w:rFonts w:hint="eastAsia" w:ascii="仿宋_GB2312" w:hAnsi="仿宋_GB2312" w:eastAsia="仿宋_GB2312" w:cs="仿宋_GB2312"/>
          <w:b/>
          <w:bCs/>
          <w:color w:val="auto"/>
        </w:rPr>
        <w:t>创新土地供应方式</w:t>
      </w:r>
      <w:r>
        <w:rPr>
          <w:rFonts w:hint="eastAsia" w:ascii="仿宋_GB2312" w:hAnsi="仿宋_GB2312" w:eastAsia="仿宋_GB2312" w:cs="仿宋_GB2312"/>
          <w:color w:val="auto"/>
        </w:rPr>
        <w:t>。</w:t>
      </w:r>
      <w:r>
        <w:rPr>
          <w:rFonts w:hint="eastAsia" w:ascii="仿宋_GB2312" w:hAnsi="仿宋_GB2312" w:eastAsia="仿宋_GB2312" w:cs="仿宋_GB2312"/>
          <w:color w:val="auto"/>
          <w:lang w:val="en-US" w:eastAsia="zh-CN"/>
        </w:rPr>
        <w:t>实施</w:t>
      </w:r>
      <w:r>
        <w:rPr>
          <w:rFonts w:hint="eastAsia" w:ascii="仿宋_GB2312" w:hAnsi="仿宋_GB2312" w:eastAsia="仿宋_GB2312" w:cs="仿宋_GB2312"/>
          <w:color w:val="auto"/>
        </w:rPr>
        <w:t>长期租赁、先租后让、弹性年期出让等弹性供应方式</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推行区域评估</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“标准地”供应等出让模式。</w:t>
      </w:r>
      <w:r>
        <w:rPr>
          <w:rFonts w:hint="eastAsia" w:ascii="仿宋_GB2312" w:hAnsi="仿宋_GB2312" w:eastAsia="仿宋_GB2312" w:cs="仿宋_GB2312"/>
          <w:b/>
          <w:bCs/>
          <w:color w:val="auto"/>
        </w:rPr>
        <w:t>探索复合土地利用模式。</w:t>
      </w:r>
      <w:r>
        <w:rPr>
          <w:rFonts w:hint="eastAsia" w:ascii="仿宋_GB2312" w:hAnsi="仿宋_GB2312" w:eastAsia="仿宋_GB2312" w:cs="仿宋_GB2312"/>
          <w:color w:val="auto"/>
        </w:rPr>
        <w:t>完善二三产混合用地、立体分层供应、自然资源组合供应等供地模式，探索土地及存量建筑功能弹性转换利用，提升空间利用效率</w:t>
      </w:r>
      <w:r>
        <w:rPr>
          <w:rFonts w:hint="eastAsia" w:ascii="仿宋_GB2312" w:hAnsi="仿宋_GB2312" w:eastAsia="仿宋_GB2312" w:cs="仿宋_GB2312"/>
          <w:color w:val="auto"/>
          <w:lang w:eastAsia="zh-CN"/>
        </w:rPr>
        <w:t>。</w:t>
      </w:r>
      <w:r>
        <w:rPr>
          <w:rFonts w:hint="eastAsia" w:ascii="仿宋_GB2312" w:hAnsi="仿宋_GB2312" w:eastAsia="仿宋_GB2312" w:cs="仿宋_GB2312"/>
          <w:b/>
          <w:bCs/>
          <w:color w:val="auto"/>
        </w:rPr>
        <w:t>盘活存量低效工业用地</w:t>
      </w:r>
      <w:r>
        <w:rPr>
          <w:rFonts w:hint="eastAsia" w:ascii="仿宋_GB2312" w:hAnsi="仿宋_GB2312" w:eastAsia="仿宋_GB2312" w:cs="仿宋_GB2312"/>
          <w:color w:val="auto"/>
        </w:rPr>
        <w:t>。通过“工改工”</w:t>
      </w:r>
      <w:r>
        <w:rPr>
          <w:rFonts w:hint="eastAsia" w:ascii="仿宋_GB2312" w:hAnsi="仿宋_GB2312" w:eastAsia="仿宋_GB2312" w:cs="仿宋_GB2312"/>
          <w:color w:val="auto"/>
          <w:lang w:val="en-US" w:eastAsia="zh-CN"/>
        </w:rPr>
        <w:t>城市更新</w:t>
      </w:r>
      <w:r>
        <w:rPr>
          <w:rFonts w:hint="eastAsia" w:ascii="仿宋_GB2312" w:hAnsi="仿宋_GB2312" w:eastAsia="仿宋_GB2312" w:cs="仿宋_GB2312"/>
          <w:color w:val="auto"/>
        </w:rPr>
        <w:t>、</w:t>
      </w:r>
      <w:r>
        <w:rPr>
          <w:rFonts w:hint="eastAsia" w:ascii="仿宋_GB2312" w:hAnsi="仿宋_GB2312" w:eastAsia="仿宋_GB2312" w:cs="仿宋_GB2312"/>
          <w:color w:val="auto"/>
          <w:lang w:val="en-US" w:eastAsia="zh-CN"/>
        </w:rPr>
        <w:t>土地整备、</w:t>
      </w:r>
      <w:r>
        <w:rPr>
          <w:rFonts w:hint="eastAsia" w:ascii="仿宋_GB2312" w:hAnsi="仿宋_GB2312" w:eastAsia="仿宋_GB2312" w:cs="仿宋_GB2312"/>
          <w:color w:val="auto"/>
        </w:rPr>
        <w:t>收储出让、协议转让、自有用地</w:t>
      </w:r>
      <w:r>
        <w:rPr>
          <w:rFonts w:hint="eastAsia" w:ascii="仿宋_GB2312" w:hAnsi="仿宋_GB2312" w:eastAsia="仿宋_GB2312" w:cs="仿宋_GB2312"/>
          <w:color w:val="auto"/>
          <w:lang w:val="en-US" w:eastAsia="zh-CN"/>
        </w:rPr>
        <w:t>提容增效</w:t>
      </w:r>
      <w:r>
        <w:rPr>
          <w:rFonts w:hint="eastAsia" w:ascii="仿宋_GB2312" w:hAnsi="仿宋_GB2312" w:eastAsia="仿宋_GB2312" w:cs="仿宋_GB2312"/>
          <w:color w:val="auto"/>
        </w:rPr>
        <w:t>等多种方式</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分类施策</w:t>
      </w:r>
      <w:r>
        <w:rPr>
          <w:rFonts w:hint="eastAsia" w:ascii="仿宋_GB2312" w:hAnsi="仿宋_GB2312" w:eastAsia="仿宋_GB2312" w:cs="仿宋_GB2312"/>
          <w:color w:val="auto"/>
        </w:rPr>
        <w:t>盘活低效</w:t>
      </w:r>
      <w:r>
        <w:rPr>
          <w:rFonts w:hint="eastAsia" w:ascii="仿宋_GB2312" w:hAnsi="仿宋_GB2312" w:eastAsia="仿宋_GB2312" w:cs="仿宋_GB2312"/>
          <w:color w:val="auto"/>
          <w:lang w:val="en-US" w:eastAsia="zh-CN"/>
        </w:rPr>
        <w:t>产业</w:t>
      </w:r>
      <w:r>
        <w:rPr>
          <w:rFonts w:hint="eastAsia" w:ascii="仿宋_GB2312" w:hAnsi="仿宋_GB2312" w:eastAsia="仿宋_GB2312" w:cs="仿宋_GB2312"/>
          <w:color w:val="auto"/>
        </w:rPr>
        <w:t>用地，</w:t>
      </w:r>
      <w:r>
        <w:rPr>
          <w:rFonts w:hint="eastAsia" w:ascii="仿宋_GB2312" w:hAnsi="仿宋_GB2312" w:eastAsia="仿宋_GB2312" w:cs="仿宋_GB2312"/>
          <w:color w:val="auto"/>
          <w:lang w:val="en-US" w:eastAsia="zh-CN"/>
        </w:rPr>
        <w:t>重点攻坚</w:t>
      </w:r>
      <w:r>
        <w:rPr>
          <w:rFonts w:hint="eastAsia" w:ascii="仿宋_GB2312" w:hAnsi="仿宋_GB2312" w:eastAsia="仿宋_GB2312" w:cs="仿宋_GB2312"/>
          <w:color w:val="auto"/>
        </w:rPr>
        <w:t>成片连片低效用地再开发</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加快释放连片优质产业空间，为重大项目落地提供坚实支撑</w:t>
      </w:r>
      <w:r>
        <w:rPr>
          <w:rFonts w:hint="eastAsia" w:ascii="仿宋_GB2312" w:hAnsi="仿宋_GB2312" w:eastAsia="仿宋_GB2312" w:cs="仿宋_GB2312"/>
          <w:color w:val="auto"/>
        </w:rPr>
        <w:t>。</w:t>
      </w:r>
    </w:p>
    <w:p>
      <w:pPr>
        <w:keepNext w:val="0"/>
        <w:keepLines w:val="0"/>
        <w:widowControl/>
        <w:suppressLineNumbers w:val="0"/>
        <w:jc w:val="left"/>
        <w:rPr>
          <w:rFonts w:hint="eastAsia" w:ascii="仿宋_GB2312" w:hAnsi="仿宋_GB2312" w:eastAsia="仿宋_GB2312" w:cs="仿宋_GB2312"/>
          <w:color w:val="auto"/>
        </w:rPr>
      </w:pPr>
      <w:r>
        <w:rPr>
          <w:rFonts w:hint="eastAsia" w:ascii="仿宋_GB2312" w:hAnsi="仿宋_GB2312" w:eastAsia="仿宋_GB2312" w:cs="仿宋_GB2312"/>
          <w:b/>
          <w:bCs/>
          <w:color w:val="auto"/>
        </w:rPr>
        <w:t>2.强化</w:t>
      </w:r>
      <w:r>
        <w:rPr>
          <w:rFonts w:hint="eastAsia" w:ascii="仿宋_GB2312" w:hAnsi="仿宋_GB2312" w:eastAsia="仿宋_GB2312" w:cs="仿宋_GB2312"/>
          <w:b/>
          <w:bCs/>
          <w:color w:val="auto"/>
          <w:lang w:val="en-US" w:eastAsia="zh-CN"/>
        </w:rPr>
        <w:t>产业用房多元化保障</w:t>
      </w:r>
      <w:r>
        <w:rPr>
          <w:rFonts w:hint="eastAsia" w:ascii="仿宋_GB2312" w:hAnsi="仿宋_GB2312" w:eastAsia="仿宋_GB2312" w:cs="仿宋_GB2312"/>
          <w:color w:val="auto"/>
        </w:rPr>
        <w:t>。</w:t>
      </w:r>
      <w:r>
        <w:rPr>
          <w:rFonts w:hint="eastAsia" w:ascii="仿宋_GB2312" w:hAnsi="仿宋_GB2312" w:eastAsia="仿宋_GB2312" w:cs="仿宋_GB2312"/>
          <w:b/>
          <w:bCs/>
          <w:color w:val="auto"/>
          <w:lang w:val="en-US" w:eastAsia="zh-CN"/>
        </w:rPr>
        <w:t>构建通用产业用房保障体系</w:t>
      </w:r>
      <w:r>
        <w:rPr>
          <w:rFonts w:hint="eastAsia" w:ascii="仿宋_GB2312" w:hAnsi="仿宋_GB2312" w:eastAsia="仿宋_GB2312" w:cs="仿宋_GB2312"/>
          <w:color w:val="auto"/>
          <w:lang w:val="en-US" w:eastAsia="zh-CN"/>
        </w:rPr>
        <w:t>。</w:t>
      </w:r>
      <w:r>
        <w:rPr>
          <w:rFonts w:hint="eastAsia" w:ascii="仿宋_GB2312" w:hAnsi="仿宋_GB2312" w:eastAsia="仿宋_GB2312" w:cs="仿宋_GB2312"/>
          <w:i w:val="0"/>
          <w:iCs w:val="0"/>
          <w:caps w:val="0"/>
          <w:color w:val="auto"/>
          <w:spacing w:val="0"/>
          <w:sz w:val="32"/>
          <w:szCs w:val="32"/>
          <w:shd w:val="clear"/>
        </w:rPr>
        <w:t>根据“总成本＋微利”的原则</w:t>
      </w:r>
      <w:r>
        <w:rPr>
          <w:rFonts w:hint="eastAsia" w:ascii="仿宋_GB2312" w:hAnsi="仿宋_GB2312" w:eastAsia="仿宋_GB2312" w:cs="仿宋_GB2312"/>
          <w:i w:val="0"/>
          <w:iCs w:val="0"/>
          <w:caps w:val="0"/>
          <w:color w:val="auto"/>
          <w:spacing w:val="0"/>
          <w:sz w:val="32"/>
          <w:szCs w:val="32"/>
          <w:shd w:val="clear"/>
          <w:lang w:eastAsia="zh-CN"/>
        </w:rPr>
        <w:t>，构建可租可售、限价格限对象的多元化供给体系，提供低成本、高品质产业空间，实现房地并举、租售并举，有效覆盖企业全生命周期空间需求。</w:t>
      </w:r>
      <w:r>
        <w:rPr>
          <w:rFonts w:hint="eastAsia" w:ascii="仿宋_GB2312" w:hAnsi="仿宋_GB2312" w:eastAsia="仿宋_GB2312" w:cs="仿宋_GB2312"/>
          <w:b/>
          <w:bCs/>
          <w:color w:val="auto"/>
          <w:lang w:val="en-US" w:eastAsia="zh-CN"/>
        </w:rPr>
        <w:t>加大</w:t>
      </w:r>
      <w:r>
        <w:rPr>
          <w:rFonts w:hint="eastAsia" w:ascii="仿宋_GB2312" w:hAnsi="仿宋_GB2312" w:eastAsia="仿宋_GB2312" w:cs="仿宋_GB2312"/>
          <w:b/>
          <w:bCs/>
          <w:color w:val="auto"/>
          <w:kern w:val="0"/>
          <w:sz w:val="32"/>
          <w:szCs w:val="32"/>
          <w:lang w:val="en-US" w:eastAsia="zh-CN" w:bidi="ar"/>
        </w:rPr>
        <w:t>创新型产业用房保障力度</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color w:val="auto"/>
          <w:lang w:bidi="ar"/>
        </w:rPr>
        <w:t>前瞻预留场景试验、中试转化、商业应用等全链条专属空间，精准适配未来产业场景落地需求。深化创新型产业用房智慧运营管理平台建设，推动产业用房管理从传统模式向数字化智能模式跃升，实现房源一站查询、业务一窗受理、动态一屏掌控，以数字赋能提升空间资源配置效率与精准度</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b/>
          <w:bCs/>
          <w:color w:val="auto"/>
        </w:rPr>
        <w:t>高质量推进“工业上楼”</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color w:val="auto"/>
        </w:rPr>
        <w:t>加快推进在建</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工业上楼</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项目建设，通过高标准打造优质产业载体，持续优化产业空间供给，探索产业链垂直集聚的空间供给模式，实现“上下楼”就是“上下游”。</w:t>
      </w:r>
    </w:p>
    <w:bookmarkEnd w:id="385"/>
    <w:bookmarkEnd w:id="386"/>
    <w:p>
      <w:pPr>
        <w:pStyle w:val="24"/>
        <w:ind w:firstLine="640"/>
        <w:outlineLvl w:val="0"/>
        <w:rPr>
          <w:rFonts w:hint="eastAsia" w:ascii="黑体" w:hAnsi="黑体" w:eastAsia="黑体" w:cs="黑体"/>
          <w:color w:val="auto"/>
          <w:kern w:val="24"/>
        </w:rPr>
      </w:pPr>
      <w:bookmarkStart w:id="427" w:name="_Toc10285"/>
      <w:bookmarkStart w:id="428" w:name="_Toc13064"/>
      <w:bookmarkStart w:id="429" w:name="_Toc31286"/>
      <w:bookmarkStart w:id="430" w:name="_Toc30359"/>
      <w:bookmarkStart w:id="431" w:name="_Toc16382"/>
      <w:bookmarkStart w:id="432" w:name="_Toc18392"/>
      <w:bookmarkStart w:id="433" w:name="_Toc26413"/>
      <w:bookmarkStart w:id="434" w:name="_Toc19222"/>
      <w:bookmarkStart w:id="435" w:name="_Toc23671"/>
      <w:bookmarkStart w:id="436" w:name="_Toc30436"/>
      <w:r>
        <w:rPr>
          <w:rFonts w:hint="eastAsia" w:ascii="黑体" w:hAnsi="黑体" w:eastAsia="黑体" w:cs="黑体"/>
          <w:color w:val="auto"/>
          <w:kern w:val="24"/>
          <w:lang w:val="en-US" w:eastAsia="zh-CN"/>
        </w:rPr>
        <w:t>九</w:t>
      </w:r>
      <w:r>
        <w:rPr>
          <w:rFonts w:hint="eastAsia" w:ascii="黑体" w:hAnsi="黑体" w:eastAsia="黑体" w:cs="黑体"/>
          <w:color w:val="auto"/>
          <w:kern w:val="24"/>
        </w:rPr>
        <w:t>、保障措施</w:t>
      </w:r>
      <w:bookmarkEnd w:id="427"/>
      <w:bookmarkEnd w:id="428"/>
      <w:bookmarkEnd w:id="429"/>
      <w:bookmarkEnd w:id="430"/>
      <w:bookmarkEnd w:id="431"/>
      <w:bookmarkEnd w:id="432"/>
      <w:bookmarkEnd w:id="433"/>
      <w:bookmarkEnd w:id="434"/>
      <w:bookmarkEnd w:id="435"/>
      <w:bookmarkEnd w:id="436"/>
    </w:p>
    <w:p>
      <w:pPr>
        <w:pStyle w:val="24"/>
        <w:ind w:firstLine="640"/>
        <w:outlineLvl w:val="1"/>
        <w:rPr>
          <w:rFonts w:hint="eastAsia" w:ascii="楷体_GB2312" w:hAnsi="楷体_GB2312" w:eastAsia="楷体_GB2312" w:cs="楷体_GB2312"/>
          <w:color w:val="auto"/>
          <w:kern w:val="24"/>
        </w:rPr>
      </w:pPr>
      <w:bookmarkStart w:id="437" w:name="_Toc10920"/>
      <w:bookmarkStart w:id="438" w:name="_Toc7332"/>
      <w:bookmarkStart w:id="439" w:name="_Toc29528"/>
      <w:bookmarkStart w:id="440" w:name="_Toc15756"/>
      <w:bookmarkStart w:id="441" w:name="_Toc8761"/>
      <w:bookmarkStart w:id="442" w:name="_Toc25421"/>
      <w:bookmarkStart w:id="443" w:name="_Toc26544"/>
      <w:bookmarkStart w:id="444" w:name="_Toc14489"/>
      <w:bookmarkStart w:id="445" w:name="_Toc29326"/>
      <w:bookmarkStart w:id="446" w:name="_Toc280"/>
      <w:bookmarkStart w:id="447" w:name="_Toc28584"/>
      <w:bookmarkStart w:id="448" w:name="_Toc24685"/>
      <w:bookmarkStart w:id="449" w:name="_Toc8832"/>
      <w:bookmarkStart w:id="450" w:name="_Toc15469"/>
      <w:bookmarkStart w:id="451" w:name="_Toc7284"/>
      <w:r>
        <w:rPr>
          <w:rFonts w:ascii="楷体_GB2312" w:hAnsi="楷体_GB2312" w:eastAsia="楷体_GB2312" w:cs="楷体_GB2312"/>
          <w:color w:val="auto"/>
          <w:kern w:val="24"/>
        </w:rPr>
        <w:t>（一）强化组织保障</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pPr>
        <w:pStyle w:val="24"/>
        <w:ind w:firstLine="640"/>
        <w:rPr>
          <w:rFonts w:hint="eastAsia" w:ascii="楷体_GB2312" w:hAnsi="楷体_GB2312" w:eastAsia="楷体_GB2312" w:cs="楷体_GB2312"/>
          <w:color w:val="auto"/>
          <w:kern w:val="24"/>
        </w:rPr>
      </w:pPr>
      <w:r>
        <w:rPr>
          <w:color w:val="auto"/>
          <w:kern w:val="24"/>
        </w:rPr>
        <w:t>健全促进全区工业发展的工作协调机制，加强全区各部门的协同配合和上下联动，形成工作合力，建立责任明确、协调有序、监管有力的组织保障体系。各相关单位要严格落实责任分工，将本规划确定的各项目标任务纳入部门年度工作计划，明确进度要求，确保规划目标有计划、按步骤得到落实。加强对目标任务的跟踪分析和指导工作，对规划实施过程中涉及的重大事项及时向区政府报告。</w:t>
      </w:r>
      <w:r>
        <w:rPr>
          <w:rFonts w:cs="Times New Roman"/>
          <w:color w:val="auto"/>
          <w:kern w:val="24"/>
        </w:rPr>
        <w:t>建立健全规划考核机制，定期对各部门、各单位的重点工作、重点项目实施情况进行跟踪监测分析，强化动态管理。</w:t>
      </w:r>
    </w:p>
    <w:p>
      <w:pPr>
        <w:pStyle w:val="24"/>
        <w:ind w:firstLine="640"/>
        <w:outlineLvl w:val="1"/>
        <w:rPr>
          <w:rFonts w:hint="eastAsia" w:ascii="楷体_GB2312" w:hAnsi="楷体_GB2312" w:eastAsia="楷体_GB2312" w:cs="楷体_GB2312"/>
          <w:color w:val="auto"/>
          <w:kern w:val="24"/>
        </w:rPr>
      </w:pPr>
      <w:bookmarkStart w:id="452" w:name="_Toc32374"/>
      <w:bookmarkStart w:id="453" w:name="_Toc4226"/>
      <w:bookmarkStart w:id="454" w:name="_Toc13303"/>
      <w:bookmarkStart w:id="455" w:name="_Toc5771"/>
      <w:bookmarkStart w:id="456" w:name="_Toc30384"/>
      <w:bookmarkStart w:id="457" w:name="_Toc29611"/>
      <w:bookmarkStart w:id="458" w:name="_Toc21654"/>
      <w:bookmarkStart w:id="459" w:name="_Toc23607"/>
      <w:bookmarkStart w:id="460" w:name="_Toc6227"/>
      <w:bookmarkStart w:id="461" w:name="_Toc32544"/>
      <w:bookmarkStart w:id="462" w:name="_Toc1619"/>
      <w:bookmarkStart w:id="463" w:name="_Toc10820"/>
      <w:bookmarkStart w:id="464" w:name="_Toc10522"/>
      <w:bookmarkStart w:id="465" w:name="_Toc4782"/>
      <w:bookmarkStart w:id="466" w:name="_Toc14064"/>
      <w:r>
        <w:rPr>
          <w:rFonts w:ascii="楷体_GB2312" w:hAnsi="楷体_GB2312" w:eastAsia="楷体_GB2312" w:cs="楷体_GB2312"/>
          <w:color w:val="auto"/>
          <w:kern w:val="24"/>
        </w:rPr>
        <w:t>（二）强化资金保障</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pPr>
        <w:pStyle w:val="24"/>
        <w:ind w:firstLine="640"/>
        <w:rPr>
          <w:color w:val="auto"/>
          <w:kern w:val="24"/>
        </w:rPr>
      </w:pPr>
      <w:r>
        <w:rPr>
          <w:rFonts w:hint="eastAsia"/>
          <w:color w:val="auto"/>
          <w:kern w:val="24"/>
        </w:rPr>
        <w:t>建立保持制造业合理比重投入机制，强化要素保障，保持和发展好完整产业体系。进一步优化普惠公平、协同配套、稳定可期的产业政策体系，促进产业高端发展，提升产业位势和控制力。</w:t>
      </w:r>
      <w:r>
        <w:rPr>
          <w:color w:val="auto"/>
          <w:kern w:val="24"/>
        </w:rPr>
        <w:t>做优做好政府投资引导基金，吸引和撬动更多社会资本支持工业发展。</w:t>
      </w:r>
      <w:r>
        <w:rPr>
          <w:rFonts w:hint="eastAsia" w:ascii="Times New Roman" w:hAnsi="Times New Roman" w:eastAsia="仿宋_GB2312" w:cstheme="minorBidi"/>
          <w:i w:val="0"/>
          <w:iCs w:val="0"/>
          <w:caps w:val="0"/>
          <w:color w:val="auto"/>
          <w:spacing w:val="0"/>
          <w:kern w:val="24"/>
          <w:sz w:val="32"/>
          <w:szCs w:val="32"/>
          <w:shd w:val="clear" w:fill="auto"/>
        </w:rPr>
        <w:t>统筹用好地方政府专项债、超长期特别国债、政策性金融工具，支持符合产业导向的企业投资项目建设。</w:t>
      </w:r>
    </w:p>
    <w:p>
      <w:pPr>
        <w:pStyle w:val="24"/>
        <w:ind w:firstLine="640"/>
        <w:outlineLvl w:val="1"/>
        <w:rPr>
          <w:rFonts w:hint="eastAsia" w:ascii="楷体_GB2312" w:hAnsi="楷体_GB2312" w:eastAsia="楷体_GB2312" w:cs="楷体_GB2312"/>
          <w:color w:val="auto"/>
          <w:kern w:val="24"/>
        </w:rPr>
      </w:pPr>
      <w:bookmarkStart w:id="467" w:name="_Toc1244"/>
      <w:bookmarkStart w:id="468" w:name="_Toc19956"/>
      <w:bookmarkStart w:id="469" w:name="_Toc20073"/>
      <w:bookmarkStart w:id="470" w:name="_Toc6124"/>
      <w:bookmarkStart w:id="471" w:name="_Toc19738"/>
      <w:bookmarkStart w:id="472" w:name="_Toc29362"/>
      <w:bookmarkStart w:id="473" w:name="_Toc19141"/>
      <w:bookmarkStart w:id="474" w:name="_Toc27125"/>
      <w:bookmarkStart w:id="475" w:name="_Toc20613"/>
      <w:bookmarkStart w:id="476" w:name="_Toc23905"/>
      <w:bookmarkStart w:id="477" w:name="_Toc5234"/>
      <w:bookmarkStart w:id="478" w:name="_Toc9544"/>
      <w:r>
        <w:rPr>
          <w:rFonts w:ascii="楷体_GB2312" w:hAnsi="楷体_GB2312" w:eastAsia="楷体_GB2312" w:cs="楷体_GB2312"/>
          <w:color w:val="auto"/>
          <w:kern w:val="24"/>
        </w:rPr>
        <w:t>（</w:t>
      </w:r>
      <w:r>
        <w:rPr>
          <w:rFonts w:hint="eastAsia" w:ascii="楷体_GB2312" w:hAnsi="楷体_GB2312" w:eastAsia="楷体_GB2312" w:cs="楷体_GB2312"/>
          <w:color w:val="auto"/>
          <w:kern w:val="24"/>
        </w:rPr>
        <w:t>三</w:t>
      </w:r>
      <w:r>
        <w:rPr>
          <w:rFonts w:ascii="楷体_GB2312" w:hAnsi="楷体_GB2312" w:eastAsia="楷体_GB2312" w:cs="楷体_GB2312"/>
          <w:color w:val="auto"/>
          <w:kern w:val="24"/>
        </w:rPr>
        <w:t>）</w:t>
      </w:r>
      <w:r>
        <w:rPr>
          <w:rFonts w:hint="eastAsia" w:ascii="楷体_GB2312" w:hAnsi="楷体_GB2312" w:eastAsia="楷体_GB2312" w:cs="楷体_GB2312"/>
          <w:color w:val="auto"/>
          <w:kern w:val="24"/>
        </w:rPr>
        <w:t>强化服务保障</w:t>
      </w:r>
      <w:bookmarkEnd w:id="467"/>
      <w:bookmarkEnd w:id="468"/>
      <w:bookmarkEnd w:id="469"/>
      <w:bookmarkEnd w:id="470"/>
      <w:bookmarkEnd w:id="471"/>
      <w:bookmarkEnd w:id="472"/>
      <w:bookmarkEnd w:id="473"/>
      <w:bookmarkEnd w:id="474"/>
      <w:bookmarkEnd w:id="475"/>
      <w:bookmarkEnd w:id="476"/>
      <w:bookmarkEnd w:id="477"/>
      <w:bookmarkEnd w:id="478"/>
    </w:p>
    <w:p>
      <w:pPr>
        <w:rPr>
          <w:color w:val="auto"/>
          <w:kern w:val="24"/>
        </w:rPr>
      </w:pPr>
      <w:r>
        <w:rPr>
          <w:rFonts w:hint="eastAsia"/>
          <w:color w:val="auto"/>
          <w:kern w:val="24"/>
        </w:rPr>
        <w:t>构建宏观</w:t>
      </w:r>
      <w:r>
        <w:rPr>
          <w:color w:val="auto"/>
          <w:kern w:val="24"/>
        </w:rPr>
        <w:t>经济运行调度、</w:t>
      </w:r>
      <w:r>
        <w:rPr>
          <w:rFonts w:hint="eastAsia"/>
          <w:color w:val="auto"/>
          <w:kern w:val="24"/>
        </w:rPr>
        <w:t>中观产业集群培育和微观</w:t>
      </w:r>
      <w:r>
        <w:rPr>
          <w:color w:val="auto"/>
          <w:kern w:val="24"/>
        </w:rPr>
        <w:t>企业服务</w:t>
      </w:r>
      <w:r>
        <w:rPr>
          <w:rFonts w:hint="eastAsia"/>
          <w:color w:val="auto"/>
          <w:kern w:val="24"/>
        </w:rPr>
        <w:t>“三位一体”服务保障机制。强化运行调度，为产业发展和企业经营提供清晰指引。用好分析工具、用足政策工具、健全考核激励工具，保持经济运行在合理区间，为产业集群壮大和企业经营创造稳定可预期的发展环境。聚焦集群培育，助力企业拓展产业生态。围绕重点产业链，着力破除项目落地障碍，推动重大项目加快落地见效。优化企业服务，增强市场主体活力。持续开展挂点联系企业服务，完善“一园一站三格”虚拟园区定格化服务体系。狠抓惠企政策落实，</w:t>
      </w:r>
      <w:r>
        <w:rPr>
          <w:color w:val="auto"/>
          <w:kern w:val="24"/>
        </w:rPr>
        <w:t>深化</w:t>
      </w:r>
      <w:r>
        <w:rPr>
          <w:rFonts w:hint="eastAsia"/>
          <w:color w:val="auto"/>
          <w:kern w:val="24"/>
        </w:rPr>
        <w:t>“龙惠企”平台功能</w:t>
      </w:r>
      <w:r>
        <w:rPr>
          <w:color w:val="auto"/>
          <w:kern w:val="24"/>
        </w:rPr>
        <w:t>，</w:t>
      </w:r>
      <w:r>
        <w:rPr>
          <w:rFonts w:hint="eastAsia"/>
          <w:color w:val="auto"/>
          <w:kern w:val="24"/>
        </w:rPr>
        <w:t>大力推进</w:t>
      </w:r>
      <w:r>
        <w:rPr>
          <w:rFonts w:hint="eastAsia"/>
          <w:color w:val="auto"/>
          <w:kern w:val="24"/>
          <w:lang w:eastAsia="zh-CN"/>
        </w:rPr>
        <w:t>“免申即享、直达快享”</w:t>
      </w:r>
      <w:r>
        <w:rPr>
          <w:rFonts w:hint="eastAsia"/>
          <w:color w:val="auto"/>
          <w:kern w:val="24"/>
        </w:rPr>
        <w:t>。</w:t>
      </w:r>
    </w:p>
    <w:p/>
    <w:p/>
    <w:sectPr>
      <w:footerReference r:id="rId7" w:type="default"/>
      <w:pgSz w:w="11906" w:h="16838"/>
      <w:pgMar w:top="1814" w:right="1474" w:bottom="1814" w:left="1474"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B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Angsana New">
    <w:altName w:val="FreeSerif"/>
    <w:panose1 w:val="02020603050405020304"/>
    <w:charset w:val="DE"/>
    <w:family w:val="roman"/>
    <w:pitch w:val="default"/>
    <w:sig w:usb0="00000000" w:usb1="00000000" w:usb2="00000000" w:usb3="00000000" w:csb0="00010001" w:csb1="00000000"/>
  </w:font>
  <w:font w:name="方正小标宋简体">
    <w:panose1 w:val="02000000000000000000"/>
    <w:charset w:val="86"/>
    <w:family w:val="auto"/>
    <w:pitch w:val="default"/>
    <w:sig w:usb0="A00002BF" w:usb1="184F6CFA" w:usb2="00000012"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558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9558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0" w:firstLineChars="0"/>
                            <w:rPr>
                              <w:sz w:val="21"/>
                              <w:szCs w:val="21"/>
                            </w:rPr>
                          </w:pPr>
                          <w:r>
                            <w:rPr>
                              <w:sz w:val="22"/>
                              <w:szCs w:val="22"/>
                            </w:rPr>
                            <w:fldChar w:fldCharType="begin"/>
                          </w:r>
                          <w:r>
                            <w:rPr>
                              <w:sz w:val="22"/>
                              <w:szCs w:val="22"/>
                            </w:rPr>
                            <w:instrText xml:space="preserve"> PAGE  \* MERGEFORMAT </w:instrText>
                          </w:r>
                          <w:r>
                            <w:rPr>
                              <w:sz w:val="22"/>
                              <w:szCs w:val="22"/>
                            </w:rPr>
                            <w:fldChar w:fldCharType="separate"/>
                          </w:r>
                          <w:r>
                            <w:rPr>
                              <w:sz w:val="22"/>
                              <w:szCs w:val="22"/>
                            </w:rPr>
                            <w:t>3</w:t>
                          </w:r>
                          <w:r>
                            <w:rPr>
                              <w:sz w:val="22"/>
                              <w:szCs w:val="22"/>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5.4pt;mso-position-horizontal:center;mso-position-horizontal-relative:margin;z-index:251659264;mso-width-relative:page;mso-height-relative:page;" filled="f" stroked="f" coordsize="21600,21600" o:gfxdata="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BYAAABkcnMvUEsBAhQAFAAAAAgAh07iQHvPm7zTAAAABAEAAA8AAAAAAAAAAQAgAAAA&#10;OAAAAGRycy9kb3ducmV2LnhtbFBLAQIUABQAAAAIAIdO4kD7K1qzMwIAAFYEAAAOAAAAAAAAAAEA&#10;IAAAADgBAABkcnMvZTJvRG9jLnhtbFBLBQYAAAAABgAGAFkBAADdBQAAAAA=&#10;">
              <v:fill on="f" focussize="0,0"/>
              <v:stroke on="f" weight="0.5pt"/>
              <v:imagedata o:title=""/>
              <o:lock v:ext="edit" aspectratio="f"/>
              <v:textbox inset="0mm,0mm,0mm,0mm" style="mso-fit-shape-to-text:t;">
                <w:txbxContent>
                  <w:p>
                    <w:pPr>
                      <w:pStyle w:val="10"/>
                      <w:ind w:firstLine="0" w:firstLineChars="0"/>
                      <w:rPr>
                        <w:sz w:val="21"/>
                        <w:szCs w:val="21"/>
                      </w:rPr>
                    </w:pPr>
                    <w:r>
                      <w:rPr>
                        <w:sz w:val="22"/>
                        <w:szCs w:val="22"/>
                      </w:rPr>
                      <w:fldChar w:fldCharType="begin"/>
                    </w:r>
                    <w:r>
                      <w:rPr>
                        <w:sz w:val="22"/>
                        <w:szCs w:val="22"/>
                      </w:rPr>
                      <w:instrText xml:space="preserve"> PAGE  \* MERGEFORMAT </w:instrText>
                    </w:r>
                    <w:r>
                      <w:rPr>
                        <w:sz w:val="22"/>
                        <w:szCs w:val="22"/>
                      </w:rPr>
                      <w:fldChar w:fldCharType="separate"/>
                    </w:r>
                    <w:r>
                      <w:rPr>
                        <w:sz w:val="22"/>
                        <w:szCs w:val="22"/>
                      </w:rPr>
                      <w:t>3</w:t>
                    </w:r>
                    <w:r>
                      <w:rPr>
                        <w:sz w:val="22"/>
                        <w:szCs w:val="22"/>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13080" cy="717550"/>
              <wp:effectExtent l="0" t="0" r="0" b="0"/>
              <wp:wrapNone/>
              <wp:docPr id="6" name="文本框 6"/>
              <wp:cNvGraphicFramePr/>
              <a:graphic xmlns:a="http://schemas.openxmlformats.org/drawingml/2006/main">
                <a:graphicData uri="http://schemas.microsoft.com/office/word/2010/wordprocessingShape">
                  <wps:wsp>
                    <wps:cNvSpPr txBox="1"/>
                    <wps:spPr>
                      <a:xfrm>
                        <a:off x="0" y="0"/>
                        <a:ext cx="513080" cy="7175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0" w:firstLineChars="0"/>
                            <w:rPr>
                              <w:sz w:val="21"/>
                              <w:szCs w:val="21"/>
                            </w:rPr>
                          </w:pPr>
                          <w:r>
                            <w:rPr>
                              <w:sz w:val="21"/>
                              <w:szCs w:val="21"/>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56.5pt;width:40.4pt;mso-position-horizontal:outside;mso-position-horizontal-relative:margin;z-index:251660288;mso-width-relative:page;mso-height-relative:page;" filled="f" stroked="f" coordsize="21600,21600" o:gfxdata="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kEZXg9IAAAAEAQAADwAAAAAAAAABACAAAAA4AAAA&#10;ZHJzL2Rvd25yZXYueG1sUEsBAhQAFAAAAAgAh07iQNFHbEUwAgAAVQQAAA4AAAAAAAAAAQAgAAAA&#10;NwEAAGRycy9lMm9Eb2MueG1sUEsFBgAAAAAGAAYAWQEAANkFAAAAAA==&#10;">
              <v:fill on="f" focussize="0,0"/>
              <v:stroke on="f" weight="0.5pt"/>
              <v:imagedata o:title=""/>
              <o:lock v:ext="edit" aspectratio="f"/>
              <v:textbox inset="0mm,0mm,0mm,0mm">
                <w:txbxContent>
                  <w:p>
                    <w:pPr>
                      <w:pStyle w:val="10"/>
                      <w:ind w:firstLine="0" w:firstLineChars="0"/>
                      <w:rPr>
                        <w:sz w:val="21"/>
                        <w:szCs w:val="21"/>
                      </w:rPr>
                    </w:pPr>
                    <w:r>
                      <w:rPr>
                        <w:sz w:val="21"/>
                        <w:szCs w:val="21"/>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0"/>
  <w:drawingGridVerticalSpacing w:val="224"/>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45784"/>
    <w:rsid w:val="00341D29"/>
    <w:rsid w:val="00395507"/>
    <w:rsid w:val="004672B9"/>
    <w:rsid w:val="004C5DF9"/>
    <w:rsid w:val="005B1B3C"/>
    <w:rsid w:val="006D2174"/>
    <w:rsid w:val="008760ED"/>
    <w:rsid w:val="00993FF8"/>
    <w:rsid w:val="00A66AD0"/>
    <w:rsid w:val="00AC7226"/>
    <w:rsid w:val="00AC7D6C"/>
    <w:rsid w:val="00B06747"/>
    <w:rsid w:val="00BB4426"/>
    <w:rsid w:val="00C60F06"/>
    <w:rsid w:val="00C73B0A"/>
    <w:rsid w:val="00F21064"/>
    <w:rsid w:val="0135757A"/>
    <w:rsid w:val="01811E6D"/>
    <w:rsid w:val="018856AF"/>
    <w:rsid w:val="0199229E"/>
    <w:rsid w:val="01A83C46"/>
    <w:rsid w:val="01CF659B"/>
    <w:rsid w:val="01D32DCE"/>
    <w:rsid w:val="01F82835"/>
    <w:rsid w:val="020E3EC9"/>
    <w:rsid w:val="02300221"/>
    <w:rsid w:val="023E1BBB"/>
    <w:rsid w:val="024863AA"/>
    <w:rsid w:val="02714395"/>
    <w:rsid w:val="02CA0087"/>
    <w:rsid w:val="02DC4CEF"/>
    <w:rsid w:val="02DE662A"/>
    <w:rsid w:val="02EC2F4B"/>
    <w:rsid w:val="03105CAF"/>
    <w:rsid w:val="03762747"/>
    <w:rsid w:val="037D56E7"/>
    <w:rsid w:val="038C2D03"/>
    <w:rsid w:val="03C843DE"/>
    <w:rsid w:val="03D42E2E"/>
    <w:rsid w:val="040000C7"/>
    <w:rsid w:val="04200B9F"/>
    <w:rsid w:val="04272460"/>
    <w:rsid w:val="04333FF8"/>
    <w:rsid w:val="045E37B3"/>
    <w:rsid w:val="047B2558"/>
    <w:rsid w:val="04831231"/>
    <w:rsid w:val="049B0AF3"/>
    <w:rsid w:val="04B35096"/>
    <w:rsid w:val="05B20F4D"/>
    <w:rsid w:val="05C416C0"/>
    <w:rsid w:val="06337DFA"/>
    <w:rsid w:val="06833B8C"/>
    <w:rsid w:val="06B07E09"/>
    <w:rsid w:val="06C92050"/>
    <w:rsid w:val="06D96D63"/>
    <w:rsid w:val="070D313E"/>
    <w:rsid w:val="0719785F"/>
    <w:rsid w:val="07321610"/>
    <w:rsid w:val="073D71C9"/>
    <w:rsid w:val="077E7D79"/>
    <w:rsid w:val="07875A76"/>
    <w:rsid w:val="07945BDB"/>
    <w:rsid w:val="079D6814"/>
    <w:rsid w:val="07C51C74"/>
    <w:rsid w:val="08083B74"/>
    <w:rsid w:val="082D6120"/>
    <w:rsid w:val="083D1A72"/>
    <w:rsid w:val="088E6DD5"/>
    <w:rsid w:val="08980F34"/>
    <w:rsid w:val="089D7689"/>
    <w:rsid w:val="08CE13E7"/>
    <w:rsid w:val="08E411B6"/>
    <w:rsid w:val="08FF4320"/>
    <w:rsid w:val="0902253E"/>
    <w:rsid w:val="09112EB6"/>
    <w:rsid w:val="09475E50"/>
    <w:rsid w:val="09623832"/>
    <w:rsid w:val="09656366"/>
    <w:rsid w:val="09BA48A5"/>
    <w:rsid w:val="09FF33E2"/>
    <w:rsid w:val="0A6F4ED5"/>
    <w:rsid w:val="0A8E0EBA"/>
    <w:rsid w:val="0A92134D"/>
    <w:rsid w:val="0A9C1691"/>
    <w:rsid w:val="0AA641D2"/>
    <w:rsid w:val="0ABC0F8B"/>
    <w:rsid w:val="0ABF2161"/>
    <w:rsid w:val="0AEC3963"/>
    <w:rsid w:val="0B293A5F"/>
    <w:rsid w:val="0B2D27F7"/>
    <w:rsid w:val="0BB40E7E"/>
    <w:rsid w:val="0BC202D0"/>
    <w:rsid w:val="0BE102DF"/>
    <w:rsid w:val="0C3703FE"/>
    <w:rsid w:val="0C510952"/>
    <w:rsid w:val="0C5E1E2E"/>
    <w:rsid w:val="0C6108A9"/>
    <w:rsid w:val="0C670B16"/>
    <w:rsid w:val="0C8702E8"/>
    <w:rsid w:val="0D43437F"/>
    <w:rsid w:val="0D4903E8"/>
    <w:rsid w:val="0D496980"/>
    <w:rsid w:val="0D70006B"/>
    <w:rsid w:val="0E021B78"/>
    <w:rsid w:val="0E256EE4"/>
    <w:rsid w:val="0E3347DD"/>
    <w:rsid w:val="0E9512C5"/>
    <w:rsid w:val="0F1F08C5"/>
    <w:rsid w:val="0F1F66BE"/>
    <w:rsid w:val="0F220EF1"/>
    <w:rsid w:val="0F496AAA"/>
    <w:rsid w:val="0F4B7302"/>
    <w:rsid w:val="0FC81379"/>
    <w:rsid w:val="0FD23C54"/>
    <w:rsid w:val="0FFB1273"/>
    <w:rsid w:val="101E4E80"/>
    <w:rsid w:val="10273525"/>
    <w:rsid w:val="102B5C48"/>
    <w:rsid w:val="10306C8C"/>
    <w:rsid w:val="1036693D"/>
    <w:rsid w:val="104966E4"/>
    <w:rsid w:val="10666E2D"/>
    <w:rsid w:val="10D534C1"/>
    <w:rsid w:val="110C1E59"/>
    <w:rsid w:val="111B6815"/>
    <w:rsid w:val="11570045"/>
    <w:rsid w:val="11AB0155"/>
    <w:rsid w:val="11AF565C"/>
    <w:rsid w:val="11D4206B"/>
    <w:rsid w:val="11DD42E4"/>
    <w:rsid w:val="11F0177A"/>
    <w:rsid w:val="12497D2A"/>
    <w:rsid w:val="129715D3"/>
    <w:rsid w:val="12E00606"/>
    <w:rsid w:val="12F11A1C"/>
    <w:rsid w:val="13124E8E"/>
    <w:rsid w:val="1336094E"/>
    <w:rsid w:val="13553507"/>
    <w:rsid w:val="135E179C"/>
    <w:rsid w:val="135F18EC"/>
    <w:rsid w:val="139E2EC0"/>
    <w:rsid w:val="1422741A"/>
    <w:rsid w:val="1445023A"/>
    <w:rsid w:val="14526346"/>
    <w:rsid w:val="14A72759"/>
    <w:rsid w:val="14D41353"/>
    <w:rsid w:val="14EF1875"/>
    <w:rsid w:val="15332945"/>
    <w:rsid w:val="154C316C"/>
    <w:rsid w:val="15523BC2"/>
    <w:rsid w:val="15B64A89"/>
    <w:rsid w:val="15C0597A"/>
    <w:rsid w:val="1606331B"/>
    <w:rsid w:val="1640518B"/>
    <w:rsid w:val="164756E1"/>
    <w:rsid w:val="16AD5027"/>
    <w:rsid w:val="170734D1"/>
    <w:rsid w:val="172D6815"/>
    <w:rsid w:val="17346201"/>
    <w:rsid w:val="178D1819"/>
    <w:rsid w:val="179716E4"/>
    <w:rsid w:val="179C17B4"/>
    <w:rsid w:val="18181E97"/>
    <w:rsid w:val="18593B8F"/>
    <w:rsid w:val="186D1037"/>
    <w:rsid w:val="188A494C"/>
    <w:rsid w:val="18F02060"/>
    <w:rsid w:val="18F558C8"/>
    <w:rsid w:val="19046EFB"/>
    <w:rsid w:val="19353F17"/>
    <w:rsid w:val="195C711E"/>
    <w:rsid w:val="196C5897"/>
    <w:rsid w:val="19B0078C"/>
    <w:rsid w:val="19D86D16"/>
    <w:rsid w:val="19E5593D"/>
    <w:rsid w:val="1A626F8D"/>
    <w:rsid w:val="1A8B081D"/>
    <w:rsid w:val="1AA575E5"/>
    <w:rsid w:val="1AF8344E"/>
    <w:rsid w:val="1B560ED6"/>
    <w:rsid w:val="1B6D5BEA"/>
    <w:rsid w:val="1B85364D"/>
    <w:rsid w:val="1B9E3FF5"/>
    <w:rsid w:val="1BBC6B9C"/>
    <w:rsid w:val="1C886993"/>
    <w:rsid w:val="1CB67689"/>
    <w:rsid w:val="1CD05AC4"/>
    <w:rsid w:val="1CD83585"/>
    <w:rsid w:val="1CF34F44"/>
    <w:rsid w:val="1D0D03BB"/>
    <w:rsid w:val="1D165D86"/>
    <w:rsid w:val="1D3F5AB9"/>
    <w:rsid w:val="1D707579"/>
    <w:rsid w:val="1D823B3D"/>
    <w:rsid w:val="1DBB1762"/>
    <w:rsid w:val="1DF62B6A"/>
    <w:rsid w:val="1E333C6E"/>
    <w:rsid w:val="1E623E81"/>
    <w:rsid w:val="1E694CFE"/>
    <w:rsid w:val="1E6A4663"/>
    <w:rsid w:val="1E8F40C9"/>
    <w:rsid w:val="1EB87F59"/>
    <w:rsid w:val="1EBC25FB"/>
    <w:rsid w:val="1EC7108A"/>
    <w:rsid w:val="1F1B6B7B"/>
    <w:rsid w:val="1F416EC3"/>
    <w:rsid w:val="1F581ECF"/>
    <w:rsid w:val="1F7855E4"/>
    <w:rsid w:val="1F7D0331"/>
    <w:rsid w:val="1F881607"/>
    <w:rsid w:val="1F882FF2"/>
    <w:rsid w:val="1F920200"/>
    <w:rsid w:val="20573810"/>
    <w:rsid w:val="20653333"/>
    <w:rsid w:val="20812B7C"/>
    <w:rsid w:val="208E288A"/>
    <w:rsid w:val="20967991"/>
    <w:rsid w:val="20E42419"/>
    <w:rsid w:val="20EE3BA5"/>
    <w:rsid w:val="210963B5"/>
    <w:rsid w:val="21213E95"/>
    <w:rsid w:val="214F0809"/>
    <w:rsid w:val="21D74344"/>
    <w:rsid w:val="21E14586"/>
    <w:rsid w:val="21EA34A1"/>
    <w:rsid w:val="22084B69"/>
    <w:rsid w:val="220B18C2"/>
    <w:rsid w:val="221C5C74"/>
    <w:rsid w:val="221E7069"/>
    <w:rsid w:val="224D0523"/>
    <w:rsid w:val="22BE5097"/>
    <w:rsid w:val="22CF355D"/>
    <w:rsid w:val="22E54766"/>
    <w:rsid w:val="22FA3679"/>
    <w:rsid w:val="23087226"/>
    <w:rsid w:val="2310412D"/>
    <w:rsid w:val="237B0B11"/>
    <w:rsid w:val="238E28DA"/>
    <w:rsid w:val="23971A56"/>
    <w:rsid w:val="23F21EA7"/>
    <w:rsid w:val="24171AC2"/>
    <w:rsid w:val="243477BF"/>
    <w:rsid w:val="246D1E91"/>
    <w:rsid w:val="24DD793C"/>
    <w:rsid w:val="251675E0"/>
    <w:rsid w:val="25390366"/>
    <w:rsid w:val="255130C2"/>
    <w:rsid w:val="256F4E9B"/>
    <w:rsid w:val="257C0AB4"/>
    <w:rsid w:val="25934A6C"/>
    <w:rsid w:val="25A35F13"/>
    <w:rsid w:val="25A52380"/>
    <w:rsid w:val="25AB253C"/>
    <w:rsid w:val="25AC595B"/>
    <w:rsid w:val="25E6470C"/>
    <w:rsid w:val="25E82042"/>
    <w:rsid w:val="25EA683C"/>
    <w:rsid w:val="26065113"/>
    <w:rsid w:val="26192901"/>
    <w:rsid w:val="264B52C7"/>
    <w:rsid w:val="26830430"/>
    <w:rsid w:val="26953E61"/>
    <w:rsid w:val="269E687E"/>
    <w:rsid w:val="270C4329"/>
    <w:rsid w:val="2740373B"/>
    <w:rsid w:val="27414C05"/>
    <w:rsid w:val="276D33D3"/>
    <w:rsid w:val="27A639BE"/>
    <w:rsid w:val="27A91A84"/>
    <w:rsid w:val="27D7061C"/>
    <w:rsid w:val="28156ACF"/>
    <w:rsid w:val="282D5854"/>
    <w:rsid w:val="2876201D"/>
    <w:rsid w:val="288C086E"/>
    <w:rsid w:val="289D5B3C"/>
    <w:rsid w:val="28AB538A"/>
    <w:rsid w:val="28BD5CDE"/>
    <w:rsid w:val="28BE1833"/>
    <w:rsid w:val="28D82431"/>
    <w:rsid w:val="296D3060"/>
    <w:rsid w:val="29797E22"/>
    <w:rsid w:val="29893722"/>
    <w:rsid w:val="29BA08FB"/>
    <w:rsid w:val="2A00626B"/>
    <w:rsid w:val="2A4519A7"/>
    <w:rsid w:val="2A9E6AAB"/>
    <w:rsid w:val="2AB033FD"/>
    <w:rsid w:val="2B032D27"/>
    <w:rsid w:val="2B0C537A"/>
    <w:rsid w:val="2B1A4889"/>
    <w:rsid w:val="2BA91A2C"/>
    <w:rsid w:val="2C2250B0"/>
    <w:rsid w:val="2C816543"/>
    <w:rsid w:val="2C9640B5"/>
    <w:rsid w:val="2CC814AD"/>
    <w:rsid w:val="2CCA048A"/>
    <w:rsid w:val="2D21444F"/>
    <w:rsid w:val="2D78548B"/>
    <w:rsid w:val="2DD4200E"/>
    <w:rsid w:val="2DF772B8"/>
    <w:rsid w:val="2E5213AB"/>
    <w:rsid w:val="2E5C5122"/>
    <w:rsid w:val="2E6B67E7"/>
    <w:rsid w:val="2E6F38D9"/>
    <w:rsid w:val="2E8250B1"/>
    <w:rsid w:val="2EA65243"/>
    <w:rsid w:val="2EAB7D7E"/>
    <w:rsid w:val="2EB67A5C"/>
    <w:rsid w:val="2ECD27D0"/>
    <w:rsid w:val="2EE37AC0"/>
    <w:rsid w:val="2EE91B42"/>
    <w:rsid w:val="2EFB6F38"/>
    <w:rsid w:val="2FA1089C"/>
    <w:rsid w:val="2FB97EAD"/>
    <w:rsid w:val="2FC260AC"/>
    <w:rsid w:val="2FD309CC"/>
    <w:rsid w:val="301A5EE8"/>
    <w:rsid w:val="301D41B8"/>
    <w:rsid w:val="302E54F0"/>
    <w:rsid w:val="30362751"/>
    <w:rsid w:val="3053665B"/>
    <w:rsid w:val="30571642"/>
    <w:rsid w:val="30A84A6D"/>
    <w:rsid w:val="31277A6D"/>
    <w:rsid w:val="31966D29"/>
    <w:rsid w:val="31A87545"/>
    <w:rsid w:val="31AF440F"/>
    <w:rsid w:val="32170D29"/>
    <w:rsid w:val="32235936"/>
    <w:rsid w:val="327402D3"/>
    <w:rsid w:val="327A0360"/>
    <w:rsid w:val="32BF0CEB"/>
    <w:rsid w:val="32C0320F"/>
    <w:rsid w:val="32FA0B34"/>
    <w:rsid w:val="3304078A"/>
    <w:rsid w:val="332C61B9"/>
    <w:rsid w:val="333E775C"/>
    <w:rsid w:val="33AE7AA8"/>
    <w:rsid w:val="33BA709B"/>
    <w:rsid w:val="33EC3CC1"/>
    <w:rsid w:val="340A734E"/>
    <w:rsid w:val="341B6047"/>
    <w:rsid w:val="34344BE0"/>
    <w:rsid w:val="34554F4F"/>
    <w:rsid w:val="34CC177B"/>
    <w:rsid w:val="34CD752F"/>
    <w:rsid w:val="350031D3"/>
    <w:rsid w:val="35137922"/>
    <w:rsid w:val="35C46CE3"/>
    <w:rsid w:val="36083C16"/>
    <w:rsid w:val="360C597C"/>
    <w:rsid w:val="36501964"/>
    <w:rsid w:val="36612E64"/>
    <w:rsid w:val="36667E48"/>
    <w:rsid w:val="368714AF"/>
    <w:rsid w:val="368D0A96"/>
    <w:rsid w:val="36BA5D2F"/>
    <w:rsid w:val="36D05899"/>
    <w:rsid w:val="36E61811"/>
    <w:rsid w:val="37046FAB"/>
    <w:rsid w:val="37512BFD"/>
    <w:rsid w:val="37B502A5"/>
    <w:rsid w:val="38402264"/>
    <w:rsid w:val="387B2B45"/>
    <w:rsid w:val="388A2396"/>
    <w:rsid w:val="389D4E17"/>
    <w:rsid w:val="38B17DEF"/>
    <w:rsid w:val="38E37D3A"/>
    <w:rsid w:val="38EB1237"/>
    <w:rsid w:val="39113940"/>
    <w:rsid w:val="391905F6"/>
    <w:rsid w:val="39205782"/>
    <w:rsid w:val="3930590E"/>
    <w:rsid w:val="39DB7DF1"/>
    <w:rsid w:val="39F5707E"/>
    <w:rsid w:val="3A091644"/>
    <w:rsid w:val="3A4537B3"/>
    <w:rsid w:val="3AAF36D1"/>
    <w:rsid w:val="3AB15046"/>
    <w:rsid w:val="3AF410E4"/>
    <w:rsid w:val="3B7B64DE"/>
    <w:rsid w:val="3BA344DA"/>
    <w:rsid w:val="3BDD7DCA"/>
    <w:rsid w:val="3C0659D0"/>
    <w:rsid w:val="3C114A65"/>
    <w:rsid w:val="3C1E72D6"/>
    <w:rsid w:val="3C2B41F9"/>
    <w:rsid w:val="3C4D430D"/>
    <w:rsid w:val="3C5B1960"/>
    <w:rsid w:val="3C751F98"/>
    <w:rsid w:val="3C79662B"/>
    <w:rsid w:val="3CAA05F4"/>
    <w:rsid w:val="3CB51F07"/>
    <w:rsid w:val="3CC73457"/>
    <w:rsid w:val="3CCB0837"/>
    <w:rsid w:val="3CEE6F04"/>
    <w:rsid w:val="3CEF353D"/>
    <w:rsid w:val="3D190BE1"/>
    <w:rsid w:val="3D263048"/>
    <w:rsid w:val="3D6105A3"/>
    <w:rsid w:val="3D7E6C82"/>
    <w:rsid w:val="3D90570D"/>
    <w:rsid w:val="3D9B2785"/>
    <w:rsid w:val="3DE00A75"/>
    <w:rsid w:val="3E2D5039"/>
    <w:rsid w:val="3E3C66B7"/>
    <w:rsid w:val="3E955F88"/>
    <w:rsid w:val="3E9D6CA5"/>
    <w:rsid w:val="3EAF72AC"/>
    <w:rsid w:val="3EB158B4"/>
    <w:rsid w:val="3EB4603B"/>
    <w:rsid w:val="3ECA542A"/>
    <w:rsid w:val="3ED80049"/>
    <w:rsid w:val="3EE11ADE"/>
    <w:rsid w:val="3EF55AA5"/>
    <w:rsid w:val="3F106E57"/>
    <w:rsid w:val="3F5F05EB"/>
    <w:rsid w:val="3F7A61BD"/>
    <w:rsid w:val="3FBD5AEC"/>
    <w:rsid w:val="3FC10D06"/>
    <w:rsid w:val="3FE63287"/>
    <w:rsid w:val="40436D96"/>
    <w:rsid w:val="40653DEA"/>
    <w:rsid w:val="40B409BD"/>
    <w:rsid w:val="40E06809"/>
    <w:rsid w:val="41307330"/>
    <w:rsid w:val="41746BFB"/>
    <w:rsid w:val="41824790"/>
    <w:rsid w:val="41990EB7"/>
    <w:rsid w:val="41AD4B47"/>
    <w:rsid w:val="41C14C76"/>
    <w:rsid w:val="41D07ECD"/>
    <w:rsid w:val="41E31AF4"/>
    <w:rsid w:val="41E9396D"/>
    <w:rsid w:val="4255302B"/>
    <w:rsid w:val="425A03C6"/>
    <w:rsid w:val="42795B9B"/>
    <w:rsid w:val="42A94EAA"/>
    <w:rsid w:val="42AF682B"/>
    <w:rsid w:val="42B64D76"/>
    <w:rsid w:val="42C76F9F"/>
    <w:rsid w:val="42E776BF"/>
    <w:rsid w:val="43206001"/>
    <w:rsid w:val="433C5531"/>
    <w:rsid w:val="43642CC9"/>
    <w:rsid w:val="43866F99"/>
    <w:rsid w:val="43A11297"/>
    <w:rsid w:val="43AA1EC1"/>
    <w:rsid w:val="43AE534C"/>
    <w:rsid w:val="43B80A0B"/>
    <w:rsid w:val="43D129E6"/>
    <w:rsid w:val="43E91E96"/>
    <w:rsid w:val="43F30554"/>
    <w:rsid w:val="441A3333"/>
    <w:rsid w:val="443815DD"/>
    <w:rsid w:val="446B2673"/>
    <w:rsid w:val="450038DE"/>
    <w:rsid w:val="45082B94"/>
    <w:rsid w:val="45390FA1"/>
    <w:rsid w:val="458A750E"/>
    <w:rsid w:val="45A93ABC"/>
    <w:rsid w:val="45AB79F5"/>
    <w:rsid w:val="45B5636D"/>
    <w:rsid w:val="45DE30BD"/>
    <w:rsid w:val="45FA35DE"/>
    <w:rsid w:val="45FB5257"/>
    <w:rsid w:val="46205483"/>
    <w:rsid w:val="465D18F9"/>
    <w:rsid w:val="469C0944"/>
    <w:rsid w:val="46B300A5"/>
    <w:rsid w:val="46CC73B9"/>
    <w:rsid w:val="47132F34"/>
    <w:rsid w:val="471F1BDF"/>
    <w:rsid w:val="477E2FFA"/>
    <w:rsid w:val="47B651E6"/>
    <w:rsid w:val="47C63E08"/>
    <w:rsid w:val="47E56984"/>
    <w:rsid w:val="4856518C"/>
    <w:rsid w:val="48667CE0"/>
    <w:rsid w:val="4889772E"/>
    <w:rsid w:val="48CE7418"/>
    <w:rsid w:val="48DC60DF"/>
    <w:rsid w:val="49567921"/>
    <w:rsid w:val="498C0DF8"/>
    <w:rsid w:val="498D2B9F"/>
    <w:rsid w:val="499733B6"/>
    <w:rsid w:val="49D72743"/>
    <w:rsid w:val="4A255707"/>
    <w:rsid w:val="4A6B040C"/>
    <w:rsid w:val="4A7471C8"/>
    <w:rsid w:val="4AAE0BBB"/>
    <w:rsid w:val="4AD1580E"/>
    <w:rsid w:val="4B095ABF"/>
    <w:rsid w:val="4B2E7188"/>
    <w:rsid w:val="4B3E17D6"/>
    <w:rsid w:val="4B536925"/>
    <w:rsid w:val="4B552AA6"/>
    <w:rsid w:val="4B5876EC"/>
    <w:rsid w:val="4BDB4BDB"/>
    <w:rsid w:val="4BF37913"/>
    <w:rsid w:val="4C2346F7"/>
    <w:rsid w:val="4C4220F5"/>
    <w:rsid w:val="4C471D15"/>
    <w:rsid w:val="4C557302"/>
    <w:rsid w:val="4C7A1F6C"/>
    <w:rsid w:val="4C804ECE"/>
    <w:rsid w:val="4CB04AC3"/>
    <w:rsid w:val="4D060266"/>
    <w:rsid w:val="4D2C6677"/>
    <w:rsid w:val="4D307D3E"/>
    <w:rsid w:val="4D5F7E68"/>
    <w:rsid w:val="4D985C02"/>
    <w:rsid w:val="4D9F516C"/>
    <w:rsid w:val="4DB17259"/>
    <w:rsid w:val="4DB7491F"/>
    <w:rsid w:val="4DDA3093"/>
    <w:rsid w:val="4DF95E75"/>
    <w:rsid w:val="4E326885"/>
    <w:rsid w:val="4E36082A"/>
    <w:rsid w:val="4E616270"/>
    <w:rsid w:val="4EA0220D"/>
    <w:rsid w:val="4EAB0B9D"/>
    <w:rsid w:val="4ED01DC0"/>
    <w:rsid w:val="4EEB1388"/>
    <w:rsid w:val="4F3F25CA"/>
    <w:rsid w:val="4F426A39"/>
    <w:rsid w:val="4F461A08"/>
    <w:rsid w:val="4F4E52AC"/>
    <w:rsid w:val="4F5F1A5F"/>
    <w:rsid w:val="4F734876"/>
    <w:rsid w:val="50FB45EB"/>
    <w:rsid w:val="5114013D"/>
    <w:rsid w:val="5116195C"/>
    <w:rsid w:val="511C537C"/>
    <w:rsid w:val="51621046"/>
    <w:rsid w:val="517A013D"/>
    <w:rsid w:val="518E3BE9"/>
    <w:rsid w:val="51B04820"/>
    <w:rsid w:val="51C520E9"/>
    <w:rsid w:val="521953A3"/>
    <w:rsid w:val="52277CB0"/>
    <w:rsid w:val="52333187"/>
    <w:rsid w:val="5245699D"/>
    <w:rsid w:val="527D3314"/>
    <w:rsid w:val="52AB484B"/>
    <w:rsid w:val="52CD24EF"/>
    <w:rsid w:val="531E2D4A"/>
    <w:rsid w:val="53762412"/>
    <w:rsid w:val="538C4158"/>
    <w:rsid w:val="53977817"/>
    <w:rsid w:val="53B857BE"/>
    <w:rsid w:val="53E47AF0"/>
    <w:rsid w:val="542F0750"/>
    <w:rsid w:val="543F741C"/>
    <w:rsid w:val="54407B18"/>
    <w:rsid w:val="548637E2"/>
    <w:rsid w:val="549574D1"/>
    <w:rsid w:val="54C42892"/>
    <w:rsid w:val="54D00CFF"/>
    <w:rsid w:val="54DE17E0"/>
    <w:rsid w:val="54E72FF4"/>
    <w:rsid w:val="550240DE"/>
    <w:rsid w:val="551507FE"/>
    <w:rsid w:val="55400578"/>
    <w:rsid w:val="558A2B59"/>
    <w:rsid w:val="55A17353"/>
    <w:rsid w:val="55A3500D"/>
    <w:rsid w:val="55D03D09"/>
    <w:rsid w:val="55DF0EB7"/>
    <w:rsid w:val="55F847F3"/>
    <w:rsid w:val="56153915"/>
    <w:rsid w:val="56215EFB"/>
    <w:rsid w:val="56235919"/>
    <w:rsid w:val="568467DE"/>
    <w:rsid w:val="56A634F3"/>
    <w:rsid w:val="56E427E5"/>
    <w:rsid w:val="57732FBB"/>
    <w:rsid w:val="578E4942"/>
    <w:rsid w:val="57976B44"/>
    <w:rsid w:val="57EF5002"/>
    <w:rsid w:val="57F9603D"/>
    <w:rsid w:val="586D2206"/>
    <w:rsid w:val="58727B09"/>
    <w:rsid w:val="58C61EBA"/>
    <w:rsid w:val="58EB2E9D"/>
    <w:rsid w:val="58F15910"/>
    <w:rsid w:val="5907535B"/>
    <w:rsid w:val="592B61C1"/>
    <w:rsid w:val="592E0BF6"/>
    <w:rsid w:val="593B4656"/>
    <w:rsid w:val="597C07CB"/>
    <w:rsid w:val="599124C8"/>
    <w:rsid w:val="599265E0"/>
    <w:rsid w:val="59D152CE"/>
    <w:rsid w:val="59D947E8"/>
    <w:rsid w:val="5A557999"/>
    <w:rsid w:val="5A6248A8"/>
    <w:rsid w:val="5A703880"/>
    <w:rsid w:val="5AD35AAE"/>
    <w:rsid w:val="5B12116A"/>
    <w:rsid w:val="5B3940DB"/>
    <w:rsid w:val="5B3B0742"/>
    <w:rsid w:val="5B6515E9"/>
    <w:rsid w:val="5B736D19"/>
    <w:rsid w:val="5B8C6FDE"/>
    <w:rsid w:val="5BAD6C95"/>
    <w:rsid w:val="5C0E7AD0"/>
    <w:rsid w:val="5C7C1DB9"/>
    <w:rsid w:val="5CD63DAE"/>
    <w:rsid w:val="5D02776D"/>
    <w:rsid w:val="5D183FFA"/>
    <w:rsid w:val="5D325E4D"/>
    <w:rsid w:val="5D3D5CBE"/>
    <w:rsid w:val="5D470900"/>
    <w:rsid w:val="5D691211"/>
    <w:rsid w:val="5D7D25F1"/>
    <w:rsid w:val="5DA65E5B"/>
    <w:rsid w:val="5DC667FE"/>
    <w:rsid w:val="5DE07410"/>
    <w:rsid w:val="5DEA21A7"/>
    <w:rsid w:val="5DF476FE"/>
    <w:rsid w:val="5E0219E3"/>
    <w:rsid w:val="5E055781"/>
    <w:rsid w:val="5E056FE1"/>
    <w:rsid w:val="5E104189"/>
    <w:rsid w:val="5E510478"/>
    <w:rsid w:val="5E5950BE"/>
    <w:rsid w:val="5E6D2D72"/>
    <w:rsid w:val="5EFD0E56"/>
    <w:rsid w:val="5F081D78"/>
    <w:rsid w:val="5F3A715E"/>
    <w:rsid w:val="5F57550B"/>
    <w:rsid w:val="5F6339C4"/>
    <w:rsid w:val="5F696A11"/>
    <w:rsid w:val="6022031E"/>
    <w:rsid w:val="603101DE"/>
    <w:rsid w:val="605602F3"/>
    <w:rsid w:val="60575AEE"/>
    <w:rsid w:val="60AA20C1"/>
    <w:rsid w:val="60BD3EB8"/>
    <w:rsid w:val="60F54F6C"/>
    <w:rsid w:val="611E1627"/>
    <w:rsid w:val="61300818"/>
    <w:rsid w:val="61474BF7"/>
    <w:rsid w:val="61553C83"/>
    <w:rsid w:val="617F0BD7"/>
    <w:rsid w:val="61884BC8"/>
    <w:rsid w:val="61A44D62"/>
    <w:rsid w:val="622639C9"/>
    <w:rsid w:val="623E116A"/>
    <w:rsid w:val="624D3A11"/>
    <w:rsid w:val="626038A3"/>
    <w:rsid w:val="626D33A6"/>
    <w:rsid w:val="62764D9C"/>
    <w:rsid w:val="62A74B0A"/>
    <w:rsid w:val="62B11A87"/>
    <w:rsid w:val="62C751AC"/>
    <w:rsid w:val="6302613E"/>
    <w:rsid w:val="631134A6"/>
    <w:rsid w:val="631516C7"/>
    <w:rsid w:val="634E44D8"/>
    <w:rsid w:val="635822A8"/>
    <w:rsid w:val="637B207F"/>
    <w:rsid w:val="638702D0"/>
    <w:rsid w:val="63B523A0"/>
    <w:rsid w:val="63C75584"/>
    <w:rsid w:val="643711B7"/>
    <w:rsid w:val="6439079D"/>
    <w:rsid w:val="645E569D"/>
    <w:rsid w:val="64663CB3"/>
    <w:rsid w:val="64A15589"/>
    <w:rsid w:val="64A96506"/>
    <w:rsid w:val="64F1206D"/>
    <w:rsid w:val="653C46C6"/>
    <w:rsid w:val="65AC46FF"/>
    <w:rsid w:val="65F77346"/>
    <w:rsid w:val="660202AA"/>
    <w:rsid w:val="6628441E"/>
    <w:rsid w:val="665C746E"/>
    <w:rsid w:val="665F544A"/>
    <w:rsid w:val="66634E9C"/>
    <w:rsid w:val="667271DD"/>
    <w:rsid w:val="66BA5308"/>
    <w:rsid w:val="66BB176A"/>
    <w:rsid w:val="66EA7A5B"/>
    <w:rsid w:val="6736338C"/>
    <w:rsid w:val="673D5A3D"/>
    <w:rsid w:val="674C26FE"/>
    <w:rsid w:val="675F231C"/>
    <w:rsid w:val="678533E6"/>
    <w:rsid w:val="678F7CFE"/>
    <w:rsid w:val="67987117"/>
    <w:rsid w:val="67B470FA"/>
    <w:rsid w:val="67B71456"/>
    <w:rsid w:val="68254D2C"/>
    <w:rsid w:val="68264723"/>
    <w:rsid w:val="68331AC1"/>
    <w:rsid w:val="68697408"/>
    <w:rsid w:val="68716AF5"/>
    <w:rsid w:val="68762EF0"/>
    <w:rsid w:val="689A416D"/>
    <w:rsid w:val="68B0116D"/>
    <w:rsid w:val="68DC48AE"/>
    <w:rsid w:val="68F62348"/>
    <w:rsid w:val="695A3506"/>
    <w:rsid w:val="696C456A"/>
    <w:rsid w:val="697B2E1E"/>
    <w:rsid w:val="69A43F1B"/>
    <w:rsid w:val="69AA5480"/>
    <w:rsid w:val="69E06B54"/>
    <w:rsid w:val="69E93C5A"/>
    <w:rsid w:val="69F2666B"/>
    <w:rsid w:val="6A076A5F"/>
    <w:rsid w:val="6A9115B5"/>
    <w:rsid w:val="6AC83870"/>
    <w:rsid w:val="6AE07093"/>
    <w:rsid w:val="6AEF52A0"/>
    <w:rsid w:val="6AEF6ECC"/>
    <w:rsid w:val="6AF3785D"/>
    <w:rsid w:val="6B464BBE"/>
    <w:rsid w:val="6B4849B1"/>
    <w:rsid w:val="6B4D2604"/>
    <w:rsid w:val="6B5A30E3"/>
    <w:rsid w:val="6B881251"/>
    <w:rsid w:val="6BC32289"/>
    <w:rsid w:val="6BC51ADD"/>
    <w:rsid w:val="6BEB062E"/>
    <w:rsid w:val="6C375151"/>
    <w:rsid w:val="6C376983"/>
    <w:rsid w:val="6C3F5DB4"/>
    <w:rsid w:val="6C8C3746"/>
    <w:rsid w:val="6C90660F"/>
    <w:rsid w:val="6CCD6C21"/>
    <w:rsid w:val="6CD535A2"/>
    <w:rsid w:val="6D9A0722"/>
    <w:rsid w:val="6DDB3069"/>
    <w:rsid w:val="6DE451E6"/>
    <w:rsid w:val="6DE53B28"/>
    <w:rsid w:val="6DF63E45"/>
    <w:rsid w:val="6E1A6F55"/>
    <w:rsid w:val="6E535B46"/>
    <w:rsid w:val="6E6F55D4"/>
    <w:rsid w:val="6E764A4C"/>
    <w:rsid w:val="6EC5724B"/>
    <w:rsid w:val="6F1A52CF"/>
    <w:rsid w:val="6F2177A4"/>
    <w:rsid w:val="6F3172DD"/>
    <w:rsid w:val="6F3365CC"/>
    <w:rsid w:val="6F3D55B6"/>
    <w:rsid w:val="6F495140"/>
    <w:rsid w:val="6F5B4DEA"/>
    <w:rsid w:val="6F667AFB"/>
    <w:rsid w:val="6F6E5C50"/>
    <w:rsid w:val="6F792D5A"/>
    <w:rsid w:val="6F946C38"/>
    <w:rsid w:val="6FB866E0"/>
    <w:rsid w:val="6FB87585"/>
    <w:rsid w:val="6FC908CB"/>
    <w:rsid w:val="6FDC0F91"/>
    <w:rsid w:val="703331C9"/>
    <w:rsid w:val="70467D64"/>
    <w:rsid w:val="707B1384"/>
    <w:rsid w:val="70870E8D"/>
    <w:rsid w:val="711B1410"/>
    <w:rsid w:val="719E357C"/>
    <w:rsid w:val="719F7978"/>
    <w:rsid w:val="71AA1763"/>
    <w:rsid w:val="71B7463E"/>
    <w:rsid w:val="71E12343"/>
    <w:rsid w:val="71EC7B52"/>
    <w:rsid w:val="71F17B50"/>
    <w:rsid w:val="72031629"/>
    <w:rsid w:val="720A3A53"/>
    <w:rsid w:val="72113330"/>
    <w:rsid w:val="7234039A"/>
    <w:rsid w:val="725D51E5"/>
    <w:rsid w:val="72D67479"/>
    <w:rsid w:val="73041324"/>
    <w:rsid w:val="731B79E2"/>
    <w:rsid w:val="73864F88"/>
    <w:rsid w:val="738714F6"/>
    <w:rsid w:val="739771FC"/>
    <w:rsid w:val="73B23BC9"/>
    <w:rsid w:val="73D47E32"/>
    <w:rsid w:val="73EF0CEB"/>
    <w:rsid w:val="73FE74B7"/>
    <w:rsid w:val="746F0B07"/>
    <w:rsid w:val="74756608"/>
    <w:rsid w:val="747B7AD2"/>
    <w:rsid w:val="748A5D38"/>
    <w:rsid w:val="74C3354A"/>
    <w:rsid w:val="74C476C3"/>
    <w:rsid w:val="754C5D00"/>
    <w:rsid w:val="75713313"/>
    <w:rsid w:val="7591259A"/>
    <w:rsid w:val="75B16EFC"/>
    <w:rsid w:val="7601788A"/>
    <w:rsid w:val="76091AB6"/>
    <w:rsid w:val="7613286D"/>
    <w:rsid w:val="763C3364"/>
    <w:rsid w:val="76C70E7F"/>
    <w:rsid w:val="76EB1A01"/>
    <w:rsid w:val="77423A24"/>
    <w:rsid w:val="775A5FF7"/>
    <w:rsid w:val="77B70517"/>
    <w:rsid w:val="77E71047"/>
    <w:rsid w:val="780A0D16"/>
    <w:rsid w:val="786A41B8"/>
    <w:rsid w:val="78A2698B"/>
    <w:rsid w:val="78C26399"/>
    <w:rsid w:val="78D93E53"/>
    <w:rsid w:val="78E8332F"/>
    <w:rsid w:val="791C7512"/>
    <w:rsid w:val="791F31F5"/>
    <w:rsid w:val="797733A9"/>
    <w:rsid w:val="79813F46"/>
    <w:rsid w:val="79C1710F"/>
    <w:rsid w:val="79DC3BE6"/>
    <w:rsid w:val="79ED63F0"/>
    <w:rsid w:val="7A2F608B"/>
    <w:rsid w:val="7A9721BB"/>
    <w:rsid w:val="7AB67C5E"/>
    <w:rsid w:val="7AD26A05"/>
    <w:rsid w:val="7B323D9F"/>
    <w:rsid w:val="7B330595"/>
    <w:rsid w:val="7BB10F17"/>
    <w:rsid w:val="7BB4656B"/>
    <w:rsid w:val="7BC45FFB"/>
    <w:rsid w:val="7BDD689C"/>
    <w:rsid w:val="7BFD3FAD"/>
    <w:rsid w:val="7C33216D"/>
    <w:rsid w:val="7C395452"/>
    <w:rsid w:val="7C4363ED"/>
    <w:rsid w:val="7C501917"/>
    <w:rsid w:val="7C662C85"/>
    <w:rsid w:val="7C757FED"/>
    <w:rsid w:val="7C9B64AC"/>
    <w:rsid w:val="7CAB0D91"/>
    <w:rsid w:val="7CB7209C"/>
    <w:rsid w:val="7CC5682B"/>
    <w:rsid w:val="7CD962F7"/>
    <w:rsid w:val="7CF229CE"/>
    <w:rsid w:val="7D5316BF"/>
    <w:rsid w:val="7D5B4A17"/>
    <w:rsid w:val="7D5E049B"/>
    <w:rsid w:val="7D710B07"/>
    <w:rsid w:val="7D783A02"/>
    <w:rsid w:val="7D901B65"/>
    <w:rsid w:val="7DE06CC2"/>
    <w:rsid w:val="7E5B38A8"/>
    <w:rsid w:val="7E710CA7"/>
    <w:rsid w:val="7F0234A2"/>
    <w:rsid w:val="7F6064F0"/>
    <w:rsid w:val="7F6729EC"/>
    <w:rsid w:val="7FA6577A"/>
    <w:rsid w:val="7FF0789B"/>
    <w:rsid w:val="F77ADB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ascii="Times New Roman" w:hAnsi="Times New Roman" w:eastAsia="仿宋_GB2312" w:cstheme="minorBidi"/>
      <w:sz w:val="32"/>
      <w:szCs w:val="32"/>
      <w:lang w:val="en-US" w:eastAsia="zh-CN" w:bidi="th-TH"/>
    </w:rPr>
  </w:style>
  <w:style w:type="paragraph" w:styleId="2">
    <w:name w:val="heading 1"/>
    <w:basedOn w:val="1"/>
    <w:next w:val="1"/>
    <w:qFormat/>
    <w:uiPriority w:val="9"/>
    <w:pPr>
      <w:outlineLvl w:val="0"/>
    </w:pPr>
    <w:rPr>
      <w:rFonts w:ascii="黑体" w:hAnsi="黑体" w:eastAsia="黑体" w:cs="黑体"/>
      <w:kern w:val="24"/>
    </w:rPr>
  </w:style>
  <w:style w:type="paragraph" w:styleId="3">
    <w:name w:val="heading 2"/>
    <w:basedOn w:val="1"/>
    <w:next w:val="1"/>
    <w:link w:val="25"/>
    <w:unhideWhenUsed/>
    <w:qFormat/>
    <w:uiPriority w:val="0"/>
    <w:pPr>
      <w:outlineLvl w:val="1"/>
    </w:pPr>
    <w:rPr>
      <w:rFonts w:ascii="楷体_GB2312" w:hAnsi="楷体_GB2312" w:eastAsia="楷体_GB2312" w:cs="楷体_GB2312"/>
    </w:rPr>
  </w:style>
  <w:style w:type="paragraph" w:styleId="4">
    <w:name w:val="heading 3"/>
    <w:basedOn w:val="1"/>
    <w:next w:val="1"/>
    <w:link w:val="23"/>
    <w:unhideWhenUsed/>
    <w:qFormat/>
    <w:uiPriority w:val="0"/>
    <w:pPr>
      <w:ind w:firstLine="643"/>
      <w:outlineLvl w:val="2"/>
    </w:pPr>
    <w:rPr>
      <w:b/>
      <w:bCs/>
      <w:kern w:val="24"/>
    </w:rPr>
  </w:style>
  <w:style w:type="paragraph" w:styleId="5">
    <w:name w:val="heading 6"/>
    <w:next w:val="1"/>
    <w:qFormat/>
    <w:uiPriority w:val="0"/>
    <w:pPr>
      <w:keepNext/>
      <w:keepLines/>
      <w:widowControl w:val="0"/>
      <w:suppressAutoHyphens/>
      <w:spacing w:before="240" w:after="64" w:line="320" w:lineRule="auto"/>
      <w:jc w:val="both"/>
      <w:outlineLvl w:val="5"/>
    </w:pPr>
    <w:rPr>
      <w:rFonts w:ascii="Cambria" w:hAnsi="Cambria" w:eastAsia="宋体" w:cs="Times New Roman"/>
      <w:b/>
      <w:bCs/>
      <w:kern w:val="2"/>
      <w:sz w:val="24"/>
      <w:szCs w:val="24"/>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index 8"/>
    <w:basedOn w:val="1"/>
    <w:next w:val="1"/>
    <w:qFormat/>
    <w:uiPriority w:val="0"/>
    <w:pPr>
      <w:ind w:left="2940"/>
    </w:pPr>
    <w:rPr>
      <w:rFonts w:ascii="Calibri" w:hAnsi="Calibri" w:cs="宋体"/>
      <w:kern w:val="2"/>
      <w:lang w:bidi="ar-SA"/>
    </w:rPr>
  </w:style>
  <w:style w:type="paragraph" w:styleId="7">
    <w:name w:val="annotation text"/>
    <w:basedOn w:val="1"/>
    <w:qFormat/>
    <w:uiPriority w:val="0"/>
    <w:pPr>
      <w:jc w:val="left"/>
    </w:pPr>
  </w:style>
  <w:style w:type="paragraph" w:styleId="8">
    <w:name w:val="toc 3"/>
    <w:basedOn w:val="1"/>
    <w:next w:val="1"/>
    <w:qFormat/>
    <w:uiPriority w:val="0"/>
    <w:pPr>
      <w:ind w:left="840" w:leftChars="400"/>
    </w:pPr>
  </w:style>
  <w:style w:type="paragraph" w:styleId="9">
    <w:name w:val="Plain Text"/>
    <w:basedOn w:val="1"/>
    <w:next w:val="6"/>
    <w:unhideWhenUsed/>
    <w:qFormat/>
    <w:uiPriority w:val="99"/>
    <w:rPr>
      <w:rFonts w:ascii="宋体" w:hAnsi="Courier New" w:cs="Courier New"/>
      <w:kern w:val="2"/>
      <w:szCs w:val="21"/>
      <w:lang w:bidi="ar-SA"/>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2">
    <w:name w:val="toc 1"/>
    <w:basedOn w:val="1"/>
    <w:next w:val="1"/>
    <w:qFormat/>
    <w:uiPriority w:val="0"/>
    <w:pPr>
      <w:tabs>
        <w:tab w:val="right" w:leader="dot" w:pos="8306"/>
      </w:tabs>
      <w:ind w:firstLine="0" w:firstLineChars="0"/>
    </w:pPr>
    <w:rPr>
      <w:rFonts w:ascii="黑体" w:hAnsi="黑体" w:eastAsia="黑体" w:cs="黑体"/>
      <w:kern w:val="24"/>
      <w:sz w:val="28"/>
      <w:szCs w:val="28"/>
    </w:rPr>
  </w:style>
  <w:style w:type="paragraph" w:styleId="13">
    <w:name w:val="footnote text"/>
    <w:basedOn w:val="1"/>
    <w:qFormat/>
    <w:uiPriority w:val="0"/>
    <w:pPr>
      <w:spacing w:line="240" w:lineRule="auto"/>
      <w:ind w:firstLine="0" w:firstLineChars="0"/>
    </w:pPr>
    <w:rPr>
      <w:rFonts w:asciiTheme="minorEastAsia" w:hAnsiTheme="minorEastAsia" w:eastAsiaTheme="minorEastAsia" w:cstheme="minorEastAsia"/>
      <w:sz w:val="21"/>
      <w:szCs w:val="21"/>
    </w:rPr>
  </w:style>
  <w:style w:type="paragraph" w:styleId="14">
    <w:name w:val="toc 2"/>
    <w:basedOn w:val="1"/>
    <w:next w:val="1"/>
    <w:qFormat/>
    <w:uiPriority w:val="0"/>
    <w:pPr>
      <w:tabs>
        <w:tab w:val="right" w:leader="dot" w:pos="8306"/>
      </w:tabs>
      <w:ind w:left="640" w:leftChars="200" w:firstLine="0" w:firstLineChars="0"/>
    </w:pPr>
    <w:rPr>
      <w:rFonts w:ascii="楷体_GB2312" w:hAnsi="楷体_GB2312" w:eastAsia="楷体_GB2312" w:cs="楷体_GB2312"/>
      <w:kern w:val="24"/>
      <w:sz w:val="28"/>
      <w:szCs w:val="28"/>
    </w:rPr>
  </w:style>
  <w:style w:type="paragraph" w:styleId="15">
    <w:name w:val="Normal (Web)"/>
    <w:basedOn w:val="1"/>
    <w:qFormat/>
    <w:uiPriority w:val="0"/>
    <w:pPr>
      <w:spacing w:beforeAutospacing="1" w:afterAutospacing="1"/>
      <w:jc w:val="left"/>
    </w:pPr>
    <w:rPr>
      <w:rFonts w:cs="Times New Roman"/>
      <w:sz w:val="24"/>
      <w:lang w:bidi="ar-SA"/>
    </w:rPr>
  </w:style>
  <w:style w:type="table" w:styleId="17">
    <w:name w:val="Table Grid"/>
    <w:basedOn w:val="16"/>
    <w:qFormat/>
    <w:uiPriority w:val="59"/>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9">
    <w:name w:val="Strong"/>
    <w:basedOn w:val="18"/>
    <w:qFormat/>
    <w:uiPriority w:val="0"/>
    <w:rPr>
      <w:b/>
    </w:rPr>
  </w:style>
  <w:style w:type="character" w:styleId="20">
    <w:name w:val="Hyperlink"/>
    <w:basedOn w:val="18"/>
    <w:qFormat/>
    <w:uiPriority w:val="0"/>
    <w:rPr>
      <w:color w:val="0000FF"/>
      <w:u w:val="single"/>
    </w:rPr>
  </w:style>
  <w:style w:type="character" w:styleId="21">
    <w:name w:val="footnote reference"/>
    <w:basedOn w:val="18"/>
    <w:qFormat/>
    <w:uiPriority w:val="0"/>
    <w:rPr>
      <w:vertAlign w:val="superscript"/>
    </w:rPr>
  </w:style>
  <w:style w:type="paragraph" w:customStyle="1" w:styleId="22">
    <w:name w:val="报告正文"/>
    <w:basedOn w:val="1"/>
    <w:qFormat/>
    <w:uiPriority w:val="0"/>
    <w:pPr>
      <w:adjustRightInd w:val="0"/>
      <w:snapToGrid w:val="0"/>
      <w:ind w:firstLine="422"/>
    </w:pPr>
    <w:rPr>
      <w:rFonts w:ascii="仿宋_GB2312" w:hAnsi="仿宋_GB2312"/>
      <w:bCs/>
    </w:rPr>
  </w:style>
  <w:style w:type="character" w:customStyle="1" w:styleId="23">
    <w:name w:val="标题 3 字符"/>
    <w:link w:val="4"/>
    <w:qFormat/>
    <w:uiPriority w:val="0"/>
    <w:rPr>
      <w:b/>
      <w:bCs/>
      <w:kern w:val="24"/>
    </w:rPr>
  </w:style>
  <w:style w:type="paragraph" w:styleId="24">
    <w:name w:val="List Paragraph"/>
    <w:basedOn w:val="1"/>
    <w:qFormat/>
    <w:uiPriority w:val="34"/>
    <w:pPr>
      <w:ind w:firstLine="420"/>
    </w:pPr>
  </w:style>
  <w:style w:type="character" w:customStyle="1" w:styleId="25">
    <w:name w:val="标题 2 字符"/>
    <w:link w:val="3"/>
    <w:qFormat/>
    <w:uiPriority w:val="0"/>
    <w:rPr>
      <w:rFonts w:ascii="楷体_GB2312" w:hAnsi="楷体_GB2312" w:eastAsia="楷体_GB2312" w:cs="楷体_GB2312"/>
      <w:sz w:val="32"/>
      <w:szCs w:val="32"/>
      <w:lang w:val="en-US" w:eastAsia="zh-CN" w:bidi="th-TH"/>
    </w:rPr>
  </w:style>
  <w:style w:type="table" w:customStyle="1" w:styleId="26">
    <w:name w:val="Table Normal"/>
    <w:semiHidden/>
    <w:unhideWhenUsed/>
    <w:qFormat/>
    <w:uiPriority w:val="0"/>
    <w:tblPr>
      <w:tblCellMar>
        <w:top w:w="0" w:type="dxa"/>
        <w:left w:w="0" w:type="dxa"/>
        <w:bottom w:w="0" w:type="dxa"/>
        <w:right w:w="0" w:type="dxa"/>
      </w:tblCellMar>
    </w:tblPr>
  </w:style>
  <w:style w:type="paragraph" w:customStyle="1" w:styleId="27">
    <w:name w:val="修订1"/>
    <w:hidden/>
    <w:unhideWhenUsed/>
    <w:qFormat/>
    <w:uiPriority w:val="99"/>
    <w:rPr>
      <w:rFonts w:ascii="Times New Roman" w:hAnsi="Times New Roman" w:eastAsia="仿宋_GB2312" w:cs="Angsana New"/>
      <w:sz w:val="32"/>
      <w:szCs w:val="40"/>
      <w:lang w:val="en-US" w:eastAsia="zh-CN" w:bidi="th-TH"/>
    </w:rPr>
  </w:style>
  <w:style w:type="character" w:customStyle="1" w:styleId="28">
    <w:name w:val="15"/>
    <w:basedOn w:val="18"/>
    <w:qFormat/>
    <w:uiPriority w:val="0"/>
    <w:rPr>
      <w:rFonts w:hint="default" w:ascii="Times New Roman" w:hAnsi="Times New Roman" w:cs="Times New Roman"/>
      <w:b/>
      <w:bCs/>
      <w:kern w:val="24"/>
    </w:rPr>
  </w:style>
  <w:style w:type="paragraph" w:customStyle="1" w:styleId="29">
    <w:name w:val="Revision"/>
    <w:hidden/>
    <w:unhideWhenUsed/>
    <w:qFormat/>
    <w:uiPriority w:val="99"/>
    <w:rPr>
      <w:rFonts w:ascii="Times New Roman" w:hAnsi="Times New Roman" w:eastAsia="仿宋_GB2312" w:cs="Angsana New"/>
      <w:sz w:val="32"/>
      <w:szCs w:val="40"/>
      <w:lang w:val="en-US" w:eastAsia="zh-CN" w:bidi="th-TH"/>
    </w:rPr>
  </w:style>
  <w:style w:type="character" w:customStyle="1" w:styleId="30">
    <w:name w:val="10"/>
    <w:basedOn w:val="18"/>
    <w:qFormat/>
    <w:uiPriority w:val="0"/>
    <w:rPr>
      <w:rFonts w:hint="default" w:ascii="Times New Roman" w:hAnsi="Times New Roman" w:cs="Times New Roman"/>
    </w:rPr>
  </w:style>
  <w:style w:type="paragraph" w:customStyle="1" w:styleId="31">
    <w:name w:val="样式 首行缩进:  2 字符"/>
    <w:basedOn w:val="1"/>
    <w:qFormat/>
    <w:uiPriority w:val="0"/>
    <w:pPr>
      <w:widowControl/>
      <w:spacing w:line="360" w:lineRule="auto"/>
      <w:ind w:firstLine="480" w:firstLineChars="200"/>
    </w:pPr>
    <w:rPr>
      <w:rFonts w:ascii="Arial" w:hAnsi="Arial" w:cs="宋体"/>
      <w:sz w:val="28"/>
      <w:szCs w:val="28"/>
    </w:rPr>
  </w:style>
  <w:style w:type="table" w:customStyle="1" w:styleId="32">
    <w:name w:val="网格型1"/>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44a5f12e-6ae0-4a25-9c43-2d33c9446d3a</errorID>
      <errorWord xmlns="http://schemas.wps.cn/vas-ai-hub/contract-review">累</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累了</item>
      </candidateList>
      <explain xmlns="http://schemas.wps.cn/vas-ai-hub/contract-review"/>
      <paraID xmlns="http://schemas.wps.cn/vas-ai-hub/contract-review">2542195A</paraID>
      <start xmlns="http://schemas.wps.cn/vas-ai-hub/contract-review">229</start>
      <end xmlns="http://schemas.wps.cn/vas-ai-hub/contract-review">230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800af52c-6d6d-43a1-8ec9-a596e2882866</errorID>
      <errorWord xmlns="http://schemas.wps.cn/vas-ai-hub/contract-review">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立了</item>
      </candidateList>
      <explain xmlns="http://schemas.wps.cn/vas-ai-hub/contract-review"/>
      <paraID xmlns="http://schemas.wps.cn/vas-ai-hub/contract-review"> 907B5DE</paraID>
      <start xmlns="http://schemas.wps.cn/vas-ai-hub/contract-review">31</start>
      <end xmlns="http://schemas.wps.cn/vas-ai-hub/contract-review">32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5f492c04-15a0-4d36-8032-b13e3a092b34</errorID>
      <errorWord xmlns="http://schemas.wps.cn/vas-ai-hub/contract-review">优化科技创新体系</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完善科技创新体系</item>
      </candidateList>
      <explain xmlns="http://schemas.wps.cn/vas-ai-hub/contract-review">词汇“完善科技创新体系”在特定场景下为固定表述形式，请确认此处的“优化科技创新体系”是否存在不当。</explain>
      <paraID xmlns="http://schemas.wps.cn/vas-ai-hub/contract-review">5A9A0292</paraID>
      <start xmlns="http://schemas.wps.cn/vas-ai-hub/contract-review">9</start>
      <end xmlns="http://schemas.wps.cn/vas-ai-hub/contract-review">17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f54dd78b-8acc-4d71-ad67-25fc5b87dbd5</errorID>
      <errorWord xmlns="http://schemas.wps.cn/vas-ai-hub/contract-review">先进制造基地</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先进制造业基地</item>
      </candidateList>
      <explain xmlns="http://schemas.wps.cn/vas-ai-hub/contract-review">词汇“先进制造业基地”在特定场景下为固定表述形式，请确认此处的“先进制造基地”是否存在不当。</explain>
      <paraID xmlns="http://schemas.wps.cn/vas-ai-hub/contract-review">2851A783</paraID>
      <start xmlns="http://schemas.wps.cn/vas-ai-hub/contract-review">249</start>
      <end xmlns="http://schemas.wps.cn/vas-ai-hub/contract-review">255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382b2e57-37da-408c-9803-3de19eaa89e6</errorID>
      <errorWord xmlns="http://schemas.wps.cn/vas-ai-hub/contract-review">心</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心区</item>
      </candidateList>
      <explain xmlns="http://schemas.wps.cn/vas-ai-hub/contract-review"/>
      <paraID xmlns="http://schemas.wps.cn/vas-ai-hub/contract-review">6F9AF689</paraID>
      <start xmlns="http://schemas.wps.cn/vas-ai-hub/contract-review">39</start>
      <end xmlns="http://schemas.wps.cn/vas-ai-hub/contract-review">40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7596d5f2-6858-4cf2-980c-b866cbc51c45</errorID>
      <errorWord xmlns="http://schemas.wps.cn/vas-ai-hub/contract-review">可控自主</errorWord>
      <group xmlns="http://schemas.wps.cn/vas-ai-hub/contract-review">L1_Political</group>
      <groupName xmlns="http://schemas.wps.cn/vas-ai-hub/contract-review">政治性问题</groupName>
      <ability xmlns="http://schemas.wps.cn/vas-ai-hub/contract-review">L2_Unpolitical</ability>
      <abilityName xmlns="http://schemas.wps.cn/vas-ai-hub/contract-review">政治敏感错误</abilityName>
      <candidateList xmlns="http://schemas.wps.cn/vas-ai-hub/contract-review">
        <item xmlns="http://schemas.wps.cn/vas-ai-hub/contract-review">自主可控</item>
      </candidateList>
      <explain xmlns="http://schemas.wps.cn/vas-ai-hub/contract-review"/>
      <paraID xmlns="http://schemas.wps.cn/vas-ai-hub/contract-review">60AF729E</paraID>
      <start xmlns="http://schemas.wps.cn/vas-ai-hub/contract-review">347</start>
      <end xmlns="http://schemas.wps.cn/vas-ai-hub/contract-review">351</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3.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5576d3-0348-4daa-a0a5-9fb61cd0c897}">
  <ds:schemaRefs/>
</ds:datastoreItem>
</file>

<file path=customXml/itemProps3.xml><?xml version="1.0" encoding="utf-8"?>
<ds:datastoreItem xmlns:ds="http://schemas.openxmlformats.org/officeDocument/2006/customXml" ds:itemID="{446FEE1D-0F8B-4D73-8440-882C512C72D9}">
  <ds:schemaRefs/>
</ds:datastoreItem>
</file>

<file path=docProps/app.xml><?xml version="1.0" encoding="utf-8"?>
<Properties xmlns="http://schemas.openxmlformats.org/officeDocument/2006/extended-properties" xmlns:vt="http://schemas.openxmlformats.org/officeDocument/2006/docPropsVTypes">
  <Template>Normal</Template>
  <Pages>49</Pages>
  <Words>3673</Words>
  <Characters>3873</Characters>
  <Lines>1</Lines>
  <Paragraphs>1</Paragraphs>
  <TotalTime>30</TotalTime>
  <ScaleCrop>false</ScaleCrop>
  <LinksUpToDate>false</LinksUpToDate>
  <CharactersWithSpaces>4127</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2023-07-04T08:40:00Z</dcterms:created>
  <dc:creator>86158</dc:creator>
  <cp:lastModifiedBy>longhua</cp:lastModifiedBy>
  <cp:lastPrinted>2025-10-10T23:36:00Z</cp:lastPrinted>
  <dcterms:modified xsi:type="dcterms:W3CDTF">2026-07-27T14:14:33Z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C7FCF0A662B448C780BC63EF8FB59F6B_13</vt:lpwstr>
  </property>
  <property fmtid="{D5CDD505-2E9C-101B-9397-08002B2CF9AE}" pid="4" name="KSOTemplateDocerSaveRecord">
    <vt:lpwstr>eyJoZGlkIjoiZTZmNmI2NzNiZTlmZDU4N2IzZTM4NzE0YTQ5MWJjZjUiLCJ1c2VySWQiOiI1Mzk3MjY5NjgifQ==</vt:lpwstr>
  </property>
</Properties>
</file>