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龙华区</w:t>
      </w:r>
      <w:r>
        <w:rPr>
          <w:rFonts w:hint="eastAsia" w:ascii="方正小标宋简体" w:hAnsi="方正小标宋简体" w:eastAsia="方正小标宋简体" w:cs="方正小标宋简体"/>
          <w:sz w:val="44"/>
          <w:szCs w:val="44"/>
          <w:lang w:eastAsia="zh-CN"/>
        </w:rPr>
        <w:t>户外生活节</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snapToGrid/>
        <w:spacing w:line="560" w:lineRule="exact"/>
        <w:ind w:firstLine="640" w:firstLineChars="200"/>
        <w:jc w:val="left"/>
        <w:rPr>
          <w:rFonts w:hint="eastAsia" w:ascii="仿宋_GB2312" w:hAnsi="仿宋" w:eastAsia="仿宋_GB2312" w:cs="仿宋"/>
          <w:bCs w:val="0"/>
          <w:kern w:val="0"/>
          <w:sz w:val="32"/>
          <w:szCs w:val="32"/>
          <w:highlight w:val="none"/>
          <w:shd w:val="clear" w:color="auto" w:fill="FFFFFF"/>
        </w:rPr>
      </w:pPr>
      <w:r>
        <w:rPr>
          <w:rFonts w:hint="eastAsia" w:ascii="仿宋_GB2312" w:hAnsi="仿宋" w:eastAsia="仿宋_GB2312" w:cs="仿宋"/>
          <w:b w:val="0"/>
          <w:bCs w:val="0"/>
          <w:kern w:val="0"/>
          <w:sz w:val="32"/>
          <w:szCs w:val="32"/>
          <w:highlight w:val="none"/>
          <w:shd w:val="clear" w:color="auto" w:fill="FFFFFF"/>
          <w:lang w:val="en-US" w:eastAsia="zh-CN" w:bidi="ar-SA"/>
        </w:rPr>
        <w:t>为高质量营造全民健身的社会氛围，探索全民健身、全民阅读与全民美育在户外场景中的跨界融合，拟于8月至11月在鹭湖艺术中心举办龙华区户外生活节。活动拟以水上运动为主线，融合户外阅读、室外游湖和文旅消费等场景，着力打造多业态互补共生的新型户外体验空间，激发城市活力与生态人文之美，满足公众的多元复合需求。</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tabs>
          <w:tab w:val="left" w:pos="1820"/>
        </w:tabs>
        <w:snapToGrid w:val="0"/>
        <w:spacing w:line="560" w:lineRule="exact"/>
        <w:ind w:firstLine="640" w:firstLineChars="200"/>
        <w:jc w:val="left"/>
        <w:rPr>
          <w:rFonts w:hint="eastAsia" w:ascii="仿宋_GB2312" w:hAnsi="仿宋" w:eastAsia="仿宋_GB2312" w:cs="仿宋"/>
          <w:kern w:val="0"/>
          <w:sz w:val="32"/>
          <w:szCs w:val="32"/>
          <w:highlight w:val="none"/>
          <w:shd w:val="clear" w:color="auto" w:fill="FFFFFF"/>
        </w:rPr>
      </w:pPr>
      <w:r>
        <w:rPr>
          <w:rFonts w:hint="eastAsia" w:ascii="仿宋_GB2312" w:hAnsi="仿宋" w:eastAsia="仿宋_GB2312" w:cs="仿宋"/>
          <w:kern w:val="0"/>
          <w:sz w:val="32"/>
          <w:szCs w:val="32"/>
          <w:highlight w:val="none"/>
          <w:shd w:val="clear" w:color="auto" w:fill="FFFFFF"/>
          <w:lang w:val="en-US" w:eastAsia="zh-CN"/>
        </w:rPr>
        <w:t>2026</w:t>
      </w:r>
      <w:r>
        <w:rPr>
          <w:rFonts w:hint="eastAsia" w:ascii="仿宋_GB2312" w:hAnsi="仿宋" w:eastAsia="仿宋_GB2312" w:cs="仿宋"/>
          <w:kern w:val="0"/>
          <w:sz w:val="32"/>
          <w:szCs w:val="32"/>
          <w:highlight w:val="none"/>
          <w:shd w:val="clear" w:color="auto" w:fill="FFFFFF"/>
        </w:rPr>
        <w:t>年</w:t>
      </w:r>
      <w:r>
        <w:rPr>
          <w:rFonts w:hint="eastAsia" w:ascii="仿宋_GB2312" w:hAnsi="仿宋" w:eastAsia="仿宋_GB2312" w:cs="仿宋"/>
          <w:kern w:val="0"/>
          <w:sz w:val="32"/>
          <w:szCs w:val="32"/>
          <w:highlight w:val="none"/>
          <w:shd w:val="clear" w:color="auto" w:fill="FFFFFF"/>
          <w:lang w:val="en-US" w:eastAsia="zh-CN"/>
        </w:rPr>
        <w:t>8</w:t>
      </w:r>
      <w:r>
        <w:rPr>
          <w:rFonts w:hint="eastAsia" w:ascii="仿宋_GB2312" w:hAnsi="仿宋" w:eastAsia="仿宋_GB2312" w:cs="仿宋"/>
          <w:kern w:val="0"/>
          <w:sz w:val="32"/>
          <w:szCs w:val="32"/>
          <w:highlight w:val="none"/>
          <w:shd w:val="clear" w:color="auto" w:fill="FFFFFF"/>
        </w:rPr>
        <w:t>月</w:t>
      </w:r>
      <w:r>
        <w:rPr>
          <w:rFonts w:hint="eastAsia" w:ascii="仿宋_GB2312" w:hAnsi="仿宋" w:eastAsia="仿宋_GB2312" w:cs="仿宋"/>
          <w:kern w:val="0"/>
          <w:sz w:val="32"/>
          <w:szCs w:val="32"/>
          <w:highlight w:val="none"/>
          <w:shd w:val="clear" w:color="auto" w:fill="FFFFFF"/>
          <w:lang w:eastAsia="zh-CN"/>
        </w:rPr>
        <w:t>—</w:t>
      </w:r>
      <w:r>
        <w:rPr>
          <w:rFonts w:hint="eastAsia" w:ascii="仿宋_GB2312" w:hAnsi="仿宋" w:eastAsia="仿宋_GB2312" w:cs="仿宋"/>
          <w:kern w:val="0"/>
          <w:sz w:val="32"/>
          <w:szCs w:val="32"/>
          <w:highlight w:val="none"/>
          <w:shd w:val="clear" w:color="auto" w:fill="FFFFFF"/>
          <w:lang w:val="en-US" w:eastAsia="zh-CN"/>
        </w:rPr>
        <w:t>2026年11</w:t>
      </w:r>
      <w:r>
        <w:rPr>
          <w:rFonts w:hint="eastAsia" w:ascii="仿宋_GB2312" w:hAnsi="仿宋" w:eastAsia="仿宋_GB2312" w:cs="仿宋"/>
          <w:kern w:val="0"/>
          <w:sz w:val="32"/>
          <w:szCs w:val="32"/>
          <w:highlight w:val="none"/>
          <w:shd w:val="clear" w:color="auto" w:fill="FFFFFF"/>
        </w:rPr>
        <w:t>月</w:t>
      </w:r>
    </w:p>
    <w:p>
      <w:pPr>
        <w:tabs>
          <w:tab w:val="left" w:pos="1820"/>
        </w:tabs>
        <w:snapToGrid w:val="0"/>
        <w:spacing w:line="560" w:lineRule="exact"/>
        <w:ind w:firstLine="640" w:firstLineChars="200"/>
        <w:jc w:val="both"/>
        <w:rPr>
          <w:rFonts w:hint="eastAsia" w:ascii="仿宋_GB2312" w:hAnsi="仿宋" w:eastAsia="仿宋_GB2312" w:cs="仿宋"/>
          <w:kern w:val="0"/>
          <w:sz w:val="32"/>
          <w:szCs w:val="32"/>
          <w:highlight w:val="none"/>
          <w:shd w:val="clear" w:color="auto" w:fill="FFFFFF"/>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仿宋" w:eastAsia="楷体_GB2312" w:cs="宋体"/>
          <w:bCs/>
          <w:color w:val="000000"/>
          <w:kern w:val="0"/>
          <w:sz w:val="32"/>
          <w:szCs w:val="32"/>
          <w:highlight w:val="none"/>
        </w:rPr>
      </w:pPr>
      <w:r>
        <w:rPr>
          <w:rFonts w:hint="eastAsia" w:ascii="楷体_GB2312" w:hAnsi="仿宋" w:eastAsia="楷体_GB2312" w:cs="宋体"/>
          <w:bCs/>
          <w:color w:val="000000"/>
          <w:kern w:val="0"/>
          <w:sz w:val="32"/>
          <w:szCs w:val="32"/>
          <w:highlight w:val="none"/>
        </w:rPr>
        <w:t>（一）项目内容</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rPr>
      </w:pPr>
      <w:r>
        <w:rPr>
          <w:rFonts w:hint="eastAsia" w:ascii="仿宋_GB2312" w:hAnsi="仿宋" w:eastAsia="仿宋_GB2312" w:cs="仿宋"/>
          <w:kern w:val="0"/>
          <w:sz w:val="32"/>
          <w:szCs w:val="32"/>
          <w:highlight w:val="none"/>
          <w:shd w:val="clear" w:color="auto" w:fill="FFFFFF"/>
          <w:lang w:val="en-US" w:eastAsia="zh-CN"/>
        </w:rPr>
        <w:t>龙华区户外生活节拟开展12场次，设置“水上运动体验区”“湖心打卡区”“岸边市集区”“水上市集区”“湖面造景区”等五个场景，</w:t>
      </w:r>
      <w:r>
        <w:rPr>
          <w:rFonts w:hint="eastAsia" w:ascii="仿宋_GB2312" w:hAnsi="仿宋" w:eastAsia="仿宋_GB2312" w:cs="仿宋"/>
          <w:color w:val="auto"/>
          <w:kern w:val="0"/>
          <w:sz w:val="32"/>
          <w:szCs w:val="32"/>
          <w:highlight w:val="none"/>
          <w:shd w:val="clear" w:color="auto" w:fill="FFFFFF"/>
          <w:lang w:val="en-US" w:eastAsia="zh-CN"/>
        </w:rPr>
        <w:t>具体服务内容包括活动的宣传策划、场景设计、场景搭建、物料制作、岸边市集摊位布置、水上市集摊位布置，现场人员安排、后勤保障以及</w:t>
      </w:r>
      <w:r>
        <w:rPr>
          <w:rFonts w:hint="eastAsia" w:ascii="仿宋_GB2312" w:hAnsi="仿宋" w:eastAsia="仿宋_GB2312" w:cs="仿宋"/>
          <w:color w:val="auto"/>
          <w:kern w:val="0"/>
          <w:sz w:val="32"/>
          <w:szCs w:val="32"/>
          <w:highlight w:val="none"/>
          <w:shd w:val="clear" w:color="auto" w:fill="FFFFFF"/>
        </w:rPr>
        <w:t>要求的其他相关工作</w:t>
      </w:r>
      <w:r>
        <w:rPr>
          <w:rFonts w:hint="eastAsia" w:ascii="仿宋_GB2312" w:hAnsi="仿宋" w:eastAsia="仿宋_GB2312" w:cs="仿宋"/>
          <w:color w:val="auto"/>
          <w:kern w:val="0"/>
          <w:sz w:val="32"/>
          <w:szCs w:val="32"/>
          <w:highlight w:val="none"/>
          <w:shd w:val="clear" w:color="auto" w:fill="FFFFFF"/>
          <w:lang w:val="en-US" w:eastAsia="zh-CN"/>
        </w:rPr>
        <w:t>等。</w:t>
      </w:r>
    </w:p>
    <w:p>
      <w:pPr>
        <w:numPr>
          <w:ilvl w:val="0"/>
          <w:numId w:val="2"/>
        </w:numPr>
        <w:spacing w:line="560" w:lineRule="exact"/>
        <w:ind w:firstLine="640" w:firstLineChars="20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具体要求</w:t>
      </w:r>
    </w:p>
    <w:p>
      <w:pPr>
        <w:numPr>
          <w:ilvl w:val="-1"/>
          <w:numId w:val="0"/>
        </w:numPr>
        <w:spacing w:line="560" w:lineRule="exact"/>
        <w:ind w:left="0"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1.负责整个项目水上运动主题市集的布置，包含湖心水上休憩茶摊浮动平台搭建、水面漂浮花艺布置、乌篷演出船租赁、水陆双场景滨水亮化照明系统、岸上市集布置；</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2.负责主题充气IP装置搭建（需包含维护，使用至11月）；</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3.负责整个项目涉水体验便民配套设施布置；</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4.负责整个项目主题互动道具购买，支撑互动体验活动开展；</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5.负责整个项目水上运动干湿寄存区域布置；</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6.负责整个项目湖面施工搭建及维护，保障水上运营安全稳定；</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7.负责整个项目所需设备租赁，包含活动音响、活动灯光；</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8.负责整个项目水上运动设备（皮划艇）租赁；</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9.负责整个项目水域安全防护物资保障；</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10.负责水上码头搭建；</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11.负责整个项目的应急保障耗材储备；</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12.负责整个项目的设备维保及检修；</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13.负责整个项目的物料、主视觉制作及互动物料采买；</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14.负责整个项目新媒体全域宣发推广；</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15.负责整个项目人员的安排，包含救生员、安保、湖面保洁、表演人员、主持人、技术人员、活动体验工作人员以及医护人员；</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16.负责整个项目的后勤保障工作，涵盖餐饮补给、医护物资等；</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17.负责购买12场次的活动保险；</w:t>
      </w:r>
    </w:p>
    <w:p>
      <w:pPr>
        <w:spacing w:after="0" w:line="560" w:lineRule="exact"/>
        <w:ind w:left="0" w:leftChars="0" w:right="0" w:rightChars="0" w:firstLine="640" w:firstLineChars="200"/>
        <w:jc w:val="left"/>
        <w:rPr>
          <w:rFonts w:hint="eastAsia" w:ascii="仿宋_GB2312" w:hAnsi="仿宋" w:eastAsia="仿宋_GB2312" w:cs="仿宋"/>
          <w:kern w:val="0"/>
          <w:sz w:val="32"/>
          <w:szCs w:val="32"/>
          <w:highlight w:val="none"/>
          <w:shd w:val="clear" w:color="auto" w:fill="FFFFFF"/>
        </w:rPr>
      </w:pPr>
      <w:r>
        <w:rPr>
          <w:rFonts w:hint="eastAsia" w:ascii="仿宋_GB2312" w:hAnsi="仿宋" w:eastAsia="仿宋_GB2312" w:cs="仿宋"/>
          <w:kern w:val="0"/>
          <w:sz w:val="32"/>
          <w:szCs w:val="32"/>
          <w:highlight w:val="none"/>
          <w:shd w:val="clear" w:color="auto" w:fill="FFFFFF"/>
        </w:rPr>
        <w:t>1</w:t>
      </w:r>
      <w:r>
        <w:rPr>
          <w:rFonts w:hint="eastAsia" w:ascii="仿宋_GB2312" w:hAnsi="仿宋" w:eastAsia="仿宋_GB2312" w:cs="仿宋"/>
          <w:kern w:val="0"/>
          <w:sz w:val="32"/>
          <w:szCs w:val="32"/>
          <w:highlight w:val="none"/>
          <w:shd w:val="clear" w:color="auto" w:fill="FFFFFF"/>
          <w:lang w:val="en-US" w:eastAsia="zh-CN"/>
        </w:rPr>
        <w:t>8</w:t>
      </w:r>
      <w:r>
        <w:rPr>
          <w:rFonts w:hint="eastAsia" w:ascii="仿宋_GB2312" w:hAnsi="仿宋" w:eastAsia="仿宋_GB2312" w:cs="仿宋"/>
          <w:kern w:val="0"/>
          <w:sz w:val="32"/>
          <w:szCs w:val="32"/>
          <w:highlight w:val="none"/>
          <w:shd w:val="clear" w:color="auto" w:fill="FFFFFF"/>
        </w:rPr>
        <w:t>.完成主办方要求的其他相关工作；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 w:eastAsia="仿宋_GB2312" w:cs="仿宋"/>
          <w:kern w:val="0"/>
          <w:sz w:val="32"/>
          <w:szCs w:val="32"/>
          <w:highlight w:val="none"/>
          <w:shd w:val="clear" w:color="auto" w:fill="FFFFFF"/>
        </w:rPr>
      </w:pPr>
      <w:r>
        <w:rPr>
          <w:rFonts w:hint="eastAsia" w:ascii="仿宋_GB2312" w:hAnsi="仿宋" w:eastAsia="仿宋_GB2312" w:cs="仿宋"/>
          <w:kern w:val="0"/>
          <w:sz w:val="32"/>
          <w:szCs w:val="32"/>
          <w:highlight w:val="none"/>
          <w:shd w:val="clear" w:color="auto" w:fill="FFFFFF"/>
        </w:rPr>
        <w:t>其他内容：</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eastAsia" w:ascii="仿宋_GB2312" w:hAnsi="仿宋" w:eastAsia="仿宋_GB2312" w:cs="仿宋"/>
          <w:kern w:val="0"/>
          <w:sz w:val="32"/>
          <w:szCs w:val="32"/>
          <w:highlight w:val="none"/>
          <w:shd w:val="clear" w:color="auto" w:fill="FFFFFF"/>
        </w:rPr>
      </w:pPr>
      <w:r>
        <w:rPr>
          <w:rFonts w:hint="eastAsia" w:ascii="仿宋_GB2312" w:hAnsi="仿宋" w:eastAsia="仿宋_GB2312" w:cs="仿宋"/>
          <w:kern w:val="0"/>
          <w:sz w:val="32"/>
          <w:szCs w:val="32"/>
          <w:highlight w:val="none"/>
          <w:shd w:val="clear" w:color="auto" w:fill="FFFFFF"/>
          <w:lang w:val="en-US" w:eastAsia="zh-CN"/>
        </w:rPr>
        <w:t>1.</w:t>
      </w:r>
      <w:r>
        <w:rPr>
          <w:rFonts w:hint="eastAsia" w:ascii="仿宋_GB2312" w:hAnsi="仿宋" w:eastAsia="仿宋_GB2312" w:cs="仿宋"/>
          <w:kern w:val="0"/>
          <w:sz w:val="32"/>
          <w:szCs w:val="32"/>
          <w:highlight w:val="none"/>
          <w:shd w:val="clear" w:color="auto" w:fill="FFFFFF"/>
        </w:rPr>
        <w:t>由于供应商原因造成活动物料</w:t>
      </w:r>
      <w:r>
        <w:rPr>
          <w:rFonts w:hint="eastAsia" w:ascii="仿宋_GB2312" w:hAnsi="仿宋" w:eastAsia="仿宋_GB2312" w:cs="仿宋"/>
          <w:kern w:val="0"/>
          <w:sz w:val="32"/>
          <w:szCs w:val="32"/>
          <w:highlight w:val="none"/>
          <w:shd w:val="clear" w:color="auto" w:fill="FFFFFF"/>
          <w:lang w:val="en-US" w:eastAsia="zh-CN"/>
        </w:rPr>
        <w:t>质量</w:t>
      </w:r>
      <w:r>
        <w:rPr>
          <w:rFonts w:hint="eastAsia" w:ascii="仿宋_GB2312" w:hAnsi="仿宋" w:eastAsia="仿宋_GB2312" w:cs="仿宋"/>
          <w:kern w:val="0"/>
          <w:sz w:val="32"/>
          <w:szCs w:val="32"/>
          <w:highlight w:val="none"/>
          <w:shd w:val="clear" w:color="auto" w:fill="FFFFFF"/>
        </w:rPr>
        <w:t>低劣，不能满足甲方要求时，供应商应积极配合完善，其费用由供应商承担；</w:t>
      </w:r>
    </w:p>
    <w:p>
      <w:pPr>
        <w:spacing w:line="560" w:lineRule="exact"/>
        <w:ind w:firstLine="640" w:firstLineChars="200"/>
        <w:jc w:val="left"/>
        <w:rPr>
          <w:rFonts w:hint="eastAsia" w:ascii="仿宋_GB2312" w:hAnsi="仿宋" w:eastAsia="仿宋_GB2312" w:cs="仿宋"/>
          <w:kern w:val="0"/>
          <w:sz w:val="32"/>
          <w:szCs w:val="32"/>
          <w:highlight w:val="none"/>
          <w:shd w:val="clear" w:color="auto" w:fill="FFFFFF"/>
          <w:lang w:val="en-US" w:eastAsia="zh-CN"/>
        </w:rPr>
      </w:pPr>
      <w:r>
        <w:rPr>
          <w:rFonts w:hint="eastAsia" w:ascii="仿宋_GB2312" w:hAnsi="仿宋" w:eastAsia="仿宋_GB2312" w:cs="仿宋"/>
          <w:kern w:val="0"/>
          <w:sz w:val="32"/>
          <w:szCs w:val="32"/>
          <w:highlight w:val="none"/>
          <w:shd w:val="clear" w:color="auto" w:fill="FFFFFF"/>
          <w:lang w:val="en-US" w:eastAsia="zh-CN"/>
        </w:rPr>
        <w:t>2</w:t>
      </w:r>
      <w:r>
        <w:rPr>
          <w:rFonts w:hint="eastAsia" w:ascii="仿宋_GB2312" w:hAnsi="仿宋" w:eastAsia="仿宋_GB2312" w:cs="仿宋"/>
          <w:kern w:val="0"/>
          <w:sz w:val="32"/>
          <w:szCs w:val="32"/>
          <w:highlight w:val="none"/>
          <w:shd w:val="clear" w:color="auto" w:fill="FFFFFF"/>
        </w:rPr>
        <w:t>.由于不可抗力因素导致活动延期等，供应商应积极配合。</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highlight w:val="none"/>
          <w:lang w:val="en-US" w:eastAsia="zh-CN"/>
        </w:rPr>
        <w:t>75</w:t>
      </w:r>
      <w:r>
        <w:rPr>
          <w:rFonts w:hint="eastAsia" w:ascii="仿宋_GB2312" w:hAnsi="仿宋_GB2312" w:eastAsia="仿宋_GB2312" w:cs="仿宋_GB2312"/>
          <w:sz w:val="32"/>
          <w:szCs w:val="36"/>
          <w:highlight w:val="none"/>
          <w:lang w:eastAsia="zh-CN"/>
        </w:rPr>
        <w:t>万元</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1096"/>
        <w:gridCol w:w="1976"/>
        <w:gridCol w:w="1080"/>
        <w:gridCol w:w="1080"/>
        <w:gridCol w:w="2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9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default" w:ascii="宋体" w:hAnsi="宋体" w:eastAsia="宋体" w:cs="宋体"/>
                <w:b/>
                <w:bCs/>
                <w:i w:val="0"/>
                <w:iCs w:val="0"/>
                <w:color w:val="000000"/>
                <w:sz w:val="24"/>
                <w:szCs w:val="24"/>
                <w:u w:val="none"/>
                <w:lang w:val="en-US" w:eastAsia="zh-CN"/>
              </w:rPr>
              <w:t>龙华区</w:t>
            </w:r>
            <w:r>
              <w:rPr>
                <w:rFonts w:hint="eastAsia" w:ascii="宋体" w:hAnsi="宋体" w:cs="宋体"/>
                <w:b/>
                <w:bCs/>
                <w:i w:val="0"/>
                <w:iCs w:val="0"/>
                <w:color w:val="000000"/>
                <w:sz w:val="24"/>
                <w:szCs w:val="24"/>
                <w:u w:val="none"/>
                <w:lang w:val="en-US" w:eastAsia="zh-CN"/>
              </w:rPr>
              <w:t>户外生活节</w:t>
            </w:r>
            <w:r>
              <w:rPr>
                <w:rFonts w:hint="default" w:ascii="宋体" w:hAnsi="宋体" w:eastAsia="宋体" w:cs="宋体"/>
                <w:b/>
                <w:bCs/>
                <w:i w:val="0"/>
                <w:iCs w:val="0"/>
                <w:color w:val="000000"/>
                <w:sz w:val="24"/>
                <w:szCs w:val="24"/>
                <w:u w:val="none"/>
                <w:lang w:val="en-US"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水上运动主题市集布置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湖心水上休憩茶摊浮动平台搭建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湖面浮动茶饮休憩点位，位于湖心区域，泛舟途中停留打卡点，搭配临水花艺、湖面诗意灯饰（使用12场次）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水面漂浮花艺布置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漂浮荷花花艺岛、水上花艺造景、岸边花艺打卡拱门（使用12场次）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乌篷演出船租赁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艘</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三艘仿古花船租赁、船体改造等（使用12场次）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水陆双场景滨水亮化照明系统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湖面串灯、暖黄氛围灯带、古风灯笼、步道亮化、水下氛围灯（使用12场次）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岸上市集布置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岸区配套搭建，完善水陆联动场景，补充水上体验配套陆地经营点位（12场次）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主题充气IP装置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巨型充气装置、水上主题充气标识（含维护保修使用至11月）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涉水体验便民配套设施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服务皮划艇、湖面主题活动等涉水游玩市民，设置防水置物台、涉水清洁区、临湖休息座椅，3m遮阳棚（12场次）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湖面互动主题道具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互动投放道具，支撑12场互动体验活动开展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水上运动干湿寄存区域布置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涉水体验专用物品寄存区，配套导示标识，存放皮划艇游玩更换的随身物品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湖面施工搭建及维护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水上船摊、浮动平台、水面景观浮具下水、湖面锚固、水上安装人工与机械施工，保障水上运营安全稳定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设备租赁费</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活动音响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可供现场活动表演使用，含人工布置，运输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活动灯光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基础演出灯光，含人工布置，运输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水上运动设备与安全保障物资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皮划艇租赁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12场活动，每场15艘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水域安全防护物资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水域全点位标配，夜间水上反光警示灯带、夜光浮标、定期更换损耗物资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水上码头搭建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船只、皮划艇码头搭建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应急保障耗材储备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成人救生衣、伸缩不锈钢救援杆、应急浮力漂浮垫、水下打捞钩、观察救生台等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设备维保及检修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活动运维损耗及检修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IP物料及主视觉制作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水陆全域主题视觉配套物料制作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船摊标识、打卡立牌、活动指引牌、水上浮标IP喷绘等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活动印刷物料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海报制作、导览手册、安全须知、体验船票，集章卡等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互动小礼品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活动打卡兑换礼、互动小礼品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宣传推广费</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新媒体全域宣发推广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包含线上推广、照片直播，定点录像、达人邀请等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人员劳务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救生员劳务费用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每场次2名持证救生员，全域巡回值守，服务12场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安保人员费用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每场次13人，岸边步道、水上摊位、出入口安保值守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湖面保洁运维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专职湖面漂浮垃圾打捞、市集垃圾清运、场地每日清洁、闭市清场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特色表演演员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10场次活动，每场次1人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活动体验工作人员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10场次活动，每场次1人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水上运动展演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现场主持人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民乐古风表演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12场活动灯光，音响老师各1人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服务12场次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后勤保障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餐饮补给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工作人员餐食及饮用水补给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医药箱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防水创可贴、驱蚊水、毛巾、碘伏药品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活动保险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sz w:val="32"/>
                <w:szCs w:val="32"/>
                <w:vertAlign w:val="baseline"/>
                <w:lang w:eastAsia="zh-CN"/>
              </w:rPr>
              <w:t>投标价格（万元）：</w:t>
            </w:r>
            <w:r>
              <w:rPr>
                <w:rFonts w:hint="eastAsia" w:ascii="仿宋_GB2312" w:hAnsi="仿宋_GB2312" w:eastAsia="仿宋_GB2312" w:cs="仿宋_GB2312"/>
                <w:sz w:val="32"/>
                <w:szCs w:val="32"/>
                <w:vertAlign w:val="baseline"/>
                <w:lang w:val="en-US" w:eastAsia="zh-CN"/>
              </w:rPr>
              <w:t>_____（以万元为单位，最多保留两位小数）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jc w:val="left"/>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w:t>
      </w:r>
      <w:r>
        <w:rPr>
          <w:rFonts w:hint="eastAsia" w:ascii="仿宋_GB2312" w:hAnsi="仿宋" w:cs="仿宋"/>
          <w:sz w:val="32"/>
          <w:szCs w:val="32"/>
          <w:lang w:eastAsia="zh-CN"/>
        </w:rPr>
        <w:t>以及</w:t>
      </w:r>
      <w:r>
        <w:rPr>
          <w:rFonts w:hint="eastAsia" w:ascii="仿宋_GB2312" w:hAnsi="仿宋" w:eastAsia="仿宋_GB2312" w:cs="仿宋"/>
          <w:sz w:val="32"/>
          <w:szCs w:val="32"/>
        </w:rPr>
        <w:t>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rPr>
        <w:t>六</w:t>
      </w:r>
      <w:r>
        <w:rPr>
          <w:rFonts w:hint="eastAsia" w:ascii="黑体" w:hAnsi="黑体" w:eastAsia="黑体" w:cs="黑体"/>
          <w:sz w:val="32"/>
          <w:szCs w:val="32"/>
          <w:highlight w:val="none"/>
        </w:rPr>
        <w:t>、选定供应商方法</w:t>
      </w:r>
    </w:p>
    <w:p>
      <w:pPr>
        <w:spacing w:line="560" w:lineRule="exact"/>
        <w:ind w:firstLine="640" w:firstLineChars="200"/>
        <w:jc w:val="left"/>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七、评分要求</w:t>
      </w:r>
      <w:r>
        <w:rPr>
          <w:rFonts w:hint="eastAsia" w:ascii="黑体" w:hAnsi="黑体" w:eastAsia="黑体" w:cs="黑体"/>
          <w:sz w:val="32"/>
          <w:szCs w:val="32"/>
          <w:highlight w:val="none"/>
          <w:lang w:eastAsia="zh-CN"/>
        </w:rPr>
        <w:t>（采取综合评分法适用）</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b w:val="0"/>
                <w:bCs/>
                <w:szCs w:val="24"/>
              </w:rPr>
              <w:t>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每提供一项文体活动</w:t>
            </w:r>
            <w:r>
              <w:rPr>
                <w:rFonts w:hint="eastAsia" w:ascii="仿宋_GB2312" w:hAnsi="仿宋_GB2312" w:eastAsia="仿宋_GB2312" w:cs="仿宋_GB2312"/>
                <w:sz w:val="24"/>
                <w:szCs w:val="24"/>
                <w:lang w:eastAsia="zh-CN"/>
              </w:rPr>
              <w:t>类</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lang w:eastAsia="zh-CN"/>
              </w:rPr>
              <w:t>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p>
        </w:tc>
        <w:tc>
          <w:tcPr>
            <w:tcW w:w="6143" w:type="dxa"/>
            <w:noWrap w:val="0"/>
            <w:vAlign w:val="center"/>
          </w:tcPr>
          <w:p>
            <w:pPr>
              <w:pStyle w:val="10"/>
              <w:widowControl/>
              <w:topLinePunct w:val="0"/>
              <w:snapToGrid w:val="0"/>
              <w:spacing w:line="3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pStyle w:val="10"/>
              <w:widowControl/>
              <w:topLinePunct w:val="0"/>
              <w:snapToGrid w:val="0"/>
              <w:spacing w:line="3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widowControl/>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具有本科（或以上）学历，每提供</w:t>
            </w:r>
            <w:r>
              <w:rPr>
                <w:rFonts w:hint="eastAsia" w:ascii="仿宋_GB2312" w:hAnsi="仿宋_GB2312" w:eastAsia="仿宋_GB2312" w:cs="仿宋_GB2312"/>
                <w:sz w:val="24"/>
                <w:szCs w:val="24"/>
                <w:lang w:val="en-US" w:eastAsia="zh-CN"/>
              </w:rPr>
              <w:t>一份</w:t>
            </w:r>
            <w:r>
              <w:rPr>
                <w:rFonts w:hint="eastAsia" w:ascii="仿宋_GB2312" w:hAnsi="仿宋_GB2312" w:eastAsia="仿宋_GB2312" w:cs="仿宋_GB2312"/>
                <w:sz w:val="24"/>
                <w:szCs w:val="24"/>
                <w:lang w:eastAsia="zh-CN"/>
              </w:rPr>
              <w:t>学历</w:t>
            </w:r>
            <w:r>
              <w:rPr>
                <w:rFonts w:hint="eastAsia" w:ascii="仿宋_GB2312" w:hAnsi="仿宋_GB2312" w:eastAsia="仿宋_GB2312" w:cs="仿宋_GB2312"/>
                <w:sz w:val="24"/>
                <w:szCs w:val="24"/>
                <w:lang w:val="en-US" w:eastAsia="zh-CN"/>
              </w:rPr>
              <w:t>证明</w:t>
            </w:r>
            <w:r>
              <w:rPr>
                <w:rFonts w:hint="eastAsia" w:ascii="仿宋_GB2312" w:hAnsi="仿宋_GB2312" w:eastAsia="仿宋_GB2312" w:cs="仿宋_GB2312"/>
                <w:sz w:val="24"/>
                <w:szCs w:val="24"/>
                <w:lang w:eastAsia="zh-CN"/>
              </w:rPr>
              <w:t>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分（注：同一人不同学历不累计分值）；</w:t>
            </w:r>
          </w:p>
          <w:p>
            <w:pPr>
              <w:widowControl/>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文体活动策划/执行</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分；</w:t>
            </w:r>
          </w:p>
          <w:p>
            <w:pPr>
              <w:widowControl/>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同一人具备1至</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pStyle w:val="10"/>
              <w:widowControl/>
              <w:topLinePunct w:val="0"/>
              <w:snapToGrid w:val="0"/>
              <w:spacing w:line="3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widowControl/>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1.提供毕业证书或学位证书扫描件、学历信息在学信网查询结果截图，原件备查。</w:t>
            </w:r>
          </w:p>
          <w:p>
            <w:pPr>
              <w:widowControl/>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p>
            <w:pPr>
              <w:widowControl/>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3.以上人员近三个月社保缴纳记录。</w:t>
            </w:r>
          </w:p>
          <w:p>
            <w:pPr>
              <w:widowControl/>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以上证明文件原件备查，</w:t>
            </w:r>
            <w:r>
              <w:rPr>
                <w:rFonts w:hint="eastAsia" w:ascii="仿宋_GB2312" w:hAnsi="仿宋_GB2312" w:eastAsia="仿宋_GB2312" w:cs="仿宋_GB2312"/>
                <w:sz w:val="24"/>
                <w:szCs w:val="24"/>
                <w:highlight w:val="none"/>
                <w:lang w:eastAsia="zh-CN"/>
              </w:rPr>
              <w:t>未提供或未按要求提供或提供的不清晰导致采购小组无法判断的，不得分。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adjustRightInd w:val="0"/>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numPr>
                <w:ilvl w:val="-1"/>
                <w:numId w:val="0"/>
              </w:numPr>
              <w:adjustRightInd w:val="0"/>
              <w:snapToGrid w:val="0"/>
              <w:spacing w:line="560" w:lineRule="exact"/>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p>
            <w:pPr>
              <w:pStyle w:val="6"/>
              <w:spacing w:line="560" w:lineRule="exact"/>
              <w:jc w:val="left"/>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45</w:t>
            </w:r>
            <w:r>
              <w:rPr>
                <w:rFonts w:hint="eastAsia" w:ascii="仿宋_GB2312" w:hAnsi="仿宋_GB2312" w:eastAsia="仿宋_GB2312" w:cs="仿宋_GB2312"/>
                <w:sz w:val="24"/>
                <w:szCs w:val="24"/>
                <w:vertAlign w:val="baseline"/>
                <w:lang w:val="en-US" w:eastAsia="zh-CN"/>
              </w:rPr>
              <w:t>分）</w:t>
            </w: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2.项目亮点特色；</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3.项目成果；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4.宣传规划思路。</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满足以上任意一项要求得4分，最高得16分，在此基础上，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0" w:hRule="atLeast"/>
        </w:trPr>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sz w:val="24"/>
                <w:szCs w:val="24"/>
                <w:lang w:eastAsia="zh-CN"/>
              </w:rPr>
              <w:t>其他情况</w:t>
            </w:r>
            <w:r>
              <w:rPr>
                <w:rFonts w:hint="eastAsia" w:ascii="仿宋_GB2312" w:hAnsi="仿宋_GB2312" w:eastAsia="仿宋_GB2312" w:cs="仿宋_GB2312"/>
                <w:color w:val="auto"/>
                <w:sz w:val="24"/>
                <w:szCs w:val="24"/>
                <w:highlight w:val="none"/>
                <w:lang w:val="en-US" w:eastAsia="zh-CN"/>
              </w:rPr>
              <w:t>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auto"/>
          <w:sz w:val="32"/>
          <w:szCs w:val="32"/>
          <w:lang w:eastAsia="zh-CN"/>
        </w:rPr>
        <w:t>（均需每页加盖公章）</w:t>
      </w:r>
    </w:p>
    <w:p>
      <w:pPr>
        <w:spacing w:line="560" w:lineRule="exact"/>
        <w:ind w:firstLine="642" w:firstLineChars="200"/>
        <w:jc w:val="left"/>
        <w:rPr>
          <w:rFonts w:hint="eastAsia" w:ascii="仿宋_GB2312" w:hAnsi="仿宋" w:eastAsia="仿宋_GB2312" w:cs="Times New Roman"/>
          <w:b/>
          <w:bCs/>
          <w:color w:val="FF0000"/>
          <w:sz w:val="32"/>
          <w:highlight w:val="none"/>
        </w:rPr>
      </w:pPr>
      <w:r>
        <w:rPr>
          <w:rFonts w:hint="eastAsia" w:ascii="仿宋_GB2312" w:hAnsi="仿宋" w:eastAsia="仿宋_GB2312" w:cs="Times New Roman"/>
          <w:b/>
          <w:bCs/>
          <w:color w:val="FF0000"/>
          <w:sz w:val="32"/>
          <w:highlight w:val="none"/>
        </w:rPr>
        <w:t>注：以下全部资料每页均须加盖单位公章；第1至5项为投标资格必备资料，第1至5项任意一项资料缺失、未按要求完整提交的，作无效投标处理。</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1.营业执照、事业法人证书、社会团体法人登记证书、相关许可证书；</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投标人未按要求完整提供对应人员社保材料的，按无效投标处理。</w:t>
      </w:r>
    </w:p>
    <w:p>
      <w:pPr>
        <w:spacing w:line="560" w:lineRule="exact"/>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6.评分规则所需资料（同类业绩证明、方案等）。</w:t>
      </w:r>
    </w:p>
    <w:p>
      <w:pPr>
        <w:pStyle w:val="7"/>
        <w:spacing w:after="0" w:line="560" w:lineRule="exact"/>
        <w:ind w:left="0" w:leftChars="0" w:right="0" w:rightChars="0" w:firstLine="640"/>
        <w:jc w:val="left"/>
        <w:rPr>
          <w:rFonts w:hint="eastAsia" w:ascii="方正黑体_GBK" w:hAnsi="方正黑体_GBK" w:eastAsia="方正黑体_GBK" w:cs="方正黑体_GBK"/>
          <w:bCs/>
          <w:color w:val="000000"/>
          <w:sz w:val="32"/>
          <w:szCs w:val="32"/>
          <w:lang w:val="en-US" w:eastAsia="zh-CN"/>
        </w:rPr>
      </w:pPr>
      <w:r>
        <w:rPr>
          <w:rFonts w:hint="eastAsia" w:ascii="方正黑体_GBK" w:hAnsi="方正黑体_GBK" w:eastAsia="方正黑体_GBK" w:cs="方正黑体_GBK"/>
          <w:bCs/>
          <w:color w:val="000000"/>
          <w:sz w:val="32"/>
          <w:szCs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rPr>
        <w:t>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并在封面备注“龙华区户外生活节</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hint="default" w:ascii="仿宋_GB2312" w:hAnsi="仿宋" w:eastAsia="仿宋_GB2312" w:cs="Times New Roman"/>
          <w:sz w:val="32"/>
          <w:szCs w:val="22"/>
          <w:lang w:val="en-US"/>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w:t>
      </w:r>
      <w:r>
        <w:rPr>
          <w:rFonts w:hint="default" w:ascii="仿宋_GB2312" w:hAnsi="仿宋" w:eastAsia="仿宋_GB2312" w:cs="Times New Roman"/>
          <w:sz w:val="32"/>
          <w:szCs w:val="22"/>
          <w:lang w:val="en-US"/>
        </w:rPr>
        <w:t>032</w:t>
      </w:r>
    </w:p>
    <w:p>
      <w:pPr>
        <w:pStyle w:val="18"/>
        <w:spacing w:line="560" w:lineRule="exact"/>
        <w:ind w:firstLine="0" w:firstLineChars="0"/>
        <w:rPr>
          <w:rFonts w:hint="default" w:ascii="黑体" w:hAnsi="黑体" w:eastAsia="黑体" w:cs="黑体"/>
          <w:color w:val="000000"/>
          <w:sz w:val="32"/>
          <w:szCs w:val="32"/>
          <w:lang w:val="en-US" w:eastAsia="zh-CN"/>
        </w:rPr>
      </w:pPr>
      <w:bookmarkStart w:id="2" w:name="_GoBack"/>
      <w:bookmarkEnd w:id="2"/>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A142B"/>
    <w:multiLevelType w:val="singleLevel"/>
    <w:tmpl w:val="1BAA142B"/>
    <w:lvl w:ilvl="0" w:tentative="0">
      <w:start w:val="2"/>
      <w:numFmt w:val="chineseCounting"/>
      <w:suff w:val="nothing"/>
      <w:lvlText w:val="（%1）"/>
      <w:lvlJc w:val="left"/>
      <w:rPr>
        <w:rFonts w:hint="eastAsia"/>
      </w:rPr>
    </w:lvl>
  </w:abstractNum>
  <w:abstractNum w:abstractNumId="1">
    <w:nsid w:val="33CA315F"/>
    <w:multiLevelType w:val="singleLevel"/>
    <w:tmpl w:val="33CA31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8EA3C34"/>
    <w:rsid w:val="11E07B6F"/>
    <w:rsid w:val="156009FD"/>
    <w:rsid w:val="163C3C0C"/>
    <w:rsid w:val="16EB8C75"/>
    <w:rsid w:val="1C387FA6"/>
    <w:rsid w:val="206568E9"/>
    <w:rsid w:val="27027B2E"/>
    <w:rsid w:val="270D16ED"/>
    <w:rsid w:val="27D17500"/>
    <w:rsid w:val="28991DCC"/>
    <w:rsid w:val="2A9E72CC"/>
    <w:rsid w:val="2B4E2D46"/>
    <w:rsid w:val="2C027C88"/>
    <w:rsid w:val="2E32343F"/>
    <w:rsid w:val="309317F7"/>
    <w:rsid w:val="328673D6"/>
    <w:rsid w:val="34A22009"/>
    <w:rsid w:val="35C97A69"/>
    <w:rsid w:val="360E0293"/>
    <w:rsid w:val="375021F0"/>
    <w:rsid w:val="3A575643"/>
    <w:rsid w:val="3ADB2718"/>
    <w:rsid w:val="3B334302"/>
    <w:rsid w:val="3D5FDCFC"/>
    <w:rsid w:val="3D89020A"/>
    <w:rsid w:val="3EFE69D5"/>
    <w:rsid w:val="3F7D16C5"/>
    <w:rsid w:val="40CF0629"/>
    <w:rsid w:val="417E7959"/>
    <w:rsid w:val="42415594"/>
    <w:rsid w:val="428A7C17"/>
    <w:rsid w:val="437028A4"/>
    <w:rsid w:val="47462CC7"/>
    <w:rsid w:val="48A028AB"/>
    <w:rsid w:val="4C46376A"/>
    <w:rsid w:val="4C7B12CE"/>
    <w:rsid w:val="4D0F7FFF"/>
    <w:rsid w:val="4DAF1EFF"/>
    <w:rsid w:val="4EB6312B"/>
    <w:rsid w:val="4F414646"/>
    <w:rsid w:val="523C7D0A"/>
    <w:rsid w:val="55C220B3"/>
    <w:rsid w:val="55E71B19"/>
    <w:rsid w:val="5630526E"/>
    <w:rsid w:val="5BB97AB4"/>
    <w:rsid w:val="5D3C0667"/>
    <w:rsid w:val="5ECA3D86"/>
    <w:rsid w:val="5F2BE56A"/>
    <w:rsid w:val="5F933480"/>
    <w:rsid w:val="603F6A66"/>
    <w:rsid w:val="611F03B9"/>
    <w:rsid w:val="64A70DF2"/>
    <w:rsid w:val="64BE438D"/>
    <w:rsid w:val="66320B8F"/>
    <w:rsid w:val="696E0130"/>
    <w:rsid w:val="69E421A0"/>
    <w:rsid w:val="6A687275"/>
    <w:rsid w:val="6CFFD566"/>
    <w:rsid w:val="6D1F1741"/>
    <w:rsid w:val="6D24799D"/>
    <w:rsid w:val="6E536BB7"/>
    <w:rsid w:val="6F152DFC"/>
    <w:rsid w:val="6FC72380"/>
    <w:rsid w:val="708C17E3"/>
    <w:rsid w:val="7232523A"/>
    <w:rsid w:val="73A730C7"/>
    <w:rsid w:val="73FB884D"/>
    <w:rsid w:val="7420296E"/>
    <w:rsid w:val="74695916"/>
    <w:rsid w:val="75047B9A"/>
    <w:rsid w:val="79DD35DB"/>
    <w:rsid w:val="7B8C6B3B"/>
    <w:rsid w:val="7BD3E33C"/>
    <w:rsid w:val="7BF7E217"/>
    <w:rsid w:val="7D9F3A20"/>
    <w:rsid w:val="7DD39989"/>
    <w:rsid w:val="7E1075B0"/>
    <w:rsid w:val="7E9F479A"/>
    <w:rsid w:val="7EEE7B47"/>
    <w:rsid w:val="9EFFBBA7"/>
    <w:rsid w:val="9FF753B3"/>
    <w:rsid w:val="BBFF548B"/>
    <w:rsid w:val="BF2FD1D0"/>
    <w:rsid w:val="CEAEA899"/>
    <w:rsid w:val="DEB7FE68"/>
    <w:rsid w:val="DFFF69F1"/>
    <w:rsid w:val="E376E1AF"/>
    <w:rsid w:val="E77E6E49"/>
    <w:rsid w:val="EFF64497"/>
    <w:rsid w:val="FDFFDEC4"/>
    <w:rsid w:val="FFBFB86A"/>
    <w:rsid w:val="FFEF2FC6"/>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Normal (Web)"/>
    <w:basedOn w:val="1"/>
    <w:qFormat/>
    <w:uiPriority w:val="99"/>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5604</Words>
  <Characters>5802</Characters>
  <Lines>0</Lines>
  <Paragraphs>0</Paragraphs>
  <TotalTime>8</TotalTime>
  <ScaleCrop>false</ScaleCrop>
  <LinksUpToDate>false</LinksUpToDate>
  <CharactersWithSpaces>5928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2025-04-18T17:16:00Z</dcterms:created>
  <dc:creator>yang</dc:creator>
  <cp:lastModifiedBy>lxy</cp:lastModifiedBy>
  <dcterms:modified xsi:type="dcterms:W3CDTF">2026-07-09T16:52:40Z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72ED9643FCE879261839A16969D423C8</vt:lpwstr>
  </property>
  <property fmtid="{D5CDD505-2E9C-101B-9397-08002B2CF9AE}" pid="4" name="KSOTemplateDocerSaveRecord">
    <vt:lpwstr>eyJoZGlkIjoiOGU5YTE0MGQ1Nzc0NDg0MDkwYzRmZmI1M2MxMDZjNDUiLCJ1c2VySWQiOiI3NjI1MDM3NTIifQ==</vt:lpwstr>
  </property>
</Properties>
</file>