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lang w:val="en-US" w:eastAsia="zh-CN"/>
        </w:rPr>
        <w:t>2026年度竞赛训练保障服务</w:t>
      </w: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highlight w:val="none"/>
        </w:rPr>
      </w:pPr>
      <w:r>
        <w:rPr>
          <w:rFonts w:hint="eastAsia" w:ascii="黑体" w:hAnsi="黑体" w:eastAsia="黑体" w:cs="黑体"/>
          <w:bCs/>
          <w:sz w:val="32"/>
          <w:szCs w:val="32"/>
          <w:highlight w:val="none"/>
        </w:rPr>
        <w:t>项目目标</w:t>
      </w:r>
    </w:p>
    <w:p>
      <w:pPr>
        <w:snapToGrid/>
        <w:spacing w:line="560" w:lineRule="exact"/>
        <w:ind w:firstLine="640" w:firstLineChars="200"/>
        <w:jc w:val="both"/>
        <w:rPr>
          <w:rFonts w:hint="eastAsia" w:ascii="仿宋_GB2312" w:hAnsi="仿宋_GB2312" w:eastAsia="仿宋_GB2312" w:cs="仿宋_GB2312"/>
          <w:bCs w:val="0"/>
          <w:sz w:val="32"/>
          <w:szCs w:val="32"/>
          <w:highlight w:val="none"/>
        </w:rPr>
      </w:pP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进一步提升龙华区业余体校体育教学与训练工作的专业化、科学化水平，完善体育人才培养体系</w:t>
      </w:r>
      <w:r>
        <w:rPr>
          <w:rFonts w:hint="eastAsia" w:ascii="仿宋_GB2312" w:hAnsi="仿宋_GB2312" w:eastAsia="仿宋_GB2312" w:cs="仿宋_GB2312"/>
          <w:sz w:val="32"/>
          <w:szCs w:val="32"/>
          <w:highlight w:val="none"/>
          <w:lang w:eastAsia="zh-CN"/>
        </w:rPr>
        <w:t>，现拟采购2026</w:t>
      </w:r>
      <w:r>
        <w:rPr>
          <w:rFonts w:hint="eastAsia" w:ascii="仿宋_GB2312" w:hAnsi="仿宋_GB2312" w:eastAsia="仿宋_GB2312" w:cs="仿宋_GB2312"/>
          <w:sz w:val="32"/>
          <w:szCs w:val="32"/>
          <w:highlight w:val="none"/>
        </w:rPr>
        <w:t>年度竞赛训练保障服务</w:t>
      </w:r>
      <w:r>
        <w:rPr>
          <w:rFonts w:hint="eastAsia" w:ascii="仿宋_GB2312" w:hAnsi="仿宋_GB2312" w:eastAsia="仿宋_GB2312" w:cs="仿宋_GB2312"/>
          <w:kern w:val="2"/>
          <w:sz w:val="32"/>
          <w:szCs w:val="32"/>
          <w:highlight w:val="none"/>
          <w:lang w:val="en-US" w:eastAsia="zh-CN" w:bidi="ar-SA"/>
        </w:rPr>
        <w:t>，协助开展</w:t>
      </w:r>
      <w:r>
        <w:rPr>
          <w:rFonts w:hint="eastAsia" w:ascii="仿宋_GB2312" w:hAnsi="仿宋_GB2312" w:eastAsia="仿宋_GB2312" w:cs="仿宋_GB2312"/>
          <w:spacing w:val="0"/>
          <w:sz w:val="32"/>
          <w:szCs w:val="32"/>
          <w:highlight w:val="none"/>
          <w:lang w:val="en-US" w:eastAsia="zh-CN"/>
        </w:rPr>
        <w:t>游泳、射箭、网球、羽毛球、垒球、篮球、武术、乒乓球、攀岩、体操等10个竞技体育项目的竞赛训练工作</w:t>
      </w:r>
      <w:r>
        <w:rPr>
          <w:rFonts w:hint="eastAsia" w:ascii="仿宋_GB2312" w:hAnsi="仿宋_GB2312" w:eastAsia="仿宋_GB2312" w:cs="仿宋_GB2312"/>
          <w:kern w:val="2"/>
          <w:sz w:val="32"/>
          <w:szCs w:val="32"/>
          <w:highlight w:val="none"/>
          <w:lang w:val="en-US" w:eastAsia="zh-CN" w:bidi="ar-SA"/>
        </w:rPr>
        <w:t>。</w:t>
      </w:r>
    </w:p>
    <w:p>
      <w:pPr>
        <w:tabs>
          <w:tab w:val="left" w:pos="1820"/>
        </w:tabs>
        <w:snapToGrid w:val="0"/>
        <w:spacing w:line="560" w:lineRule="exact"/>
        <w:ind w:firstLine="640" w:firstLineChars="200"/>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二、</w:t>
      </w:r>
      <w:r>
        <w:rPr>
          <w:rFonts w:hint="eastAsia" w:ascii="黑体" w:hAnsi="黑体" w:eastAsia="黑体" w:cs="黑体"/>
          <w:bCs/>
          <w:sz w:val="32"/>
          <w:szCs w:val="32"/>
          <w:highlight w:val="none"/>
          <w:lang w:eastAsia="zh-CN"/>
        </w:rPr>
        <w:t>服务时间</w:t>
      </w:r>
    </w:p>
    <w:p>
      <w:pPr>
        <w:widowControl/>
        <w:numPr>
          <w:ilvl w:val="0"/>
          <w:numId w:val="0"/>
        </w:numPr>
        <w:tabs>
          <w:tab w:val="left" w:pos="1820"/>
        </w:tabs>
        <w:adjustRightInd w:val="0"/>
        <w:snapToGrid w:val="0"/>
        <w:ind w:firstLine="640" w:firstLineChars="200"/>
        <w:jc w:val="both"/>
        <w:rPr>
          <w:rFonts w:ascii="仿宋_GB2312" w:hAnsi="仿宋_GB2312" w:eastAsia="仿宋_GB2312" w:cs="仿宋_GB2312"/>
          <w:sz w:val="32"/>
          <w:szCs w:val="36"/>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6月-2026年12月</w:t>
      </w:r>
      <w:r>
        <w:rPr>
          <w:rFonts w:hint="eastAsia" w:ascii="仿宋_GB2312" w:hAnsi="仿宋_GB2312" w:eastAsia="仿宋_GB2312" w:cs="仿宋_GB2312"/>
          <w:sz w:val="32"/>
          <w:szCs w:val="36"/>
        </w:rPr>
        <w:t>（暂定）</w:t>
      </w:r>
    </w:p>
    <w:p>
      <w:pPr>
        <w:tabs>
          <w:tab w:val="left" w:pos="1820"/>
        </w:tabs>
        <w:snapToGrid w:val="0"/>
        <w:spacing w:line="560" w:lineRule="exact"/>
        <w:ind w:firstLine="640" w:firstLineChars="200"/>
        <w:jc w:val="left"/>
        <w:rPr>
          <w:rFonts w:ascii="黑体" w:hAnsi="黑体" w:eastAsia="黑体" w:cs="黑体"/>
          <w:bCs/>
          <w:sz w:val="32"/>
          <w:szCs w:val="32"/>
          <w:highlight w:val="none"/>
        </w:rPr>
      </w:pPr>
      <w:r>
        <w:rPr>
          <w:rFonts w:hint="eastAsia" w:ascii="黑体" w:hAnsi="黑体" w:eastAsia="黑体" w:cs="黑体"/>
          <w:bCs/>
          <w:sz w:val="32"/>
          <w:szCs w:val="32"/>
          <w:highlight w:val="none"/>
        </w:rPr>
        <w:t>三、</w:t>
      </w:r>
      <w:bookmarkStart w:id="0" w:name="OLE_LINK2"/>
      <w:r>
        <w:rPr>
          <w:rFonts w:hint="eastAsia" w:ascii="黑体" w:hAnsi="黑体" w:eastAsia="黑体" w:cs="黑体"/>
          <w:bCs/>
          <w:sz w:val="32"/>
          <w:szCs w:val="32"/>
          <w:highlight w:val="none"/>
        </w:rPr>
        <w:t>项目内容及要求</w:t>
      </w:r>
      <w:bookmarkEnd w:id="0"/>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line="560" w:lineRule="exact"/>
        <w:ind w:leftChars="0" w:right="0" w:rightChars="0"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highlight w:val="none"/>
          <w:lang w:val="en-US" w:eastAsia="zh-CN" w:bidi="ar-SA"/>
        </w:rPr>
        <w:t>中标供应商需</w:t>
      </w:r>
      <w:r>
        <w:rPr>
          <w:rFonts w:hint="eastAsia" w:ascii="仿宋_GB2312" w:hAnsi="仿宋" w:eastAsia="仿宋_GB2312" w:cs="仿宋"/>
          <w:sz w:val="32"/>
          <w:szCs w:val="32"/>
          <w:highlight w:val="none"/>
        </w:rPr>
        <w:t>选派</w:t>
      </w:r>
      <w:r>
        <w:rPr>
          <w:rFonts w:hint="default" w:ascii="仿宋_GB2312" w:hAnsi="仿宋" w:eastAsia="仿宋_GB2312" w:cs="仿宋"/>
          <w:sz w:val="32"/>
          <w:szCs w:val="32"/>
          <w:highlight w:val="none"/>
          <w:lang w:val="en-US"/>
        </w:rPr>
        <w:t>10</w:t>
      </w:r>
      <w:r>
        <w:rPr>
          <w:rFonts w:hint="eastAsia" w:ascii="仿宋_GB2312" w:hAnsi="仿宋" w:eastAsia="仿宋_GB2312" w:cs="仿宋"/>
          <w:sz w:val="32"/>
          <w:szCs w:val="32"/>
          <w:highlight w:val="none"/>
        </w:rPr>
        <w:t>名持证专业助理教练（</w:t>
      </w:r>
      <w:r>
        <w:rPr>
          <w:rFonts w:hint="eastAsia" w:ascii="仿宋_GB2312" w:hAnsi="仿宋_GB2312" w:eastAsia="仿宋_GB2312" w:cs="仿宋_GB2312"/>
          <w:spacing w:val="0"/>
          <w:sz w:val="32"/>
          <w:szCs w:val="32"/>
          <w:highlight w:val="none"/>
          <w:lang w:val="en-US" w:eastAsia="zh-CN"/>
        </w:rPr>
        <w:t>游泳、射箭、网球、羽毛球、垒球、篮球、武术、乒乓球、攀岩、体操</w:t>
      </w:r>
      <w:r>
        <w:rPr>
          <w:rFonts w:hint="eastAsia" w:ascii="仿宋_GB2312" w:hAnsi="仿宋" w:eastAsia="仿宋_GB2312" w:cs="仿宋"/>
          <w:sz w:val="32"/>
          <w:szCs w:val="32"/>
          <w:highlight w:val="none"/>
        </w:rPr>
        <w:t>等</w:t>
      </w:r>
      <w:r>
        <w:rPr>
          <w:rFonts w:hint="default" w:ascii="仿宋_GB2312" w:hAnsi="仿宋" w:eastAsia="仿宋_GB2312" w:cs="仿宋"/>
          <w:sz w:val="32"/>
          <w:szCs w:val="32"/>
          <w:highlight w:val="none"/>
          <w:lang w:val="en-US"/>
        </w:rPr>
        <w:t>10</w:t>
      </w:r>
      <w:r>
        <w:rPr>
          <w:rFonts w:hint="eastAsia" w:ascii="仿宋_GB2312" w:hAnsi="仿宋" w:eastAsia="仿宋_GB2312" w:cs="仿宋"/>
          <w:sz w:val="32"/>
          <w:szCs w:val="32"/>
          <w:highlight w:val="none"/>
        </w:rPr>
        <w:t>个项目各1名）进驻龙华区文化体育发展中心协助开展日常训练工作，并配合完成竞赛组织、训练指导、赛事保障等工作。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 w:eastAsia="仿宋_GB2312" w:cs="仿宋"/>
          <w:b w:val="0"/>
          <w:bCs w:val="0"/>
          <w:kern w:val="2"/>
          <w:sz w:val="32"/>
          <w:szCs w:val="32"/>
          <w:highlight w:val="none"/>
          <w:lang w:val="en-US" w:eastAsia="zh-CN" w:bidi="ar-SA"/>
        </w:rPr>
      </w:pPr>
      <w:r>
        <w:rPr>
          <w:rFonts w:hint="eastAsia" w:ascii="仿宋_GB2312" w:hAnsi="仿宋" w:eastAsia="仿宋_GB2312" w:cs="仿宋"/>
          <w:b w:val="0"/>
          <w:bCs w:val="0"/>
          <w:kern w:val="2"/>
          <w:sz w:val="32"/>
          <w:szCs w:val="32"/>
          <w:highlight w:val="none"/>
          <w:lang w:val="en-US" w:eastAsia="zh-CN" w:bidi="ar-SA"/>
        </w:rPr>
        <w:t>（1）助理教练要求：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 w:eastAsia="仿宋_GB2312" w:cs="仿宋"/>
          <w:b w:val="0"/>
          <w:bCs w:val="0"/>
          <w:kern w:val="2"/>
          <w:sz w:val="32"/>
          <w:szCs w:val="32"/>
          <w:highlight w:val="none"/>
          <w:lang w:val="en-US" w:eastAsia="zh-CN" w:bidi="ar-SA"/>
        </w:rPr>
      </w:pPr>
      <w:r>
        <w:rPr>
          <w:rFonts w:hint="eastAsia" w:ascii="仿宋_GB2312" w:hAnsi="仿宋" w:eastAsia="仿宋_GB2312" w:cs="仿宋"/>
          <w:b w:val="0"/>
          <w:bCs w:val="0"/>
          <w:kern w:val="2"/>
          <w:sz w:val="32"/>
          <w:szCs w:val="32"/>
          <w:highlight w:val="none"/>
          <w:lang w:val="en-US" w:eastAsia="zh-CN" w:bidi="ar-SA"/>
        </w:rPr>
        <w:t>身体健康，无重大疾病。</w:t>
      </w:r>
      <w:r>
        <w:rPr>
          <w:rFonts w:hint="default" w:ascii="仿宋_GB2312" w:hAnsi="仿宋" w:eastAsia="仿宋_GB2312" w:cs="仿宋"/>
          <w:b w:val="0"/>
          <w:bCs w:val="0"/>
          <w:kern w:val="2"/>
          <w:sz w:val="32"/>
          <w:szCs w:val="32"/>
          <w:highlight w:val="none"/>
          <w:lang w:val="en-US" w:eastAsia="zh-CN" w:bidi="ar-SA"/>
        </w:rPr>
        <w:t>有</w:t>
      </w:r>
      <w:r>
        <w:rPr>
          <w:rFonts w:hint="eastAsia" w:ascii="仿宋_GB2312" w:hAnsi="仿宋" w:eastAsia="仿宋_GB2312" w:cs="仿宋"/>
          <w:b w:val="0"/>
          <w:bCs w:val="0"/>
          <w:kern w:val="2"/>
          <w:sz w:val="32"/>
          <w:szCs w:val="32"/>
          <w:highlight w:val="none"/>
          <w:lang w:val="en-US" w:eastAsia="zh-CN" w:bidi="ar-SA"/>
        </w:rPr>
        <w:t>相关体育项目带队</w:t>
      </w:r>
      <w:r>
        <w:rPr>
          <w:rFonts w:hint="default" w:ascii="仿宋_GB2312" w:hAnsi="仿宋" w:eastAsia="仿宋_GB2312" w:cs="仿宋"/>
          <w:b w:val="0"/>
          <w:bCs w:val="0"/>
          <w:kern w:val="2"/>
          <w:sz w:val="32"/>
          <w:szCs w:val="32"/>
          <w:highlight w:val="none"/>
          <w:lang w:val="en-US" w:eastAsia="zh-CN" w:bidi="ar-SA"/>
        </w:rPr>
        <w:t>经验</w:t>
      </w:r>
      <w:r>
        <w:rPr>
          <w:rFonts w:hint="eastAsia" w:ascii="仿宋_GB2312" w:hAnsi="仿宋" w:eastAsia="仿宋_GB2312" w:cs="仿宋"/>
          <w:b w:val="0"/>
          <w:bCs w:val="0"/>
          <w:kern w:val="2"/>
          <w:sz w:val="32"/>
          <w:szCs w:val="32"/>
          <w:highlight w:val="none"/>
          <w:lang w:val="en-US" w:eastAsia="zh-CN" w:bidi="ar-SA"/>
        </w:rPr>
        <w:t>或</w:t>
      </w:r>
      <w:r>
        <w:rPr>
          <w:rFonts w:hint="default" w:ascii="仿宋_GB2312" w:hAnsi="仿宋" w:eastAsia="仿宋_GB2312" w:cs="仿宋"/>
          <w:b w:val="0"/>
          <w:bCs w:val="0"/>
          <w:kern w:val="2"/>
          <w:sz w:val="32"/>
          <w:szCs w:val="32"/>
          <w:highlight w:val="none"/>
          <w:lang w:val="en-US" w:eastAsia="zh-CN" w:bidi="ar-SA"/>
        </w:rPr>
        <w:t>相关从业资格证书</w:t>
      </w:r>
      <w:r>
        <w:rPr>
          <w:rFonts w:hint="eastAsia" w:ascii="仿宋_GB2312" w:hAnsi="仿宋" w:eastAsia="仿宋_GB2312" w:cs="仿宋"/>
          <w:b w:val="0"/>
          <w:bCs w:val="0"/>
          <w:kern w:val="2"/>
          <w:sz w:val="32"/>
          <w:szCs w:val="32"/>
          <w:highlight w:val="none"/>
          <w:lang w:val="en-US" w:eastAsia="zh-CN" w:bidi="ar-SA"/>
        </w:rPr>
        <w:t>或运动员等级证书，有带队参赛经验及成绩者优先。</w:t>
      </w:r>
    </w:p>
    <w:p>
      <w:pPr>
        <w:pStyle w:val="9"/>
        <w:numPr>
          <w:ilvl w:val="0"/>
          <w:numId w:val="0"/>
        </w:numPr>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val="0"/>
          <w:kern w:val="2"/>
          <w:sz w:val="32"/>
          <w:szCs w:val="32"/>
          <w:lang w:val="en-US" w:eastAsia="zh-CN" w:bidi="ar-SA"/>
        </w:rPr>
        <w:t>（2）服务训赛时数要求：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s="仿宋"/>
          <w:b w:val="0"/>
          <w:kern w:val="2"/>
          <w:sz w:val="32"/>
          <w:szCs w:val="32"/>
          <w:highlight w:val="none"/>
          <w:lang w:val="en-US" w:eastAsia="zh-CN" w:bidi="ar-SA"/>
        </w:rPr>
      </w:pPr>
      <w:r>
        <w:rPr>
          <w:rFonts w:hint="eastAsia" w:ascii="仿宋_GB2312" w:hAnsi="仿宋_GB2312" w:eastAsia="仿宋_GB2312" w:cs="仿宋_GB2312"/>
          <w:spacing w:val="0"/>
          <w:sz w:val="32"/>
          <w:szCs w:val="32"/>
          <w:highlight w:val="none"/>
          <w:lang w:val="en-US" w:eastAsia="zh-CN"/>
        </w:rPr>
        <w:t>游泳、射箭、网球、羽毛球、垒球、篮球、武术、乒乓球、攀岩、体操</w:t>
      </w:r>
      <w:r>
        <w:rPr>
          <w:rFonts w:hint="eastAsia" w:ascii="仿宋_GB2312" w:hAnsi="仿宋" w:eastAsia="仿宋_GB2312" w:cs="仿宋"/>
          <w:sz w:val="32"/>
          <w:szCs w:val="32"/>
          <w:highlight w:val="none"/>
        </w:rPr>
        <w:t>等</w:t>
      </w:r>
      <w:r>
        <w:rPr>
          <w:rFonts w:hint="eastAsia" w:ascii="仿宋_GB2312" w:hAnsi="仿宋" w:eastAsia="仿宋_GB2312" w:cs="仿宋"/>
          <w:sz w:val="32"/>
          <w:szCs w:val="32"/>
          <w:highlight w:val="none"/>
          <w:lang w:val="en-US" w:eastAsia="zh-CN"/>
        </w:rPr>
        <w:t>10</w:t>
      </w:r>
      <w:r>
        <w:rPr>
          <w:rFonts w:hint="eastAsia" w:ascii="仿宋_GB2312" w:hAnsi="仿宋" w:eastAsia="仿宋_GB2312" w:cs="仿宋"/>
          <w:sz w:val="32"/>
          <w:szCs w:val="32"/>
          <w:highlight w:val="none"/>
        </w:rPr>
        <w:t>个项目训练服务各需</w:t>
      </w:r>
      <w:r>
        <w:rPr>
          <w:rFonts w:hint="eastAsia" w:ascii="仿宋_GB2312" w:hAnsi="仿宋" w:eastAsia="仿宋_GB2312" w:cs="仿宋"/>
          <w:sz w:val="32"/>
          <w:szCs w:val="32"/>
          <w:highlight w:val="none"/>
          <w:lang w:val="en-US" w:eastAsia="zh-CN"/>
        </w:rPr>
        <w:t>120</w:t>
      </w:r>
      <w:r>
        <w:rPr>
          <w:rFonts w:hint="eastAsia" w:ascii="仿宋_GB2312" w:hAnsi="仿宋" w:eastAsia="仿宋_GB2312" w:cs="仿宋"/>
          <w:sz w:val="32"/>
          <w:szCs w:val="32"/>
          <w:highlight w:val="none"/>
        </w:rPr>
        <w:t>课时，每个课时</w:t>
      </w:r>
      <w:r>
        <w:rPr>
          <w:rFonts w:hint="eastAsia" w:ascii="仿宋_GB2312" w:hAnsi="仿宋" w:eastAsia="仿宋_GB2312" w:cs="仿宋"/>
          <w:sz w:val="32"/>
          <w:szCs w:val="32"/>
          <w:highlight w:val="none"/>
          <w:lang w:eastAsia="zh-CN"/>
        </w:rPr>
        <w:t>为</w:t>
      </w:r>
      <w:r>
        <w:rPr>
          <w:rFonts w:hint="eastAsia" w:ascii="仿宋_GB2312" w:hAnsi="仿宋" w:eastAsia="仿宋_GB2312" w:cs="仿宋"/>
          <w:sz w:val="32"/>
          <w:szCs w:val="32"/>
          <w:highlight w:val="none"/>
        </w:rPr>
        <w:t>2小时</w:t>
      </w:r>
      <w:r>
        <w:rPr>
          <w:rFonts w:hint="eastAsia" w:ascii="仿宋_GB2312" w:hAnsi="仿宋" w:eastAsia="仿宋_GB2312" w:cs="仿宋"/>
          <w:b w:val="0"/>
          <w:bCs w:val="0"/>
          <w:kern w:val="2"/>
          <w:sz w:val="32"/>
          <w:szCs w:val="32"/>
          <w:highlight w:val="none"/>
          <w:lang w:val="en-US" w:eastAsia="zh-CN" w:bidi="ar-SA"/>
        </w:rPr>
        <w:t>。</w:t>
      </w:r>
    </w:p>
    <w:p>
      <w:pPr>
        <w:pStyle w:val="7"/>
        <w:keepNext w:val="0"/>
        <w:keepLines w:val="0"/>
        <w:pageBreakBefore w:val="0"/>
        <w:widowControl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default" w:eastAsia="仿宋_GB2312"/>
          <w:lang w:val="en-US" w:eastAsia="zh-CN"/>
        </w:rPr>
      </w:pPr>
      <w:r>
        <w:rPr>
          <w:rFonts w:hint="eastAsia" w:ascii="仿宋_GB2312" w:hAnsi="仿宋" w:eastAsia="仿宋_GB2312" w:cs="仿宋"/>
          <w:kern w:val="2"/>
          <w:sz w:val="32"/>
          <w:szCs w:val="32"/>
          <w:lang w:val="en-US" w:eastAsia="zh-CN" w:bidi="ar-SA"/>
        </w:rPr>
        <w:t>（3）除完成训赛任务以外，还需协助</w:t>
      </w:r>
      <w:r>
        <w:rPr>
          <w:rFonts w:hint="eastAsia" w:ascii="仿宋_GB2312" w:hAnsi="仿宋" w:eastAsia="仿宋_GB2312" w:cs="仿宋"/>
          <w:sz w:val="32"/>
          <w:szCs w:val="32"/>
        </w:rPr>
        <w:t>完成竞赛组织、训练指导、赛事保障等工作</w:t>
      </w:r>
      <w:r>
        <w:rPr>
          <w:rFonts w:hint="eastAsia" w:ascii="仿宋_GB2312" w:hAnsi="仿宋" w:eastAsia="仿宋_GB2312" w:cs="仿宋"/>
          <w:kern w:val="2"/>
          <w:sz w:val="32"/>
          <w:szCs w:val="32"/>
          <w:lang w:val="en-US" w:eastAsia="zh-CN" w:bidi="ar-SA"/>
        </w:rPr>
        <w:t>。</w:t>
      </w:r>
    </w:p>
    <w:p>
      <w:pPr>
        <w:tabs>
          <w:tab w:val="left" w:pos="1820"/>
        </w:tabs>
        <w:snapToGrid w:val="0"/>
        <w:spacing w:line="560" w:lineRule="exact"/>
        <w:ind w:firstLine="640" w:firstLineChars="200"/>
        <w:jc w:val="left"/>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四、报价限额</w:t>
      </w:r>
    </w:p>
    <w:p>
      <w:pPr>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6"/>
          <w:highlight w:val="none"/>
          <w:lang w:val="en-US" w:eastAsia="zh-CN"/>
        </w:rPr>
        <w:t>72</w:t>
      </w:r>
      <w:r>
        <w:rPr>
          <w:rFonts w:hint="eastAsia" w:ascii="仿宋_GB2312" w:hAnsi="仿宋_GB2312" w:eastAsia="仿宋_GB2312" w:cs="仿宋_GB2312"/>
          <w:sz w:val="32"/>
          <w:szCs w:val="36"/>
          <w:highlight w:val="none"/>
          <w:lang w:eastAsia="zh-CN"/>
        </w:rPr>
        <w:t>万元，</w:t>
      </w:r>
      <w:r>
        <w:rPr>
          <w:rFonts w:hint="eastAsia" w:ascii="仿宋_GB2312" w:hAnsi="仿宋_GB2312" w:eastAsia="仿宋_GB2312" w:cs="仿宋_GB2312"/>
          <w:b/>
          <w:bCs/>
          <w:sz w:val="32"/>
          <w:szCs w:val="32"/>
          <w:highlight w:val="none"/>
          <w:lang w:eastAsia="zh-CN"/>
        </w:rPr>
        <w:t>项目报价表</w:t>
      </w:r>
      <w:r>
        <w:rPr>
          <w:rFonts w:hint="eastAsia" w:ascii="仿宋_GB2312" w:hAnsi="仿宋_GB2312" w:eastAsia="仿宋_GB2312" w:cs="仿宋_GB2312"/>
          <w:sz w:val="32"/>
          <w:szCs w:val="32"/>
          <w:highlight w:val="none"/>
        </w:rPr>
        <w:t>需</w:t>
      </w:r>
      <w:r>
        <w:rPr>
          <w:rFonts w:hint="eastAsia" w:ascii="仿宋_GB2312" w:hAnsi="仿宋_GB2312" w:eastAsia="仿宋_GB2312" w:cs="仿宋_GB2312"/>
          <w:sz w:val="32"/>
          <w:szCs w:val="32"/>
          <w:highlight w:val="none"/>
          <w:lang w:eastAsia="zh-CN"/>
        </w:rPr>
        <w:t>与下表</w:t>
      </w:r>
      <w:r>
        <w:rPr>
          <w:rFonts w:hint="eastAsia" w:ascii="仿宋_GB2312" w:hAnsi="仿宋_GB2312" w:eastAsia="仿宋_GB2312" w:cs="仿宋_GB2312"/>
          <w:sz w:val="32"/>
          <w:szCs w:val="32"/>
          <w:highlight w:val="none"/>
        </w:rPr>
        <w:t>保持一致</w:t>
      </w:r>
      <w:r>
        <w:rPr>
          <w:rFonts w:hint="eastAsia" w:ascii="仿宋_GB2312" w:hAnsi="仿宋_GB2312" w:eastAsia="仿宋_GB2312" w:cs="仿宋_GB2312"/>
          <w:sz w:val="32"/>
          <w:szCs w:val="32"/>
          <w:highlight w:val="none"/>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433"/>
        <w:gridCol w:w="1784"/>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4"/>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rPr>
              <w:t>2026年度竞赛训练保障服务</w:t>
            </w:r>
            <w:r>
              <w:rPr>
                <w:rFonts w:hint="eastAsia" w:ascii="仿宋_GB2312" w:hAnsi="仿宋_GB2312" w:eastAsia="仿宋_GB2312" w:cs="仿宋_GB2312"/>
                <w:sz w:val="32"/>
                <w:szCs w:val="32"/>
                <w:highlight w:val="none"/>
                <w:vertAlign w:val="baseline"/>
                <w:lang w:val="en-US" w:eastAsia="zh-CN"/>
              </w:rPr>
              <w:t>项目报价表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序号</w:t>
            </w:r>
          </w:p>
        </w:tc>
        <w:tc>
          <w:tcPr>
            <w:tcW w:w="2433" w:type="dxa"/>
            <w:noWrap w:val="0"/>
            <w:vAlign w:val="top"/>
          </w:tcPr>
          <w:p>
            <w:pPr>
              <w:pStyle w:val="7"/>
              <w:spacing w:after="0" w:line="560" w:lineRule="exact"/>
              <w:ind w:left="0" w:leftChars="0" w:right="0" w:rightChars="0" w:firstLine="0" w:firstLine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eastAsia="zh-CN"/>
              </w:rPr>
              <w:t>项目</w:t>
            </w:r>
            <w:r>
              <w:rPr>
                <w:rFonts w:hint="eastAsia" w:ascii="仿宋_GB2312" w:hAnsi="仿宋_GB2312" w:eastAsia="仿宋_GB2312" w:cs="仿宋_GB2312"/>
                <w:sz w:val="32"/>
                <w:szCs w:val="32"/>
                <w:highlight w:val="none"/>
                <w:vertAlign w:val="baseline"/>
                <w:lang w:val="en-US" w:eastAsia="zh-CN"/>
              </w:rPr>
              <w:t>/内容</w:t>
            </w:r>
          </w:p>
        </w:tc>
        <w:tc>
          <w:tcPr>
            <w:tcW w:w="1784"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单位</w:t>
            </w:r>
          </w:p>
        </w:tc>
        <w:tc>
          <w:tcPr>
            <w:tcW w:w="2598" w:type="dxa"/>
            <w:noWrap w:val="0"/>
            <w:vAlign w:val="top"/>
          </w:tcPr>
          <w:p>
            <w:pPr>
              <w:pStyle w:val="7"/>
              <w:spacing w:after="0" w:line="560" w:lineRule="exact"/>
              <w:ind w:left="0" w:leftChars="0" w:right="0" w:rightChars="0" w:firstLine="0" w:firstLineChars="0"/>
              <w:jc w:val="center"/>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2433" w:type="dxa"/>
            <w:noWrap w:val="0"/>
            <w:vAlign w:val="center"/>
          </w:tcPr>
          <w:p>
            <w:pPr>
              <w:widowControl/>
              <w:spacing w:after="0" w:line="560" w:lineRule="exact"/>
              <w:ind w:left="0" w:leftChars="0" w:right="0" w:rightChars="0"/>
              <w:jc w:val="center"/>
              <w:textAlignment w:val="center"/>
              <w:rPr>
                <w:rFonts w:hint="default"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游泳</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2433" w:type="dxa"/>
            <w:shd w:val="clear" w:color="auto" w:fill="auto"/>
            <w:noWrap w:val="0"/>
            <w:vAlign w:val="center"/>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射箭</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kern w:val="2"/>
                <w:sz w:val="32"/>
                <w:szCs w:val="32"/>
                <w:highlight w:val="none"/>
                <w:u w:val="none"/>
                <w:vertAlign w:val="baseline"/>
                <w:lang w:val="en-US" w:eastAsia="zh-CN" w:bidi="ar-SA"/>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2433" w:type="dxa"/>
            <w:shd w:val="clear" w:color="auto" w:fill="auto"/>
            <w:noWrap w:val="0"/>
            <w:vAlign w:val="center"/>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网球</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4</w:t>
            </w:r>
          </w:p>
        </w:tc>
        <w:tc>
          <w:tcPr>
            <w:tcW w:w="2433" w:type="dxa"/>
            <w:shd w:val="clear" w:color="auto" w:fill="auto"/>
            <w:noWrap w:val="0"/>
            <w:vAlign w:val="center"/>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羽毛球</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5</w:t>
            </w:r>
          </w:p>
        </w:tc>
        <w:tc>
          <w:tcPr>
            <w:tcW w:w="2433" w:type="dxa"/>
            <w:shd w:val="clear" w:color="auto" w:fill="auto"/>
            <w:noWrap w:val="0"/>
            <w:vAlign w:val="center"/>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垒球</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6</w:t>
            </w:r>
          </w:p>
        </w:tc>
        <w:tc>
          <w:tcPr>
            <w:tcW w:w="2433" w:type="dxa"/>
            <w:shd w:val="clear" w:color="auto" w:fill="auto"/>
            <w:noWrap w:val="0"/>
            <w:vAlign w:val="center"/>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篮球</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7</w:t>
            </w:r>
          </w:p>
        </w:tc>
        <w:tc>
          <w:tcPr>
            <w:tcW w:w="2433" w:type="dxa"/>
            <w:shd w:val="clear" w:color="auto" w:fill="auto"/>
            <w:noWrap w:val="0"/>
            <w:vAlign w:val="center"/>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武术</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8</w:t>
            </w:r>
          </w:p>
        </w:tc>
        <w:tc>
          <w:tcPr>
            <w:tcW w:w="2433" w:type="dxa"/>
            <w:shd w:val="clear" w:color="auto" w:fill="auto"/>
            <w:noWrap w:val="0"/>
            <w:vAlign w:val="top"/>
          </w:tcPr>
          <w:p>
            <w:pPr>
              <w:widowControl/>
              <w:spacing w:after="0" w:line="560" w:lineRule="exact"/>
              <w:ind w:left="0" w:leftChars="0" w:right="0" w:rightChars="0"/>
              <w:jc w:val="center"/>
              <w:textAlignment w:val="center"/>
              <w:rPr>
                <w:rFonts w:hint="default"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乒乓球</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9</w:t>
            </w:r>
          </w:p>
        </w:tc>
        <w:tc>
          <w:tcPr>
            <w:tcW w:w="2433" w:type="dxa"/>
            <w:shd w:val="clear" w:color="auto" w:fill="auto"/>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攀岩</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3" w:type="dxa"/>
            <w:noWrap w:val="0"/>
            <w:vAlign w:val="top"/>
          </w:tcPr>
          <w:p>
            <w:pPr>
              <w:pStyle w:val="7"/>
              <w:spacing w:after="0" w:line="560" w:lineRule="exact"/>
              <w:ind w:left="0" w:leftChars="0"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10</w:t>
            </w:r>
          </w:p>
        </w:tc>
        <w:tc>
          <w:tcPr>
            <w:tcW w:w="2433" w:type="dxa"/>
            <w:shd w:val="clear" w:color="auto" w:fill="auto"/>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val="en-US" w:eastAsia="zh-CN"/>
              </w:rPr>
            </w:pPr>
            <w:r>
              <w:rPr>
                <w:rFonts w:hint="eastAsia" w:ascii="仿宋_GB2312" w:hAnsi="仿宋_GB2312" w:eastAsia="仿宋_GB2312" w:cs="仿宋_GB2312"/>
                <w:color w:val="000000"/>
                <w:sz w:val="32"/>
                <w:szCs w:val="32"/>
                <w:highlight w:val="none"/>
                <w:u w:val="none"/>
                <w:vertAlign w:val="baseline"/>
                <w:lang w:val="en-US" w:eastAsia="zh-CN"/>
              </w:rPr>
              <w:t>体操</w:t>
            </w:r>
          </w:p>
        </w:tc>
        <w:tc>
          <w:tcPr>
            <w:tcW w:w="1784"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eastAsia="zh-CN"/>
              </w:rPr>
              <w:t>课时</w:t>
            </w:r>
          </w:p>
        </w:tc>
        <w:tc>
          <w:tcPr>
            <w:tcW w:w="2598" w:type="dxa"/>
            <w:noWrap w:val="0"/>
            <w:vAlign w:val="top"/>
          </w:tcPr>
          <w:p>
            <w:pPr>
              <w:widowControl/>
              <w:spacing w:after="0" w:line="560" w:lineRule="exact"/>
              <w:ind w:left="0" w:leftChars="0" w:right="0" w:rightChars="0"/>
              <w:jc w:val="center"/>
              <w:textAlignment w:val="center"/>
              <w:rPr>
                <w:rFonts w:hint="eastAsia" w:ascii="仿宋_GB2312" w:hAnsi="仿宋_GB2312" w:eastAsia="仿宋_GB2312" w:cs="仿宋_GB2312"/>
                <w:color w:val="000000"/>
                <w:sz w:val="32"/>
                <w:szCs w:val="32"/>
                <w:highlight w:val="none"/>
                <w:u w:val="none"/>
                <w:vertAlign w:val="baseline"/>
                <w:lang w:eastAsia="zh-CN"/>
              </w:rPr>
            </w:pPr>
            <w:r>
              <w:rPr>
                <w:rFonts w:hint="eastAsia" w:ascii="仿宋_GB2312" w:hAnsi="仿宋_GB2312" w:eastAsia="仿宋_GB2312" w:cs="仿宋_GB2312"/>
                <w:color w:val="000000"/>
                <w:sz w:val="32"/>
                <w:szCs w:val="32"/>
                <w:highlight w:val="none"/>
                <w:u w:val="none"/>
                <w:vertAlign w:val="baseli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4"/>
            <w:noWrap w:val="0"/>
            <w:vAlign w:val="top"/>
          </w:tcPr>
          <w:p>
            <w:pPr>
              <w:pStyle w:val="7"/>
              <w:spacing w:after="0" w:line="560" w:lineRule="exact"/>
              <w:ind w:left="0" w:leftChars="0" w:right="0" w:rightChars="0" w:firstLine="0" w:firstLineChars="0"/>
              <w:jc w:val="left"/>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eastAsia="zh-CN"/>
              </w:rPr>
              <w:t>投标价格（万元）：</w:t>
            </w:r>
            <w:r>
              <w:rPr>
                <w:rFonts w:hint="eastAsia" w:ascii="仿宋_GB2312" w:hAnsi="仿宋_GB2312" w:eastAsia="仿宋_GB2312" w:cs="仿宋_GB2312"/>
                <w:sz w:val="32"/>
                <w:szCs w:val="32"/>
                <w:highlight w:val="none"/>
                <w:vertAlign w:val="baseline"/>
                <w:lang w:val="en-US" w:eastAsia="zh-CN"/>
              </w:rPr>
              <w:t>__（以万元为单位，最多保留两位小数）</w:t>
            </w:r>
          </w:p>
        </w:tc>
      </w:tr>
    </w:tbl>
    <w:p>
      <w:pPr>
        <w:spacing w:line="560" w:lineRule="exact"/>
        <w:ind w:firstLine="640" w:firstLineChars="200"/>
        <w:jc w:val="left"/>
        <w:rPr>
          <w:rFonts w:ascii="仿宋_GB2312" w:hAnsi="仿宋_GB2312" w:eastAsia="仿宋_GB2312" w:cs="仿宋_GB2312"/>
          <w:sz w:val="32"/>
          <w:szCs w:val="32"/>
          <w:highlight w:val="none"/>
        </w:rPr>
      </w:pPr>
      <w:r>
        <w:rPr>
          <w:rFonts w:hint="eastAsia" w:ascii="黑体" w:hAnsi="黑体" w:eastAsia="黑体" w:cs="黑体"/>
          <w:bCs/>
          <w:sz w:val="32"/>
          <w:szCs w:val="32"/>
          <w:highlight w:val="none"/>
        </w:rPr>
        <w:t>五、</w:t>
      </w:r>
      <w:r>
        <w:rPr>
          <w:rFonts w:hint="eastAsia" w:ascii="黑体" w:hAnsi="黑体" w:eastAsia="黑体" w:cs="黑体"/>
          <w:sz w:val="32"/>
          <w:szCs w:val="32"/>
          <w:highlight w:val="none"/>
        </w:rPr>
        <w:t>供应商的资质要求</w:t>
      </w:r>
    </w:p>
    <w:p>
      <w:pPr>
        <w:widowControl/>
        <w:spacing w:line="560" w:lineRule="exact"/>
        <w:ind w:firstLine="640" w:firstLineChars="200"/>
        <w:jc w:val="left"/>
        <w:rPr>
          <w:rFonts w:hint="eastAsia" w:ascii="仿宋_GB2312" w:hAnsi="仿宋" w:eastAsia="仿宋_GB2312" w:cs="仿宋"/>
          <w:color w:val="auto"/>
          <w:sz w:val="32"/>
          <w:szCs w:val="32"/>
          <w:highlight w:val="none"/>
        </w:rPr>
      </w:pPr>
      <w:r>
        <w:rPr>
          <w:rFonts w:hint="eastAsia" w:ascii="仿宋_GB2312" w:hAnsi="仿宋" w:eastAsia="仿宋_GB2312" w:cs="仿宋"/>
          <w:sz w:val="32"/>
          <w:szCs w:val="32"/>
          <w:highlight w:val="none"/>
        </w:rPr>
        <w:t>（一）在中国境内注册的独立法人或其他组织（提供营业执照、事业法人证书、社会团体法人登记证书等扫描件）</w:t>
      </w:r>
      <w:r>
        <w:rPr>
          <w:rFonts w:hint="eastAsia" w:ascii="仿宋_GB2312" w:hAnsi="仿宋" w:cs="仿宋"/>
          <w:sz w:val="32"/>
          <w:szCs w:val="32"/>
          <w:highlight w:val="none"/>
          <w:lang w:eastAsia="zh-CN"/>
        </w:rPr>
        <w:t>，</w:t>
      </w:r>
      <w:r>
        <w:rPr>
          <w:rFonts w:hint="eastAsia" w:ascii="仿宋_GB2312" w:hAnsi="仿宋" w:eastAsia="仿宋_GB2312" w:cs="仿宋"/>
          <w:color w:val="auto"/>
          <w:sz w:val="32"/>
          <w:szCs w:val="32"/>
          <w:highlight w:val="none"/>
        </w:rPr>
        <w:t>总</w:t>
      </w:r>
      <w:r>
        <w:rPr>
          <w:rFonts w:hint="eastAsia" w:ascii="仿宋_GB2312" w:hAnsi="仿宋" w:eastAsia="仿宋_GB2312" w:cs="仿宋"/>
          <w:bCs/>
          <w:color w:val="auto"/>
          <w:sz w:val="32"/>
          <w:szCs w:val="32"/>
          <w:highlight w:val="none"/>
        </w:rPr>
        <w:t>公司</w:t>
      </w:r>
      <w:r>
        <w:rPr>
          <w:rFonts w:hint="eastAsia" w:ascii="仿宋_GB2312" w:hAnsi="仿宋" w:eastAsia="仿宋_GB2312" w:cs="仿宋"/>
          <w:bCs/>
          <w:color w:val="auto"/>
          <w:sz w:val="32"/>
          <w:szCs w:val="32"/>
          <w:highlight w:val="none"/>
          <w:lang w:eastAsia="zh-CN"/>
        </w:rPr>
        <w:t>与</w:t>
      </w:r>
      <w:r>
        <w:rPr>
          <w:rFonts w:hint="eastAsia" w:ascii="仿宋_GB2312" w:hAnsi="仿宋" w:eastAsia="仿宋_GB2312" w:cs="仿宋"/>
          <w:bCs/>
          <w:color w:val="auto"/>
          <w:sz w:val="32"/>
          <w:szCs w:val="32"/>
          <w:highlight w:val="none"/>
        </w:rPr>
        <w:t>分公司</w:t>
      </w:r>
      <w:r>
        <w:rPr>
          <w:rFonts w:hint="eastAsia" w:ascii="仿宋_GB2312" w:hAnsi="仿宋" w:eastAsia="仿宋_GB2312" w:cs="仿宋"/>
          <w:bCs/>
          <w:color w:val="auto"/>
          <w:sz w:val="32"/>
          <w:szCs w:val="32"/>
          <w:highlight w:val="none"/>
          <w:lang w:eastAsia="zh-CN"/>
        </w:rPr>
        <w:t>仅限</w:t>
      </w:r>
      <w:r>
        <w:rPr>
          <w:rFonts w:hint="eastAsia" w:ascii="仿宋_GB2312" w:hAnsi="仿宋" w:eastAsia="仿宋_GB2312" w:cs="仿宋"/>
          <w:bCs/>
          <w:color w:val="auto"/>
          <w:sz w:val="32"/>
          <w:szCs w:val="32"/>
          <w:highlight w:val="none"/>
        </w:rPr>
        <w:t>一家</w:t>
      </w:r>
      <w:r>
        <w:rPr>
          <w:rFonts w:hint="eastAsia" w:ascii="仿宋_GB2312" w:hAnsi="仿宋" w:eastAsia="仿宋_GB2312" w:cs="仿宋"/>
          <w:bCs/>
          <w:color w:val="auto"/>
          <w:sz w:val="32"/>
          <w:szCs w:val="32"/>
          <w:highlight w:val="none"/>
          <w:lang w:eastAsia="zh-CN"/>
        </w:rPr>
        <w:t>参与本项目</w:t>
      </w:r>
      <w:r>
        <w:rPr>
          <w:rFonts w:hint="eastAsia" w:ascii="仿宋_GB2312" w:hAnsi="仿宋" w:eastAsia="仿宋_GB2312" w:cs="仿宋"/>
          <w:bCs/>
          <w:color w:val="auto"/>
          <w:sz w:val="32"/>
          <w:szCs w:val="32"/>
          <w:highlight w:val="none"/>
        </w:rPr>
        <w:t>投标，</w:t>
      </w:r>
      <w:r>
        <w:rPr>
          <w:rFonts w:hint="eastAsia" w:ascii="仿宋_GB2312" w:hAnsi="仿宋" w:eastAsia="仿宋_GB2312" w:cs="仿宋"/>
          <w:bCs/>
          <w:color w:val="auto"/>
          <w:sz w:val="32"/>
          <w:szCs w:val="32"/>
          <w:highlight w:val="none"/>
          <w:lang w:eastAsia="zh-CN"/>
        </w:rPr>
        <w:t>不得同时</w:t>
      </w:r>
      <w:r>
        <w:rPr>
          <w:rFonts w:hint="eastAsia" w:ascii="仿宋_GB2312" w:hAnsi="仿宋" w:eastAsia="仿宋_GB2312" w:cs="仿宋"/>
          <w:bCs/>
          <w:color w:val="auto"/>
          <w:sz w:val="32"/>
          <w:szCs w:val="32"/>
          <w:highlight w:val="none"/>
        </w:rPr>
        <w:t>投标，</w:t>
      </w:r>
      <w:r>
        <w:rPr>
          <w:rFonts w:hint="eastAsia" w:ascii="仿宋_GB2312" w:hAnsi="仿宋" w:eastAsia="仿宋_GB2312" w:cs="仿宋"/>
          <w:bCs/>
          <w:color w:val="auto"/>
          <w:kern w:val="2"/>
          <w:sz w:val="32"/>
          <w:szCs w:val="32"/>
          <w:highlight w:val="none"/>
          <w:lang w:val="en-US" w:eastAsia="zh-CN" w:bidi="ar-SA"/>
        </w:rPr>
        <w:t>若由分公司投标，须提供总公司（或具备独立法人资格的上级单位）出具、加盖总公司公章的授权函，明确由总公司为本次投标及后续履约行为承担民事责任，</w:t>
      </w:r>
      <w:r>
        <w:rPr>
          <w:rFonts w:hint="eastAsia" w:ascii="仿宋_GB2312" w:hAnsi="仿宋" w:eastAsia="仿宋_GB2312" w:cs="仿宋"/>
          <w:color w:val="auto"/>
          <w:sz w:val="32"/>
          <w:szCs w:val="32"/>
          <w:highlight w:val="none"/>
        </w:rPr>
        <w:t>以及提供总、分公司的营业执照扫描件；</w:t>
      </w:r>
    </w:p>
    <w:p>
      <w:pPr>
        <w:pStyle w:val="16"/>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（二）</w:t>
      </w:r>
      <w:r>
        <w:rPr>
          <w:rFonts w:hint="eastAsia" w:ascii="仿宋_GB2312" w:hAnsi="仿宋" w:cs="仿宋"/>
          <w:sz w:val="32"/>
          <w:szCs w:val="32"/>
          <w:highlight w:val="none"/>
          <w:lang w:eastAsia="zh-CN"/>
        </w:rPr>
        <w:t>投标人</w:t>
      </w:r>
      <w:r>
        <w:rPr>
          <w:rFonts w:hint="eastAsia" w:ascii="仿宋_GB2312" w:hAnsi="仿宋" w:eastAsia="仿宋_GB2312" w:cs="仿宋"/>
          <w:sz w:val="32"/>
          <w:szCs w:val="32"/>
          <w:highlight w:val="none"/>
        </w:rPr>
        <w:t>近三年内（成立不足三年的</w:t>
      </w:r>
      <w:r>
        <w:rPr>
          <w:rFonts w:hint="eastAsia" w:ascii="仿宋_GB2312" w:hAnsi="仿宋" w:cs="仿宋"/>
          <w:sz w:val="32"/>
          <w:szCs w:val="32"/>
          <w:highlight w:val="none"/>
          <w:lang w:eastAsia="zh-CN"/>
        </w:rPr>
        <w:t>，自</w:t>
      </w:r>
      <w:r>
        <w:rPr>
          <w:rFonts w:hint="eastAsia" w:ascii="仿宋_GB2312" w:hAnsi="仿宋" w:eastAsia="仿宋_GB2312" w:cs="仿宋"/>
          <w:sz w:val="32"/>
          <w:szCs w:val="32"/>
          <w:highlight w:val="none"/>
        </w:rPr>
        <w:t>成立之日起算），在经营活动中没有重大违法记录以及不存在被有关部门禁止参与政府采购活动且在有效期内的情况</w:t>
      </w:r>
      <w:r>
        <w:rPr>
          <w:rFonts w:hint="eastAsia" w:ascii="仿宋_GB2312" w:hAnsi="仿宋" w:cs="仿宋"/>
          <w:sz w:val="32"/>
          <w:szCs w:val="32"/>
          <w:highlight w:val="none"/>
          <w:lang w:eastAsia="zh-CN"/>
        </w:rPr>
        <w:t>；</w:t>
      </w:r>
    </w:p>
    <w:p>
      <w:pPr>
        <w:pStyle w:val="16"/>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w:t>
      </w:r>
      <w:r>
        <w:rPr>
          <w:rFonts w:hint="eastAsia" w:ascii="仿宋_GB2312" w:hAnsi="仿宋" w:cs="仿宋"/>
          <w:bCs/>
          <w:kern w:val="2"/>
          <w:sz w:val="32"/>
          <w:szCs w:val="32"/>
          <w:highlight w:val="none"/>
          <w:lang w:val="en-US" w:eastAsia="zh-CN" w:bidi="ar-SA"/>
        </w:rPr>
        <w:t>，也不得隶属</w:t>
      </w:r>
      <w:r>
        <w:rPr>
          <w:rFonts w:hint="eastAsia" w:ascii="仿宋_GB2312" w:hAnsi="仿宋" w:eastAsia="仿宋_GB2312" w:cs="仿宋"/>
          <w:bCs/>
          <w:kern w:val="2"/>
          <w:sz w:val="32"/>
          <w:szCs w:val="32"/>
          <w:highlight w:val="none"/>
          <w:lang w:val="en-US" w:eastAsia="zh-CN" w:bidi="ar-SA"/>
        </w:rPr>
        <w:t>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六、选定供应商方法</w:t>
      </w:r>
    </w:p>
    <w:p>
      <w:pPr>
        <w:spacing w:line="560" w:lineRule="exact"/>
        <w:ind w:firstLine="640" w:firstLineChars="200"/>
        <w:jc w:val="left"/>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jc w:val="left"/>
        <w:rPr>
          <w:rFonts w:hint="eastAsia" w:ascii="仿宋_GB2312" w:hAnsi="仿宋_GB2312" w:eastAsia="仿宋_GB2312" w:cs="仿宋_GB2312"/>
          <w:b/>
          <w:bCs/>
          <w:color w:val="FF0000"/>
          <w:sz w:val="30"/>
          <w:szCs w:val="30"/>
          <w:highlight w:val="yellow"/>
          <w:lang w:eastAsia="zh-CN"/>
        </w:rPr>
      </w:pPr>
      <w:r>
        <w:rPr>
          <w:rFonts w:hint="eastAsia" w:ascii="黑体" w:hAnsi="黑体" w:eastAsia="黑体" w:cs="黑体"/>
          <w:sz w:val="32"/>
          <w:szCs w:val="32"/>
          <w:highlight w:val="none"/>
        </w:rPr>
        <w:t>七、评分要求</w:t>
      </w:r>
    </w:p>
    <w:p>
      <w:pPr>
        <w:pStyle w:val="18"/>
        <w:spacing w:line="560" w:lineRule="exact"/>
        <w:ind w:firstLine="640" w:firstLineChars="200"/>
        <w:rPr>
          <w:rFonts w:ascii="楷体_GB2312" w:hAnsi="楷体_GB2312" w:eastAsia="楷体_GB2312" w:cs="楷体_GB2312"/>
          <w:b w:val="0"/>
          <w:bCs/>
          <w:color w:val="000000"/>
          <w:sz w:val="32"/>
          <w:szCs w:val="32"/>
          <w:highlight w:val="none"/>
        </w:rPr>
      </w:pPr>
      <w:r>
        <w:rPr>
          <w:rFonts w:hint="eastAsia" w:ascii="楷体_GB2312" w:hAnsi="楷体_GB2312" w:eastAsia="楷体_GB2312" w:cs="楷体_GB2312"/>
          <w:b w:val="0"/>
          <w:bCs/>
          <w:color w:val="000000"/>
          <w:sz w:val="32"/>
          <w:szCs w:val="32"/>
          <w:highlight w:val="none"/>
        </w:rPr>
        <w:t>（一）评分规则</w:t>
      </w:r>
    </w:p>
    <w:p>
      <w:pPr>
        <w:spacing w:line="560" w:lineRule="exact"/>
        <w:ind w:firstLine="640" w:firstLineChars="200"/>
        <w:jc w:val="left"/>
        <w:rPr>
          <w:rFonts w:ascii="楷体_GB2312" w:hAnsi="楷体_GB2312" w:eastAsia="楷体_GB2312" w:cs="楷体_GB2312"/>
          <w:bCs/>
          <w:color w:val="000000"/>
          <w:sz w:val="32"/>
          <w:szCs w:val="32"/>
          <w:highlight w:val="none"/>
        </w:rPr>
      </w:pPr>
      <w:r>
        <w:rPr>
          <w:rFonts w:hint="eastAsia" w:ascii="仿宋_GB2312" w:eastAsia="仿宋_GB2312"/>
          <w:color w:val="000000"/>
          <w:sz w:val="32"/>
          <w:szCs w:val="32"/>
          <w:highlight w:val="none"/>
        </w:rPr>
        <w:t>采取综合评分标准，平均分最高的投标人为本项目中标人。</w:t>
      </w:r>
    </w:p>
    <w:p>
      <w:pPr>
        <w:pStyle w:val="18"/>
        <w:spacing w:line="560" w:lineRule="exact"/>
        <w:ind w:firstLine="640" w:firstLineChars="200"/>
        <w:rPr>
          <w:rFonts w:hint="eastAsia" w:ascii="楷体_GB2312" w:hAnsi="楷体_GB2312" w:eastAsia="楷体_GB2312" w:cs="楷体_GB2312"/>
          <w:b w:val="0"/>
          <w:bCs/>
          <w:color w:val="000000"/>
          <w:sz w:val="32"/>
          <w:szCs w:val="32"/>
          <w:highlight w:val="none"/>
          <w:lang w:eastAsia="zh-CN"/>
        </w:rPr>
      </w:pPr>
      <w:r>
        <w:rPr>
          <w:rFonts w:hint="eastAsia" w:ascii="楷体_GB2312" w:hAnsi="楷体_GB2312" w:eastAsia="楷体_GB2312" w:cs="楷体_GB2312"/>
          <w:b w:val="0"/>
          <w:bCs/>
          <w:color w:val="000000"/>
          <w:sz w:val="32"/>
          <w:szCs w:val="32"/>
          <w:highlight w:val="none"/>
        </w:rPr>
        <w:t>（二）评分权重</w:t>
      </w:r>
    </w:p>
    <w:tbl>
      <w:tblPr>
        <w:tblStyle w:val="13"/>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hint="eastAsia" w:ascii="仿宋_GB2312" w:hAnsi="仿宋_GB2312" w:eastAsia="仿宋_GB2312" w:cs="仿宋_GB2312"/>
                <w:b w:val="0"/>
                <w:bCs/>
                <w:szCs w:val="24"/>
                <w:highlight w:val="none"/>
                <w:lang w:eastAsia="zh-CN"/>
              </w:rPr>
            </w:pPr>
            <w:r>
              <w:rPr>
                <w:rFonts w:hint="eastAsia" w:ascii="仿宋_GB2312" w:hAnsi="仿宋_GB2312" w:eastAsia="仿宋_GB2312" w:cs="仿宋_GB2312"/>
                <w:b w:val="0"/>
                <w:bCs/>
                <w:szCs w:val="24"/>
                <w:highlight w:val="none"/>
              </w:rPr>
              <w:t>技术</w:t>
            </w:r>
            <w:r>
              <w:rPr>
                <w:rFonts w:hint="eastAsia" w:ascii="仿宋_GB2312" w:hAnsi="仿宋_GB2312" w:eastAsia="仿宋_GB2312" w:cs="仿宋_GB2312"/>
                <w:b w:val="0"/>
                <w:bCs/>
                <w:szCs w:val="24"/>
                <w:highlight w:val="none"/>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商务</w:t>
            </w:r>
            <w:r>
              <w:rPr>
                <w:rFonts w:hint="eastAsia" w:ascii="仿宋_GB2312" w:hAnsi="仿宋_GB2312" w:eastAsia="仿宋_GB2312" w:cs="仿宋_GB2312"/>
                <w:b w:val="0"/>
                <w:bCs/>
                <w:szCs w:val="24"/>
                <w:highlight w:val="none"/>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b w:val="0"/>
                <w:bCs/>
                <w:szCs w:val="24"/>
                <w:highlight w:val="none"/>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sz w:val="24"/>
                <w:szCs w:val="24"/>
                <w:highlight w:val="none"/>
                <w:lang w:val="en-US" w:eastAsia="zh-CN"/>
              </w:rPr>
              <w:t>30</w:t>
            </w:r>
            <w:r>
              <w:rPr>
                <w:rFonts w:hint="eastAsia" w:ascii="仿宋_GB2312" w:hAnsi="仿宋_GB2312" w:eastAsia="仿宋_GB2312" w:cs="仿宋_GB2312"/>
                <w:b w:val="0"/>
                <w:bCs/>
                <w:szCs w:val="24"/>
                <w:highlight w:val="none"/>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sz w:val="24"/>
                <w:szCs w:val="24"/>
                <w:highlight w:val="none"/>
                <w:lang w:val="en-US" w:eastAsia="zh-CN"/>
              </w:rPr>
              <w:t>45</w:t>
            </w:r>
            <w:r>
              <w:rPr>
                <w:rFonts w:hint="eastAsia" w:ascii="仿宋_GB2312" w:hAnsi="仿宋_GB2312" w:eastAsia="仿宋_GB2312" w:cs="仿宋_GB2312"/>
                <w:b w:val="0"/>
                <w:bCs/>
                <w:szCs w:val="24"/>
                <w:highlight w:val="none"/>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8"/>
              <w:spacing w:line="560" w:lineRule="exact"/>
              <w:jc w:val="left"/>
              <w:rPr>
                <w:rFonts w:ascii="仿宋_GB2312" w:hAnsi="仿宋_GB2312" w:eastAsia="仿宋_GB2312" w:cs="仿宋_GB2312"/>
                <w:b w:val="0"/>
                <w:bCs/>
                <w:szCs w:val="24"/>
                <w:highlight w:val="none"/>
              </w:rPr>
            </w:pPr>
            <w:r>
              <w:rPr>
                <w:rFonts w:hint="eastAsia" w:ascii="仿宋_GB2312" w:hAnsi="仿宋_GB2312" w:eastAsia="仿宋_GB2312" w:cs="仿宋_GB2312"/>
                <w:sz w:val="24"/>
                <w:szCs w:val="24"/>
                <w:highlight w:val="none"/>
                <w:lang w:val="en-US" w:eastAsia="zh-CN"/>
              </w:rPr>
              <w:t>25</w:t>
            </w:r>
            <w:r>
              <w:rPr>
                <w:rFonts w:hint="eastAsia" w:ascii="仿宋_GB2312" w:hAnsi="仿宋_GB2312" w:eastAsia="仿宋_GB2312" w:cs="仿宋_GB2312"/>
                <w:b w:val="0"/>
                <w:bCs/>
                <w:szCs w:val="24"/>
                <w:highlight w:val="none"/>
              </w:rPr>
              <w:t>分</w:t>
            </w:r>
          </w:p>
        </w:tc>
      </w:tr>
    </w:tbl>
    <w:p>
      <w:pPr>
        <w:pStyle w:val="18"/>
        <w:spacing w:line="560" w:lineRule="exact"/>
        <w:ind w:firstLine="640" w:firstLineChars="200"/>
        <w:rPr>
          <w:rFonts w:ascii="仿宋_GB2312" w:eastAsia="仿宋_GB2312"/>
          <w:sz w:val="32"/>
          <w:szCs w:val="32"/>
          <w:highlight w:val="none"/>
        </w:rPr>
      </w:pPr>
      <w:r>
        <w:rPr>
          <w:rFonts w:hint="eastAsia" w:ascii="楷体_GB2312" w:hAnsi="楷体_GB2312" w:eastAsia="楷体_GB2312" w:cs="楷体_GB2312"/>
          <w:b w:val="0"/>
          <w:bCs/>
          <w:color w:val="000000"/>
          <w:sz w:val="32"/>
          <w:szCs w:val="32"/>
          <w:highlight w:val="none"/>
        </w:rPr>
        <w:t>（三）评分标准</w:t>
      </w:r>
    </w:p>
    <w:tbl>
      <w:tblPr>
        <w:tblStyle w:val="14"/>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报价</w:t>
            </w:r>
          </w:p>
          <w:p>
            <w:pPr>
              <w:spacing w:line="560" w:lineRule="exact"/>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eastAsia="zh-CN"/>
              </w:rPr>
              <w:t>（</w:t>
            </w:r>
            <w:r>
              <w:rPr>
                <w:rFonts w:hint="eastAsia" w:ascii="仿宋_GB2312" w:hAnsi="仿宋_GB2312" w:eastAsia="仿宋_GB2312" w:cs="仿宋_GB2312"/>
                <w:sz w:val="24"/>
                <w:szCs w:val="24"/>
                <w:highlight w:val="none"/>
                <w:vertAlign w:val="baseline"/>
                <w:lang w:val="en-US" w:eastAsia="zh-CN"/>
              </w:rPr>
              <w:t>30分</w:t>
            </w:r>
            <w:r>
              <w:rPr>
                <w:rFonts w:hint="eastAsia" w:ascii="仿宋_GB2312" w:hAnsi="仿宋_GB2312" w:eastAsia="仿宋_GB2312" w:cs="仿宋_GB2312"/>
                <w:sz w:val="24"/>
                <w:szCs w:val="24"/>
                <w:highlight w:val="none"/>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评分</w:t>
            </w:r>
          </w:p>
          <w:p>
            <w:pPr>
              <w:spacing w:line="560" w:lineRule="exact"/>
              <w:jc w:val="left"/>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highlight w:val="none"/>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以本次报价或投标人所报的有效报价中的最低价作为基准报价。投标人报价得分=（基准价/投标人报价）*</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sz w:val="24"/>
                <w:szCs w:val="24"/>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商务</w:t>
            </w:r>
          </w:p>
          <w:p>
            <w:pPr>
              <w:pStyle w:val="6"/>
              <w:spacing w:line="5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部分</w:t>
            </w:r>
          </w:p>
          <w:p>
            <w:pPr>
              <w:pStyle w:val="6"/>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vertAlign w:val="baseline"/>
                <w:lang w:eastAsia="zh-CN"/>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sz w:val="24"/>
                <w:szCs w:val="24"/>
                <w:highlight w:val="none"/>
                <w:vertAlign w:val="baseline"/>
                <w:lang w:val="en-US" w:eastAsia="zh-CN"/>
              </w:rPr>
              <w:t>分</w:t>
            </w:r>
            <w:r>
              <w:rPr>
                <w:rFonts w:hint="eastAsia" w:ascii="仿宋_GB2312" w:hAnsi="仿宋_GB2312" w:eastAsia="仿宋_GB2312" w:cs="仿宋_GB2312"/>
                <w:sz w:val="24"/>
                <w:szCs w:val="24"/>
                <w:highlight w:val="none"/>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评分</w:t>
            </w:r>
          </w:p>
          <w:p>
            <w:pPr>
              <w:spacing w:line="5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highlight w:val="none"/>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highlight w:val="none"/>
                <w:lang w:val="en-US" w:eastAsia="zh-CN"/>
              </w:rPr>
              <w:t>分</w:t>
            </w:r>
            <w:r>
              <w:rPr>
                <w:rFonts w:hint="eastAsia" w:ascii="仿宋_GB2312" w:hAnsi="仿宋_GB2312" w:eastAsia="仿宋_GB2312" w:cs="仿宋_GB2312"/>
                <w:sz w:val="24"/>
                <w:szCs w:val="24"/>
                <w:highlight w:val="none"/>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（一）评审内容：</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投标人自202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年1月1日至本项目投标截止日（以合同签订日期为准），</w:t>
            </w:r>
            <w:r>
              <w:rPr>
                <w:rFonts w:hint="eastAsia" w:ascii="仿宋_GB2312" w:hAnsi="仿宋_GB2312" w:eastAsia="仿宋_GB2312" w:cs="仿宋_GB2312"/>
                <w:sz w:val="24"/>
                <w:szCs w:val="24"/>
                <w:highlight w:val="none"/>
                <w:lang w:val="en-US" w:eastAsia="zh-CN"/>
              </w:rPr>
              <w:t>每提供一项</w:t>
            </w:r>
            <w:r>
              <w:rPr>
                <w:rFonts w:hint="eastAsia" w:ascii="仿宋_GB2312" w:hAnsi="仿宋_GB2312" w:eastAsia="仿宋_GB2312" w:cs="仿宋_GB2312"/>
                <w:sz w:val="24"/>
                <w:szCs w:val="24"/>
                <w:highlight w:val="none"/>
              </w:rPr>
              <w:t>人才服务类或辅助服务类经验</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lang w:eastAsia="zh-CN"/>
              </w:rPr>
              <w:t>同类业绩得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分，最高得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lang w:eastAsia="zh-CN"/>
              </w:rPr>
              <w:t>分</w:t>
            </w:r>
            <w:r>
              <w:rPr>
                <w:rFonts w:hint="eastAsia" w:ascii="仿宋_GB2312" w:hAnsi="仿宋_GB2312" w:eastAsia="仿宋_GB2312" w:cs="仿宋_GB2312"/>
                <w:sz w:val="24"/>
                <w:szCs w:val="24"/>
                <w:highlight w:val="none"/>
                <w:lang w:val="en-US" w:eastAsia="zh-CN"/>
              </w:rPr>
              <w:t>。</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二</w:t>
            </w:r>
            <w:r>
              <w:rPr>
                <w:rFonts w:hint="eastAsia" w:ascii="仿宋_GB2312" w:hAnsi="仿宋_GB2312" w:eastAsia="仿宋_GB2312" w:cs="仿宋_GB2312"/>
                <w:sz w:val="24"/>
                <w:szCs w:val="24"/>
                <w:highlight w:val="none"/>
                <w:lang w:eastAsia="zh-CN"/>
              </w:rPr>
              <w:t>）评审依据：</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每项业绩按以下要求提供完整准确的证明文件，一个合同计算一个业绩，一年一签的续签合同只计算一个业绩：</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合同关键页（关键信息包括但不仅限于合同的项目名称、服务内容、合同服务的起止时间、合同双方的盖章、签订日期等）；</w:t>
            </w:r>
          </w:p>
          <w:p>
            <w:pPr>
              <w:pStyle w:val="11"/>
              <w:widowControl/>
              <w:topLinePunct w:val="0"/>
              <w:snapToGrid/>
              <w:spacing w:line="36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highlight w:val="none"/>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拟安排项目团队成员</w:t>
            </w:r>
          </w:p>
          <w:p>
            <w:pPr>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highlight w:val="none"/>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bCs/>
                <w:sz w:val="24"/>
                <w:szCs w:val="24"/>
                <w:highlight w:val="none"/>
                <w:lang w:eastAsia="zh-CN"/>
              </w:rPr>
              <w:t>（一）评审内容：</w:t>
            </w:r>
          </w:p>
          <w:p>
            <w:pPr>
              <w:spacing w:line="560" w:lineRule="exac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拟安排的</w:t>
            </w:r>
            <w:r>
              <w:rPr>
                <w:rFonts w:hint="eastAsia" w:ascii="仿宋_GB2312" w:hAnsi="仿宋_GB2312" w:eastAsia="仿宋_GB2312" w:cs="仿宋_GB2312"/>
                <w:sz w:val="24"/>
                <w:szCs w:val="24"/>
                <w:highlight w:val="none"/>
                <w:lang w:val="en-US" w:eastAsia="zh-CN"/>
              </w:rPr>
              <w:t>项目团队成员</w:t>
            </w:r>
            <w:r>
              <w:rPr>
                <w:rFonts w:hint="eastAsia" w:ascii="仿宋_GB2312" w:hAnsi="仿宋_GB2312" w:eastAsia="仿宋_GB2312" w:cs="仿宋_GB2312"/>
                <w:sz w:val="24"/>
                <w:szCs w:val="24"/>
                <w:highlight w:val="none"/>
                <w:lang w:eastAsia="zh-CN"/>
              </w:rPr>
              <w:t>情况：</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每提供一个本科（或以上）学历的得4分，每提供一个专科学历的得3分。</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以上合计最高得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lang w:eastAsia="zh-CN"/>
              </w:rPr>
              <w:t>分。</w:t>
            </w:r>
          </w:p>
          <w:p>
            <w:pPr>
              <w:pStyle w:val="11"/>
              <w:widowControl/>
              <w:topLinePunct w:val="0"/>
              <w:snapToGrid/>
              <w:spacing w:line="360" w:lineRule="exact"/>
              <w:jc w:val="left"/>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）评审依据：</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提供毕业证书</w:t>
            </w:r>
            <w:r>
              <w:rPr>
                <w:rFonts w:hint="eastAsia" w:ascii="仿宋_GB2312" w:hAnsi="仿宋_GB2312" w:eastAsia="仿宋_GB2312" w:cs="仿宋_GB2312"/>
                <w:sz w:val="24"/>
                <w:szCs w:val="24"/>
                <w:highlight w:val="none"/>
                <w:lang w:eastAsia="zh-CN"/>
              </w:rPr>
              <w:t>或学位证书</w:t>
            </w:r>
            <w:r>
              <w:rPr>
                <w:rFonts w:hint="eastAsia" w:ascii="仿宋_GB2312" w:hAnsi="仿宋_GB2312" w:eastAsia="仿宋_GB2312" w:cs="仿宋_GB2312"/>
                <w:sz w:val="24"/>
                <w:szCs w:val="24"/>
                <w:highlight w:val="none"/>
              </w:rPr>
              <w:t>扫描件、学历信息在学信网查询结果截图，原件备查。</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2.以上人员近三个月社保缴纳记录。</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以上证明文件原件备查，</w:t>
            </w:r>
            <w:r>
              <w:rPr>
                <w:rFonts w:hint="eastAsia" w:ascii="仿宋_GB2312" w:hAnsi="仿宋_GB2312" w:eastAsia="仿宋_GB2312" w:cs="仿宋_GB2312"/>
                <w:sz w:val="24"/>
                <w:szCs w:val="24"/>
                <w:highlight w:val="none"/>
                <w:lang w:eastAsia="zh-CN"/>
              </w:rPr>
              <w:t>未提供或未按要求提供或提供的不清晰导致（临时）采购小组无法判断的，不得分。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highlight w:val="none"/>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项目完成（服务期满）</w:t>
            </w:r>
          </w:p>
          <w:p>
            <w:pPr>
              <w:spacing w:line="560" w:lineRule="exact"/>
              <w:jc w:val="left"/>
              <w:rPr>
                <w:rFonts w:hint="eastAsia"/>
                <w:highlight w:val="none"/>
                <w:lang w:eastAsia="zh-CN"/>
              </w:rPr>
            </w:pPr>
            <w:r>
              <w:rPr>
                <w:rFonts w:hint="eastAsia" w:ascii="仿宋_GB2312" w:hAnsi="仿宋_GB2312" w:eastAsia="仿宋_GB2312" w:cs="仿宋_GB2312"/>
                <w:sz w:val="24"/>
                <w:szCs w:val="24"/>
                <w:highlight w:val="none"/>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highlight w:val="none"/>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根据针对本项目做出的服务承诺，考察包括但不限于以下内容：</w:t>
            </w:r>
            <w:r>
              <w:rPr>
                <w:rFonts w:hint="eastAsia" w:ascii="仿宋_GB2312" w:hAnsi="仿宋_GB2312" w:eastAsia="仿宋_GB2312" w:cs="仿宋_GB2312"/>
                <w:sz w:val="24"/>
                <w:szCs w:val="24"/>
                <w:highlight w:val="none"/>
                <w:lang w:val="en-US" w:eastAsia="zh-CN"/>
              </w:rPr>
              <w:br w:type="textWrapping"/>
            </w:r>
            <w:r>
              <w:rPr>
                <w:rFonts w:hint="eastAsia" w:ascii="仿宋_GB2312" w:hAnsi="仿宋_GB2312" w:eastAsia="仿宋_GB2312" w:cs="仿宋_GB2312"/>
                <w:sz w:val="24"/>
                <w:szCs w:val="24"/>
                <w:highlight w:val="none"/>
                <w:lang w:val="en-US" w:eastAsia="zh-CN"/>
              </w:rPr>
              <w:t>1.在服务期满后主动交接项目相关资料；</w:t>
            </w:r>
          </w:p>
          <w:p>
            <w:pPr>
              <w:pStyle w:val="11"/>
              <w:widowControl/>
              <w:topLinePunct w:val="0"/>
              <w:snapToGrid/>
              <w:spacing w:line="36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kern w:val="2"/>
                <w:sz w:val="24"/>
                <w:szCs w:val="24"/>
                <w:highlight w:val="none"/>
                <w:lang w:val="en-US" w:eastAsia="zh-CN" w:bidi="ar-SA"/>
              </w:rPr>
              <w:t>提供服务承诺函（格式自拟）并加盖投标人公章，未提供</w:t>
            </w:r>
            <w:r>
              <w:rPr>
                <w:rFonts w:hint="eastAsia" w:ascii="仿宋_GB2312" w:hAnsi="仿宋_GB2312" w:eastAsia="仿宋_GB2312" w:cs="仿宋_GB2312"/>
                <w:sz w:val="24"/>
                <w:szCs w:val="24"/>
                <w:highlight w:val="none"/>
              </w:rPr>
              <w:t>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45</w:t>
            </w:r>
            <w:r>
              <w:rPr>
                <w:rFonts w:hint="eastAsia" w:ascii="仿宋_GB2312" w:hAnsi="仿宋_GB2312" w:eastAsia="仿宋_GB2312" w:cs="仿宋_GB2312"/>
                <w:sz w:val="24"/>
                <w:szCs w:val="24"/>
                <w:highlight w:val="none"/>
                <w:vertAlign w:val="baseline"/>
                <w:lang w:val="en-US" w:eastAsia="zh-CN"/>
              </w:rPr>
              <w:t>分）</w:t>
            </w:r>
          </w:p>
          <w:p>
            <w:pPr>
              <w:spacing w:line="560" w:lineRule="exact"/>
              <w:jc w:val="left"/>
              <w:rPr>
                <w:rFonts w:hint="default" w:ascii="仿宋_GB2312" w:hAnsi="仿宋_GB2312" w:eastAsia="仿宋_GB2312" w:cs="仿宋_GB2312"/>
                <w:sz w:val="24"/>
                <w:szCs w:val="24"/>
                <w:highlight w:val="none"/>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实</w:t>
            </w:r>
            <w:r>
              <w:rPr>
                <w:rFonts w:hint="eastAsia" w:ascii="仿宋_GB2312" w:hAnsi="仿宋_GB2312" w:eastAsia="仿宋_GB2312" w:cs="仿宋_GB2312"/>
                <w:sz w:val="24"/>
                <w:szCs w:val="24"/>
                <w:highlight w:val="none"/>
                <w:lang w:val="en-US" w:eastAsia="zh-CN"/>
              </w:rPr>
              <w:t>施</w:t>
            </w:r>
          </w:p>
          <w:p>
            <w:pPr>
              <w:spacing w:line="5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方案</w:t>
            </w:r>
          </w:p>
          <w:p>
            <w:pPr>
              <w:spacing w:line="560" w:lineRule="exact"/>
              <w:jc w:val="left"/>
              <w:rPr>
                <w:rFonts w:hint="eastAsia"/>
                <w:highlight w:val="none"/>
                <w:lang w:eastAsia="zh-CN"/>
              </w:rPr>
            </w:pP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sz w:val="24"/>
                <w:szCs w:val="24"/>
                <w:highlight w:val="none"/>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根据投标人提供的实施方案，考察包括但不限于：</w:t>
            </w:r>
            <w:r>
              <w:rPr>
                <w:rFonts w:hint="eastAsia" w:ascii="仿宋_GB2312" w:hAnsi="仿宋_GB2312" w:eastAsia="仿宋_GB2312" w:cs="仿宋_GB2312"/>
                <w:sz w:val="24"/>
                <w:szCs w:val="24"/>
                <w:highlight w:val="none"/>
                <w:lang w:val="en-US" w:eastAsia="zh-CN"/>
              </w:rPr>
              <w:br w:type="textWrapping"/>
            </w:r>
            <w:r>
              <w:rPr>
                <w:rFonts w:hint="eastAsia" w:ascii="仿宋_GB2312" w:hAnsi="仿宋_GB2312" w:eastAsia="仿宋_GB2312" w:cs="仿宋_GB2312"/>
                <w:sz w:val="24"/>
                <w:szCs w:val="24"/>
                <w:highlight w:val="none"/>
                <w:lang w:val="en-US" w:eastAsia="zh-CN"/>
              </w:rPr>
              <w:t>1.项目整体规划；</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2.项目管理目标；</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3.项目的安全保障；</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4.应急处置预案。</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kern w:val="2"/>
                <w:sz w:val="24"/>
                <w:szCs w:val="24"/>
                <w:highlight w:val="none"/>
                <w:lang w:val="en-US" w:eastAsia="zh-CN" w:bidi="ar-SA"/>
              </w:rPr>
              <w:t>（二）评审依据：</w:t>
            </w:r>
            <w:r>
              <w:rPr>
                <w:rFonts w:hint="eastAsia" w:ascii="仿宋_GB2312" w:hAnsi="仿宋_GB2312" w:eastAsia="仿宋_GB2312" w:cs="仿宋_GB2312"/>
                <w:sz w:val="24"/>
                <w:szCs w:val="24"/>
                <w:highlight w:val="none"/>
                <w:lang w:val="en-US" w:eastAsia="zh-CN"/>
              </w:rPr>
              <w:br w:type="textWrapping"/>
            </w:r>
            <w:r>
              <w:rPr>
                <w:rFonts w:hint="eastAsia" w:ascii="仿宋_GB2312" w:hAnsi="仿宋_GB2312" w:eastAsia="仿宋_GB2312" w:cs="仿宋_GB2312"/>
                <w:sz w:val="24"/>
                <w:szCs w:val="24"/>
                <w:highlight w:val="none"/>
                <w:lang w:val="en-US" w:eastAsia="zh-CN"/>
              </w:rPr>
              <w:t>满足以上任意一项要求得4分，最高得16分，在此基础上，根据供应商的具体响应内容按照量化的评审因素指标进一步评审，设定优、良、中、差四个评分标准：</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1.优：项目实施方案内容全面、具体、针对性强、科学合理、可操作性强得9分；</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2.良：项目实施方案内容较丰富、较具体、针对性较强、较科学合理、可操作性较强得7分；</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3.中：项目实施方案内容、针对性、可操作性一般得5分；</w:t>
            </w:r>
          </w:p>
          <w:p>
            <w:pPr>
              <w:pStyle w:val="11"/>
              <w:widowControl/>
              <w:topLinePunct w:val="0"/>
              <w:snapToGrid/>
              <w:spacing w:line="360" w:lineRule="exact"/>
              <w:jc w:val="left"/>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highlight w:val="none"/>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项目重点难点分析、应对措施及相关的合理化建议</w:t>
            </w:r>
          </w:p>
          <w:p>
            <w:pPr>
              <w:spacing w:line="560" w:lineRule="exact"/>
              <w:jc w:val="left"/>
              <w:rPr>
                <w:rFonts w:hint="eastAsia"/>
                <w:highlight w:val="none"/>
                <w:lang w:eastAsia="zh-CN"/>
              </w:rPr>
            </w:pPr>
            <w:r>
              <w:rPr>
                <w:rFonts w:hint="eastAsia" w:ascii="仿宋_GB2312" w:hAnsi="仿宋_GB2312" w:eastAsia="仿宋_GB2312" w:cs="仿宋_GB2312"/>
                <w:sz w:val="24"/>
                <w:szCs w:val="24"/>
                <w:highlight w:val="none"/>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highlight w:val="none"/>
                <w:vertAlign w:val="baseline"/>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考察对项目工作量、可完成度等重点难点问题的识别和分析能力，并就识别出的重点难点提出可行的应对措施及合理化建议。</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包括但不限于以下内容：</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1.详细阐述本项目存在的重难点问题；</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2.根据项目重难点，详细阐述对应的应对措施；</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3.向采购方提出项目实施具体建议。</w:t>
            </w:r>
          </w:p>
          <w:p>
            <w:pPr>
              <w:topLinePunct/>
              <w:snapToGrid w:val="0"/>
              <w:spacing w:line="560" w:lineRule="exact"/>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（二）评审依据：</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满足以上任意一项要求得4分，最高12分，在此基础上，根据供应商的具体响应内容按照量化的评审因素指标进一步评审，设定优、良、中、差四个评分标准：</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1.优：以上项目重点难点分析、应对措施及相关的合理化建议的三点内容全面具体、针对性强、可操作性强，加8分；</w:t>
            </w:r>
          </w:p>
          <w:p>
            <w:pPr>
              <w:pStyle w:val="11"/>
              <w:widowControl/>
              <w:topLinePunct w:val="0"/>
              <w:snapToGrid/>
              <w:spacing w:line="3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2.良：以上项目重点难点分析、应对措施及相关的合理化建议的三点内容较丰富、针对性较强、可操作性较强，加</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sz w:val="24"/>
                <w:szCs w:val="24"/>
                <w:highlight w:val="none"/>
              </w:rPr>
              <w:t>分；</w:t>
            </w:r>
          </w:p>
          <w:p>
            <w:pPr>
              <w:pStyle w:val="11"/>
              <w:widowControl/>
              <w:topLinePunct w:val="0"/>
              <w:snapToGrid/>
              <w:spacing w:line="36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3.中：以上项目重点难点分析、应对措施及相关的合理化建议的三点内容完整性、针对性、可操作性均一般，加4分；</w:t>
            </w:r>
          </w:p>
          <w:p>
            <w:pPr>
              <w:pStyle w:val="11"/>
              <w:widowControl/>
              <w:topLinePunct w:val="0"/>
              <w:snapToGrid/>
              <w:spacing w:line="3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4.差：其它情况不得分。</w:t>
            </w:r>
          </w:p>
        </w:tc>
      </w:tr>
    </w:tbl>
    <w:p>
      <w:pPr>
        <w:pStyle w:val="18"/>
        <w:spacing w:line="560" w:lineRule="exact"/>
        <w:ind w:firstLine="640" w:firstLineChars="200"/>
        <w:rPr>
          <w:rFonts w:hint="eastAsia" w:ascii="方正黑体_GBK" w:hAnsi="方正黑体_GBK" w:eastAsia="方正黑体_GBK" w:cs="方正黑体_GBK"/>
          <w:b w:val="0"/>
          <w:bCs/>
          <w:color w:val="000000"/>
          <w:sz w:val="32"/>
          <w:szCs w:val="32"/>
          <w:highlight w:val="none"/>
          <w:lang w:eastAsia="zh-CN"/>
        </w:rPr>
      </w:pPr>
      <w:r>
        <w:rPr>
          <w:rFonts w:hint="eastAsia" w:ascii="方正黑体_GBK" w:hAnsi="方正黑体_GBK" w:eastAsia="方正黑体_GBK" w:cs="方正黑体_GBK"/>
          <w:b w:val="0"/>
          <w:bCs/>
          <w:color w:val="000000"/>
          <w:sz w:val="32"/>
          <w:szCs w:val="32"/>
          <w:highlight w:val="none"/>
          <w:lang w:eastAsia="zh-CN"/>
        </w:rPr>
        <w:t>八、</w:t>
      </w:r>
      <w:r>
        <w:rPr>
          <w:rFonts w:hint="eastAsia" w:ascii="方正黑体_GBK" w:hAnsi="方正黑体_GBK" w:eastAsia="方正黑体_GBK" w:cs="方正黑体_GBK"/>
          <w:b w:val="0"/>
          <w:bCs/>
          <w:color w:val="000000"/>
          <w:sz w:val="32"/>
          <w:szCs w:val="32"/>
          <w:highlight w:val="none"/>
        </w:rPr>
        <w:t>供应商提供资料清单</w:t>
      </w:r>
    </w:p>
    <w:p>
      <w:pPr>
        <w:spacing w:line="560" w:lineRule="exact"/>
        <w:ind w:firstLine="642" w:firstLineChars="200"/>
        <w:jc w:val="left"/>
        <w:rPr>
          <w:rFonts w:hint="eastAsia" w:ascii="仿宋_GB2312" w:hAnsi="仿宋" w:eastAsia="仿宋_GB2312" w:cs="Times New Roman"/>
          <w:b/>
          <w:bCs/>
          <w:color w:val="FF0000"/>
          <w:sz w:val="32"/>
          <w:highlight w:val="none"/>
        </w:rPr>
      </w:pPr>
      <w:r>
        <w:rPr>
          <w:rFonts w:hint="eastAsia" w:ascii="仿宋_GB2312" w:hAnsi="仿宋" w:eastAsia="仿宋_GB2312" w:cs="Times New Roman"/>
          <w:b/>
          <w:bCs/>
          <w:color w:val="FF0000"/>
          <w:sz w:val="32"/>
          <w:highlight w:val="none"/>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highlight w:val="none"/>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highlight w:val="none"/>
        </w:rPr>
        <w:t>6.评分规则所需资料（同类业绩证明、方案等）</w:t>
      </w:r>
      <w:r>
        <w:rPr>
          <w:rFonts w:hint="eastAsia" w:ascii="仿宋_GB2312" w:hAnsi="仿宋" w:eastAsia="仿宋_GB2312" w:cs="Times New Roman"/>
          <w:sz w:val="32"/>
          <w:highlight w:val="none"/>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highlight w:val="none"/>
          <w:lang w:val="en-US" w:eastAsia="zh-CN"/>
        </w:rPr>
      </w:pPr>
      <w:r>
        <w:rPr>
          <w:rFonts w:hint="eastAsia" w:ascii="方正黑体_GBK" w:hAnsi="方正黑体_GBK" w:eastAsia="方正黑体_GBK" w:cs="方正黑体_GBK"/>
          <w:sz w:val="32"/>
          <w:highlight w:val="none"/>
          <w:lang w:val="en-US" w:eastAsia="zh-CN"/>
        </w:rPr>
        <w:t>九、其他注意事项</w:t>
      </w:r>
    </w:p>
    <w:p>
      <w:pPr>
        <w:keepNext w:val="0"/>
        <w:keepLines w:val="0"/>
        <w:widowControl/>
        <w:suppressLineNumbers w:val="0"/>
        <w:spacing w:line="560" w:lineRule="exact"/>
        <w:ind w:firstLine="640" w:firstLineChars="200"/>
        <w:jc w:val="both"/>
        <w:rPr>
          <w:rFonts w:hint="eastAsia"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sz w:val="32"/>
          <w:highlight w:val="none"/>
          <w:lang w:val="en-US" w:eastAsia="zh-CN"/>
        </w:rPr>
        <w:t>1.供应商须在</w:t>
      </w:r>
      <w:r>
        <w:rPr>
          <w:rFonts w:hint="default" w:ascii="仿宋_GB2312" w:hAnsi="仿宋" w:eastAsia="仿宋_GB2312" w:cs="Times New Roman"/>
          <w:sz w:val="32"/>
          <w:highlight w:val="none"/>
          <w:lang w:val="en-US" w:eastAsia="zh-CN"/>
        </w:rPr>
        <w:t>深圳政府采购自行采购系统</w:t>
      </w:r>
      <w:r>
        <w:rPr>
          <w:rFonts w:hint="eastAsia" w:ascii="仿宋_GB2312" w:hAnsi="仿宋" w:eastAsia="仿宋_GB2312" w:cs="Times New Roman"/>
          <w:sz w:val="32"/>
          <w:highlight w:val="none"/>
          <w:lang w:val="en-US" w:eastAsia="zh-CN"/>
        </w:rPr>
        <w:t>完成</w:t>
      </w:r>
      <w:r>
        <w:rPr>
          <w:rFonts w:hint="eastAsia" w:ascii="仿宋_GB2312" w:hAnsi="仿宋" w:eastAsia="仿宋_GB2312" w:cs="Times New Roman"/>
          <w:kern w:val="2"/>
          <w:sz w:val="32"/>
          <w:szCs w:val="24"/>
          <w:highlight w:val="none"/>
          <w:lang w:val="en-US" w:eastAsia="zh-CN" w:bidi="ar-SA"/>
        </w:rPr>
        <w:t>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both"/>
        <w:rPr>
          <w:rFonts w:hint="default" w:ascii="仿宋_GB2312" w:hAnsi="仿宋" w:eastAsia="仿宋_GB2312" w:cs="Times New Roman"/>
          <w:sz w:val="32"/>
          <w:highlight w:val="none"/>
          <w:lang w:val="en-US" w:eastAsia="zh-CN"/>
        </w:rPr>
      </w:pP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rPr>
        <w:t>供应商需</w:t>
      </w:r>
      <w:r>
        <w:rPr>
          <w:rFonts w:hint="eastAsia" w:ascii="仿宋_GB2312" w:hAnsi="仿宋" w:eastAsia="仿宋_GB2312" w:cs="Times New Roman"/>
          <w:sz w:val="32"/>
          <w:highlight w:val="none"/>
          <w:lang w:val="en-US" w:eastAsia="zh-CN"/>
        </w:rPr>
        <w:t>以</w:t>
      </w:r>
      <w:r>
        <w:rPr>
          <w:rFonts w:hint="eastAsia" w:ascii="仿宋_GB2312" w:hAnsi="仿宋" w:eastAsia="仿宋_GB2312" w:cs="Times New Roman"/>
          <w:sz w:val="32"/>
          <w:highlight w:val="none"/>
        </w:rPr>
        <w:t>邮寄</w:t>
      </w:r>
      <w:r>
        <w:rPr>
          <w:rFonts w:hint="eastAsia" w:ascii="仿宋_GB2312" w:hAnsi="仿宋" w:eastAsia="仿宋_GB2312" w:cs="Times New Roman"/>
          <w:sz w:val="32"/>
          <w:highlight w:val="none"/>
          <w:lang w:val="en-US" w:eastAsia="zh-CN"/>
        </w:rPr>
        <w:t>方式提供</w:t>
      </w:r>
      <w:r>
        <w:rPr>
          <w:rFonts w:hint="eastAsia" w:ascii="仿宋_GB2312" w:hAnsi="仿宋" w:eastAsia="仿宋_GB2312" w:cs="Times New Roman"/>
          <w:color w:val="auto"/>
          <w:sz w:val="32"/>
          <w:highlight w:val="none"/>
          <w:lang w:val="en-US" w:eastAsia="zh-CN"/>
        </w:rPr>
        <w:t>7</w:t>
      </w:r>
      <w:r>
        <w:rPr>
          <w:rFonts w:hint="eastAsia" w:ascii="仿宋_GB2312" w:hAnsi="仿宋" w:eastAsia="仿宋_GB2312" w:cs="Times New Roman"/>
          <w:sz w:val="32"/>
          <w:highlight w:val="none"/>
        </w:rPr>
        <w:t>份密封纸质版投标资料至本单位</w:t>
      </w:r>
      <w:r>
        <w:rPr>
          <w:rFonts w:hint="eastAsia" w:ascii="仿宋_GB2312" w:hAnsi="仿宋" w:eastAsia="仿宋_GB2312" w:cs="Times New Roman"/>
          <w:sz w:val="32"/>
          <w:highlight w:val="none"/>
          <w:lang w:eastAsia="zh-CN"/>
        </w:rPr>
        <w:t>，</w:t>
      </w:r>
      <w:r>
        <w:rPr>
          <w:rFonts w:hint="eastAsia" w:ascii="仿宋_GB2312" w:hAnsi="仿宋" w:eastAsia="仿宋_GB2312" w:cs="Times New Roman"/>
          <w:sz w:val="32"/>
          <w:highlight w:val="none"/>
          <w:lang w:val="en-US" w:eastAsia="zh-CN"/>
        </w:rPr>
        <w:t>并在封面备注“</w:t>
      </w:r>
      <w:r>
        <w:rPr>
          <w:rFonts w:hint="default" w:ascii="仿宋_GB2312" w:hAnsi="仿宋_GB2312" w:eastAsia="仿宋_GB2312" w:cs="仿宋_GB2312"/>
          <w:color w:val="000000"/>
          <w:kern w:val="0"/>
          <w:sz w:val="32"/>
          <w:szCs w:val="32"/>
          <w:highlight w:val="none"/>
        </w:rPr>
        <w:t>2026年度竞赛训练保障服务</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项目+公司全称+日期+联系人+联系方式”。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highlight w:val="none"/>
        </w:rPr>
      </w:pPr>
      <w:r>
        <w:rPr>
          <w:rFonts w:hint="eastAsia" w:ascii="仿宋_GB2312" w:hAnsi="仿宋" w:eastAsia="仿宋_GB2312" w:cs="Times New Roman"/>
          <w:sz w:val="32"/>
          <w:highlight w:val="none"/>
        </w:rPr>
        <w:t>地址：</w:t>
      </w:r>
      <w:bookmarkStart w:id="1" w:name="OLE_LINK5"/>
      <w:r>
        <w:rPr>
          <w:rFonts w:hint="eastAsia" w:ascii="仿宋_GB2312" w:hAnsi="仿宋" w:eastAsia="仿宋_GB2312" w:cs="Times New Roman"/>
          <w:sz w:val="32"/>
          <w:highlight w:val="none"/>
        </w:rPr>
        <w:t>深圳市龙华区</w:t>
      </w:r>
      <w:r>
        <w:rPr>
          <w:rFonts w:hint="eastAsia" w:ascii="仿宋_GB2312" w:hAnsi="仿宋" w:eastAsia="仿宋_GB2312" w:cs="Times New Roman"/>
          <w:sz w:val="32"/>
          <w:highlight w:val="none"/>
          <w:lang w:val="en-US" w:eastAsia="zh-CN"/>
        </w:rPr>
        <w:t>龙华街道</w:t>
      </w:r>
      <w:r>
        <w:rPr>
          <w:rFonts w:hint="eastAsia" w:ascii="仿宋_GB2312" w:hAnsi="仿宋" w:eastAsia="仿宋_GB2312" w:cs="Times New Roman"/>
          <w:sz w:val="32"/>
          <w:highlight w:val="none"/>
        </w:rPr>
        <w:t>富康行政</w:t>
      </w:r>
      <w:r>
        <w:rPr>
          <w:rFonts w:hint="eastAsia" w:ascii="仿宋_GB2312" w:hAnsi="仿宋" w:eastAsia="仿宋_GB2312" w:cs="Times New Roman"/>
          <w:sz w:val="32"/>
          <w:highlight w:val="none"/>
          <w:lang w:val="en-US" w:eastAsia="zh-CN"/>
        </w:rPr>
        <w:t>服务</w:t>
      </w:r>
      <w:r>
        <w:rPr>
          <w:rFonts w:hint="eastAsia" w:ascii="仿宋_GB2312" w:hAnsi="仿宋" w:eastAsia="仿宋_GB2312" w:cs="Times New Roman"/>
          <w:sz w:val="32"/>
          <w:highlight w:val="none"/>
        </w:rPr>
        <w:t>办公区</w:t>
      </w:r>
      <w:bookmarkEnd w:id="1"/>
    </w:p>
    <w:p>
      <w:pPr>
        <w:pStyle w:val="19"/>
        <w:spacing w:line="560" w:lineRule="exact"/>
        <w:rPr>
          <w:rFonts w:ascii="仿宋_GB2312" w:hAnsi="仿宋" w:eastAsia="仿宋_GB2312" w:cs="Times New Roman"/>
          <w:sz w:val="32"/>
          <w:highlight w:val="none"/>
        </w:rPr>
      </w:pPr>
      <w:r>
        <w:rPr>
          <w:rFonts w:hint="eastAsia" w:ascii="仿宋_GB2312" w:hAnsi="仿宋" w:eastAsia="仿宋_GB2312" w:cs="Times New Roman"/>
          <w:sz w:val="32"/>
          <w:highlight w:val="none"/>
        </w:rPr>
        <w:t>收件人：吴先生</w:t>
      </w:r>
    </w:p>
    <w:p>
      <w:pPr>
        <w:spacing w:line="560" w:lineRule="exact"/>
        <w:ind w:firstLine="640" w:firstLineChars="200"/>
        <w:jc w:val="left"/>
        <w:rPr>
          <w:rFonts w:hint="default" w:ascii="仿宋_GB2312" w:hAnsi="仿宋" w:eastAsia="仿宋_GB2312" w:cs="Times New Roman"/>
          <w:sz w:val="32"/>
          <w:szCs w:val="22"/>
          <w:highlight w:val="none"/>
          <w:lang w:val="en-US"/>
        </w:rPr>
      </w:pPr>
      <w:r>
        <w:rPr>
          <w:rFonts w:hint="eastAsia" w:ascii="仿宋_GB2312" w:hAnsi="仿宋" w:eastAsia="仿宋_GB2312" w:cs="Times New Roman"/>
          <w:sz w:val="32"/>
          <w:highlight w:val="none"/>
        </w:rPr>
        <w:t>联系方式</w:t>
      </w:r>
      <w:r>
        <w:rPr>
          <w:rFonts w:hint="eastAsia" w:ascii="仿宋_GB2312" w:hAnsi="仿宋" w:eastAsia="仿宋_GB2312" w:cs="Times New Roman"/>
          <w:sz w:val="32"/>
          <w:highlight w:val="none"/>
          <w:lang w:eastAsia="zh-CN"/>
        </w:rPr>
        <w:t>：</w:t>
      </w:r>
      <w:r>
        <w:rPr>
          <w:rFonts w:hint="eastAsia" w:ascii="仿宋_GB2312" w:hAnsi="仿宋" w:eastAsia="仿宋_GB2312" w:cs="Times New Roman"/>
          <w:sz w:val="32"/>
          <w:szCs w:val="22"/>
          <w:highlight w:val="none"/>
        </w:rPr>
        <w:t>0755-23338</w:t>
      </w:r>
      <w:r>
        <w:rPr>
          <w:rFonts w:hint="default" w:ascii="仿宋_GB2312" w:hAnsi="仿宋" w:eastAsia="仿宋_GB2312" w:cs="Times New Roman"/>
          <w:sz w:val="32"/>
          <w:szCs w:val="22"/>
          <w:highlight w:val="none"/>
          <w:lang w:val="en-US"/>
        </w:rPr>
        <w:t>032</w:t>
      </w:r>
    </w:p>
    <w:p>
      <w:pPr>
        <w:pStyle w:val="19"/>
        <w:spacing w:line="560" w:lineRule="exact"/>
        <w:ind w:firstLine="0" w:firstLineChars="0"/>
        <w:rPr>
          <w:rFonts w:hint="default" w:ascii="黑体" w:hAnsi="黑体" w:eastAsia="黑体" w:cs="黑体"/>
          <w:color w:val="000000"/>
          <w:sz w:val="32"/>
          <w:szCs w:val="32"/>
          <w:highlight w:val="none"/>
          <w:lang w:val="en-US" w:eastAsia="zh-CN"/>
        </w:rPr>
      </w:pPr>
      <w:bookmarkStart w:id="2" w:name="_GoBack"/>
      <w:bookmarkEnd w:id="2"/>
      <w:r>
        <w:rPr>
          <w:rFonts w:ascii="仿宋_GB2312" w:hAnsi="仿宋" w:eastAsia="仿宋_GB2312" w:cs="Times New Roman"/>
          <w:sz w:val="32"/>
          <w:highlight w:val="none"/>
        </w:rPr>
        <w:br w:type="page"/>
      </w: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highlight w:val="none"/>
          <w:lang w:val="en-US" w:eastAsia="zh-CN"/>
        </w:rPr>
      </w:pPr>
    </w:p>
    <w:p>
      <w:pPr>
        <w:pStyle w:val="6"/>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rPr>
          <w:rFonts w:hint="default"/>
          <w:highlight w:val="none"/>
          <w:lang w:val="en-US" w:eastAsia="zh-CN"/>
        </w:rPr>
      </w:pPr>
    </w:p>
    <w:p>
      <w:pPr>
        <w:pStyle w:val="19"/>
        <w:spacing w:line="560" w:lineRule="exact"/>
        <w:ind w:firstLine="0" w:firstLineChars="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附件</w:t>
      </w:r>
      <w:r>
        <w:rPr>
          <w:rFonts w:hint="eastAsia" w:ascii="黑体" w:hAnsi="黑体" w:eastAsia="黑体" w:cs="黑体"/>
          <w:color w:val="000000"/>
          <w:sz w:val="32"/>
          <w:szCs w:val="32"/>
          <w:highlight w:val="none"/>
          <w:lang w:val="en-US" w:eastAsia="zh-CN"/>
        </w:rPr>
        <w:t>2</w:t>
      </w:r>
    </w:p>
    <w:p>
      <w:pPr>
        <w:pStyle w:val="12"/>
        <w:snapToGrid w:val="0"/>
        <w:spacing w:before="0" w:after="0" w:line="560" w:lineRule="exact"/>
        <w:rPr>
          <w:rFonts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供应商基本情况表</w:t>
      </w:r>
    </w:p>
    <w:p>
      <w:pPr>
        <w:spacing w:line="560" w:lineRule="exact"/>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填表单位：（加盖单位公章）</w:t>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ab/>
      </w:r>
      <w:r>
        <w:rPr>
          <w:rFonts w:hint="eastAsia" w:ascii="方正仿宋_GBK" w:hAnsi="方正仿宋_GBK" w:eastAsia="方正仿宋_GBK" w:cs="方正仿宋_GBK"/>
          <w:sz w:val="28"/>
          <w:szCs w:val="28"/>
          <w:highlight w:val="none"/>
        </w:rPr>
        <w:t xml:space="preserve">   填表日期：    年   月   日</w:t>
      </w:r>
    </w:p>
    <w:tbl>
      <w:tblPr>
        <w:tblStyle w:val="14"/>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采购人</w:t>
            </w:r>
          </w:p>
        </w:tc>
        <w:tc>
          <w:tcPr>
            <w:tcW w:w="2553" w:type="dxa"/>
            <w:gridSpan w:val="2"/>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tc>
        <w:tc>
          <w:tcPr>
            <w:tcW w:w="3645" w:type="dxa"/>
            <w:gridSpan w:val="2"/>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投标（响应）供应商</w:t>
            </w:r>
          </w:p>
        </w:tc>
        <w:tc>
          <w:tcPr>
            <w:tcW w:w="2553" w:type="dxa"/>
            <w:gridSpan w:val="2"/>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供应商统一社会信用代码</w:t>
            </w:r>
          </w:p>
        </w:tc>
        <w:tc>
          <w:tcPr>
            <w:tcW w:w="3645" w:type="dxa"/>
            <w:gridSpan w:val="2"/>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劳动合同</w:t>
            </w:r>
          </w:p>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缴纳社会</w:t>
            </w:r>
          </w:p>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2"/>
                <w:szCs w:val="22"/>
                <w:highlight w:val="none"/>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w:t>
            </w:r>
          </w:p>
        </w:tc>
        <w:tc>
          <w:tcPr>
            <w:tcW w:w="2345" w:type="dxa"/>
            <w:gridSpan w:val="2"/>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主要技术人员</w:t>
            </w:r>
          </w:p>
        </w:tc>
        <w:tc>
          <w:tcPr>
            <w:tcW w:w="1270" w:type="dxa"/>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jc w:val="left"/>
              <w:rPr>
                <w:rFonts w:ascii="方正仿宋_GBK" w:hAnsi="方正仿宋_GBK" w:eastAsia="方正仿宋_GBK" w:cs="方正仿宋_GBK"/>
                <w:sz w:val="24"/>
                <w:highlight w:val="none"/>
              </w:rPr>
            </w:pPr>
          </w:p>
        </w:tc>
        <w:tc>
          <w:tcPr>
            <w:tcW w:w="1500" w:type="dxa"/>
            <w:noWrap w:val="0"/>
            <w:vAlign w:val="center"/>
          </w:tcPr>
          <w:p>
            <w:pPr>
              <w:jc w:val="left"/>
              <w:rPr>
                <w:rFonts w:ascii="方正仿宋_GBK" w:hAnsi="方正仿宋_GBK" w:eastAsia="方正仿宋_GBK" w:cs="方正仿宋_GBK"/>
                <w:sz w:val="24"/>
                <w:highlight w:val="none"/>
              </w:rPr>
            </w:pPr>
          </w:p>
        </w:tc>
        <w:tc>
          <w:tcPr>
            <w:tcW w:w="2145" w:type="dxa"/>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投标文件编制人员</w:t>
            </w:r>
          </w:p>
        </w:tc>
        <w:tc>
          <w:tcPr>
            <w:tcW w:w="1270" w:type="dxa"/>
            <w:noWrap w:val="0"/>
            <w:vAlign w:val="center"/>
          </w:tcPr>
          <w:p>
            <w:pPr>
              <w:jc w:val="left"/>
              <w:rPr>
                <w:rFonts w:ascii="方正仿宋_GBK" w:hAnsi="方正仿宋_GBK" w:eastAsia="方正仿宋_GBK" w:cs="方正仿宋_GBK"/>
                <w:sz w:val="24"/>
                <w:highlight w:val="none"/>
              </w:rPr>
            </w:pPr>
          </w:p>
        </w:tc>
        <w:tc>
          <w:tcPr>
            <w:tcW w:w="1991" w:type="dxa"/>
            <w:gridSpan w:val="2"/>
            <w:noWrap w:val="0"/>
            <w:vAlign w:val="center"/>
          </w:tcPr>
          <w:p>
            <w:pPr>
              <w:jc w:val="left"/>
              <w:rPr>
                <w:rFonts w:ascii="方正仿宋_GBK" w:hAnsi="方正仿宋_GBK" w:eastAsia="方正仿宋_GBK" w:cs="方正仿宋_GBK"/>
                <w:sz w:val="24"/>
                <w:highlight w:val="none"/>
              </w:rPr>
            </w:pPr>
          </w:p>
        </w:tc>
        <w:tc>
          <w:tcPr>
            <w:tcW w:w="1500" w:type="dxa"/>
            <w:noWrap w:val="0"/>
            <w:vAlign w:val="center"/>
          </w:tcPr>
          <w:p>
            <w:pPr>
              <w:jc w:val="left"/>
              <w:rPr>
                <w:rFonts w:ascii="方正仿宋_GBK" w:hAnsi="方正仿宋_GBK" w:eastAsia="方正仿宋_GBK" w:cs="方正仿宋_GBK"/>
                <w:sz w:val="24"/>
                <w:highlight w:val="none"/>
              </w:rPr>
            </w:pPr>
          </w:p>
        </w:tc>
        <w:tc>
          <w:tcPr>
            <w:tcW w:w="2145" w:type="dxa"/>
            <w:noWrap w:val="0"/>
            <w:vAlign w:val="center"/>
          </w:tcPr>
          <w:p>
            <w:pPr>
              <w:jc w:val="left"/>
              <w:rPr>
                <w:rFonts w:ascii="方正仿宋_GBK" w:hAnsi="方正仿宋_GBK" w:eastAsia="方正仿宋_GBK" w:cs="方正仿宋_GBK"/>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highlight w:val="none"/>
              </w:rPr>
            </w:pPr>
            <w:r>
              <w:rPr>
                <w:rFonts w:hint="eastAsia" w:ascii="方正仿宋_GBK" w:hAnsi="方正仿宋_GBK" w:eastAsia="方正仿宋_GBK" w:cs="方正仿宋_GBK"/>
                <w:b/>
                <w:bCs/>
                <w:sz w:val="24"/>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18"/>
                <w:szCs w:val="18"/>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highlight w:val="none"/>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b/>
                <w:bCs/>
                <w:sz w:val="24"/>
                <w:highlight w:val="none"/>
              </w:rPr>
              <w:t>说明：同一关联关系类型有多个主体的，应分行填写。</w:t>
            </w:r>
          </w:p>
        </w:tc>
      </w:tr>
    </w:tbl>
    <w:p>
      <w:pPr>
        <w:rPr>
          <w:rFonts w:hint="default"/>
          <w:highlight w:val="none"/>
          <w:lang w:val="en-US" w:eastAsia="zh-CN"/>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FA458"/>
    <w:multiLevelType w:val="singleLevel"/>
    <w:tmpl w:val="97FFA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16EB8C75"/>
    <w:rsid w:val="20B451EA"/>
    <w:rsid w:val="377757A3"/>
    <w:rsid w:val="3D5FDCFC"/>
    <w:rsid w:val="3F7D16C5"/>
    <w:rsid w:val="532E96C6"/>
    <w:rsid w:val="53B37108"/>
    <w:rsid w:val="56AB7232"/>
    <w:rsid w:val="57F689EF"/>
    <w:rsid w:val="5F2BE56A"/>
    <w:rsid w:val="5FF6ECA0"/>
    <w:rsid w:val="5FFFF5C8"/>
    <w:rsid w:val="60FDCBD4"/>
    <w:rsid w:val="69FDD0B7"/>
    <w:rsid w:val="6CFFD566"/>
    <w:rsid w:val="6FC72380"/>
    <w:rsid w:val="6FFDAFFD"/>
    <w:rsid w:val="72504650"/>
    <w:rsid w:val="726A1299"/>
    <w:rsid w:val="73FB884D"/>
    <w:rsid w:val="74DC04CA"/>
    <w:rsid w:val="773E6F28"/>
    <w:rsid w:val="77FABDDE"/>
    <w:rsid w:val="7AEFCCCB"/>
    <w:rsid w:val="7BD3E33C"/>
    <w:rsid w:val="7BF7E217"/>
    <w:rsid w:val="7BFE185C"/>
    <w:rsid w:val="7D9F3A20"/>
    <w:rsid w:val="7DD39989"/>
    <w:rsid w:val="7E9F479A"/>
    <w:rsid w:val="7F46C659"/>
    <w:rsid w:val="7FBED81A"/>
    <w:rsid w:val="7FD1A07F"/>
    <w:rsid w:val="7FE5DA00"/>
    <w:rsid w:val="82BD591F"/>
    <w:rsid w:val="8FADC014"/>
    <w:rsid w:val="9EF7DD19"/>
    <w:rsid w:val="9EFFBBA7"/>
    <w:rsid w:val="9FF753B3"/>
    <w:rsid w:val="B3E3DBA6"/>
    <w:rsid w:val="B6FC8A08"/>
    <w:rsid w:val="BBFF548B"/>
    <w:rsid w:val="BDB810FC"/>
    <w:rsid w:val="BFFF178B"/>
    <w:rsid w:val="CD9D1C82"/>
    <w:rsid w:val="CEAEA899"/>
    <w:rsid w:val="DC7E6CB0"/>
    <w:rsid w:val="DEB7FE68"/>
    <w:rsid w:val="DFFF69F1"/>
    <w:rsid w:val="E376E1AF"/>
    <w:rsid w:val="E77E6E49"/>
    <w:rsid w:val="EFF64497"/>
    <w:rsid w:val="F37CF169"/>
    <w:rsid w:val="F573B260"/>
    <w:rsid w:val="F5FE9687"/>
    <w:rsid w:val="FDFFDEC4"/>
    <w:rsid w:val="FE9FAB27"/>
    <w:rsid w:val="FEFBCF3E"/>
    <w:rsid w:val="FFBFB86A"/>
    <w:rsid w:val="FFEF2FC6"/>
    <w:rsid w:val="FFFB3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Normal (Web)"/>
    <w:basedOn w:val="1"/>
    <w:qFormat/>
    <w:uiPriority w:val="99"/>
    <w:rPr>
      <w:sz w:val="24"/>
    </w:rPr>
  </w:style>
  <w:style w:type="paragraph" w:styleId="12">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7"/>
    <w:qFormat/>
    <w:uiPriority w:val="34"/>
    <w:pPr>
      <w:ind w:firstLine="420" w:firstLineChars="200"/>
    </w:pPr>
  </w:style>
  <w:style w:type="paragraph" w:customStyle="1" w:styleId="17">
    <w:name w:val="星耀正文"/>
    <w:basedOn w:val="1"/>
    <w:qFormat/>
    <w:uiPriority w:val="3"/>
    <w:pPr>
      <w:ind w:firstLine="422" w:firstLineChars="200"/>
    </w:pPr>
    <w:rPr>
      <w:rFonts w:ascii="宋体" w:hAnsi="宋体" w:eastAsia="仿宋_GB2312"/>
      <w:bCs/>
    </w:rPr>
  </w:style>
  <w:style w:type="paragraph" w:customStyle="1" w:styleId="18">
    <w:name w:val="USE 1"/>
    <w:basedOn w:val="1"/>
    <w:qFormat/>
    <w:uiPriority w:val="0"/>
    <w:pPr>
      <w:spacing w:line="200" w:lineRule="atLeast"/>
      <w:jc w:val="left"/>
    </w:pPr>
    <w:rPr>
      <w:rFonts w:ascii="宋体" w:hAnsi="宋体"/>
      <w:b/>
      <w:sz w:val="24"/>
      <w:szCs w:val="28"/>
    </w:rPr>
  </w:style>
  <w:style w:type="paragraph" w:customStyle="1" w:styleId="19">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0">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3642</Words>
  <Characters>3798</Characters>
  <Lines>0</Lines>
  <Paragraphs>0</Paragraphs>
  <TotalTime>1</TotalTime>
  <ScaleCrop>false</ScaleCrop>
  <LinksUpToDate>false</LinksUpToDate>
  <CharactersWithSpaces>3921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2025-04-21T09:16:00Z</dcterms:created>
  <dc:creator>yang</dc:creator>
  <cp:lastModifiedBy>lxy</cp:lastModifiedBy>
  <dcterms:modified xsi:type="dcterms:W3CDTF">2026-07-01T17:16:42Z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6E3EB8F65822964EFADA446A0A6B3971</vt:lpwstr>
  </property>
  <property fmtid="{D5CDD505-2E9C-101B-9397-08002B2CF9AE}" pid="4" name="KSOTemplateDocerSaveRecord">
    <vt:lpwstr>eyJoZGlkIjoiYTA2ZTk1ZDM1MjNkZDVlZmJlYjkzNmY3YzM3MmZmM2YiLCJ1c2VySWQiOiIzNzQwODk5ODYifQ==</vt:lpwstr>
  </property>
</Properties>
</file>