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2026年深圳市“龙华杯”青少年网球比赛</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项目</w:t>
      </w:r>
      <w:r>
        <w:rPr>
          <w:rFonts w:hint="eastAsia" w:ascii="方正小标宋简体" w:hAnsi="方正小标宋简体" w:eastAsia="方正小标宋简体" w:cs="方正小标宋简体"/>
          <w:sz w:val="44"/>
          <w:szCs w:val="44"/>
        </w:rPr>
        <w:t>需求书</w:t>
      </w:r>
    </w:p>
    <w:p>
      <w:pPr>
        <w:pStyle w:val="8"/>
        <w:spacing w:line="560" w:lineRule="exact"/>
        <w:jc w:val="center"/>
        <w:rPr>
          <w:rFonts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eastAsia="仿宋_GB2312"/>
          <w:lang w:eastAsia="zh-CN"/>
        </w:rPr>
      </w:pPr>
      <w:r>
        <w:rPr>
          <w:rFonts w:hint="eastAsia" w:ascii="仿宋_GB2312" w:hAnsi="仿宋" w:eastAsia="仿宋_GB2312" w:cs="仿宋"/>
          <w:kern w:val="2"/>
          <w:sz w:val="32"/>
          <w:szCs w:val="32"/>
          <w:lang w:val="en-US" w:eastAsia="zh-CN" w:bidi="ar-SA"/>
        </w:rPr>
        <w:t>完成</w:t>
      </w:r>
      <w:r>
        <w:rPr>
          <w:rFonts w:hint="eastAsia" w:ascii="仿宋_GB2312" w:hAnsi="仿宋_GB2312" w:eastAsia="仿宋_GB2312" w:cs="仿宋_GB2312"/>
          <w:color w:val="000000"/>
          <w:kern w:val="0"/>
          <w:sz w:val="32"/>
          <w:szCs w:val="32"/>
          <w:lang w:val="en-US" w:eastAsia="zh-CN" w:bidi="ar"/>
        </w:rPr>
        <w:t>2026年深圳市“龙华杯”青少年网球比赛</w:t>
      </w:r>
      <w:r>
        <w:rPr>
          <w:rFonts w:hint="eastAsia" w:ascii="仿宋_GB2312" w:hAnsi="仿宋" w:eastAsia="仿宋_GB2312" w:cs="仿宋"/>
          <w:kern w:val="2"/>
          <w:sz w:val="32"/>
          <w:szCs w:val="32"/>
          <w:lang w:val="en-US" w:eastAsia="zh-CN" w:bidi="ar-SA"/>
        </w:rPr>
        <w:t>落地执行。</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default" w:ascii="仿宋_GB2312" w:eastAsia="仿宋_GB2312"/>
          <w:sz w:val="32"/>
          <w:szCs w:val="32"/>
          <w:lang w:val="en" w:eastAsia="zh-CN"/>
        </w:rPr>
        <w:t>202</w:t>
      </w:r>
      <w:r>
        <w:rPr>
          <w:rFonts w:hint="eastAsia" w:ascii="仿宋_GB2312" w:eastAsia="仿宋_GB2312"/>
          <w:sz w:val="32"/>
          <w:szCs w:val="32"/>
          <w:lang w:val="en-US" w:eastAsia="zh-CN"/>
        </w:rPr>
        <w:t>6</w:t>
      </w:r>
      <w:r>
        <w:rPr>
          <w:rFonts w:hint="default" w:ascii="仿宋_GB2312" w:eastAsia="仿宋_GB2312"/>
          <w:sz w:val="32"/>
          <w:szCs w:val="32"/>
          <w:lang w:val="en" w:eastAsia="zh-CN"/>
        </w:rPr>
        <w:t>年</w:t>
      </w:r>
      <w:r>
        <w:rPr>
          <w:rFonts w:hint="eastAsia" w:ascii="仿宋_GB2312" w:eastAsia="仿宋_GB2312"/>
          <w:sz w:val="32"/>
          <w:szCs w:val="32"/>
          <w:lang w:val="en-US" w:eastAsia="zh-CN"/>
        </w:rPr>
        <w:t>7-11</w:t>
      </w:r>
      <w:r>
        <w:rPr>
          <w:rFonts w:hint="default" w:ascii="仿宋_GB2312" w:eastAsia="仿宋_GB2312"/>
          <w:sz w:val="32"/>
          <w:szCs w:val="32"/>
          <w:lang w:val="en" w:eastAsia="zh-CN"/>
        </w:rPr>
        <w:t>月</w:t>
      </w:r>
      <w:r>
        <w:rPr>
          <w:rFonts w:hint="eastAsia" w:ascii="仿宋_GB2312" w:eastAsia="仿宋_GB2312"/>
          <w:sz w:val="32"/>
          <w:szCs w:val="32"/>
          <w:lang w:val="en" w:eastAsia="zh-CN"/>
        </w:rPr>
        <w:t>（</w:t>
      </w:r>
      <w:r>
        <w:rPr>
          <w:rFonts w:hint="eastAsia" w:ascii="仿宋_GB2312" w:eastAsia="仿宋_GB2312"/>
          <w:sz w:val="32"/>
          <w:szCs w:val="32"/>
          <w:lang w:val="en-US" w:eastAsia="zh-CN"/>
        </w:rPr>
        <w:t>暂定</w:t>
      </w:r>
      <w:r>
        <w:rPr>
          <w:rFonts w:hint="eastAsia" w:ascii="仿宋_GB2312" w:eastAsia="仿宋_GB2312"/>
          <w:sz w:val="32"/>
          <w:szCs w:val="32"/>
          <w:lang w:eastAsia="zh-CN"/>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深化体教融合、完善全民健身公共服务体系、促进青少年健康成长，为龙华区内青少年网球爱好者搭建专业竞技与交流平台，营造青少年体育发展良好氛围，推动龙华区青少年网球事业发展，计划于2026年7月—11月开展2026年深圳市“龙华杯”青少年网球比赛，赛事采用小组赛+淘汰赛的专业赛制，核心环节涵盖全流程赛事组织执行、竞赛编排、赛事保障、颁奖仪式等。</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1.制定2026年深圳市“龙华杯”青少年网球比赛具体实施方案和报价单；</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2.负责赛事场地布置、宣传海报、横幅设计、物料制作等工作；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3.负责赛事全流程落地执行，涵盖人员调配、现场运营、赛事组织、竞赛编排等全环节；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4.负责聘请裁判、主持、医疗、摄影摄像等各类专业工作人员并统筹调配；</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5.负责赛事保障、器材采购/租赁、工作餐饮、宣传推广等全品类物资与服务保障；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6.负责主办方交办的其他事项。</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lang w:val="en-US" w:eastAsia="zh-CN"/>
        </w:rPr>
        <w:t>10</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7"/>
        <w:gridCol w:w="895"/>
        <w:gridCol w:w="5984"/>
        <w:gridCol w:w="553"/>
        <w:gridCol w:w="5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right" w:pos="7770"/>
              </w:tabs>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2026年深圳市“龙华杯”青少年网球赛报价单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内容说明</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一、奖杯、奖牌、证书制作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奖杯</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6个组别；各组别前3名，3×6</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18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奖牌</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6个组别；前3名  3×6</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18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奖状证书</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优秀教练员证书（各组前3名，6×3）；各组别前8名的运动员 6×8，备用证书4张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70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牌匾</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体育道德风尚奖（各组3名 6×4）</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24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二、工作人员费用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比赛用水（25箱/天；6天，含裁判员、工作人员、运动员、教练、领队等）</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150</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工作用餐（18份/天，6天午餐；18人，含裁判13人、工作人员5人）</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108</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竞赛编排与统筹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2人，前期报名、竞赛编排、抽签、比赛成绩统计、赛事组织等工作，工作6天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裁判长劳务费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每天1名裁判长（作为总监督），6天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裁判员劳务费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每天12名裁判，6天（开8个场地，每天4人记录编排，8人执裁）</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72</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工作人员劳务费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每天5名工作人员，6天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医疗人员</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2名医疗人员加急救物资 250元/人/天，6天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主持人</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颁奖仪式主持人，1天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摄影人员</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每天1名摄影人员（含照片直播平台搭建）,6天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三、其他项目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秩序册</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排版印刷赛事秩序册</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场地布置</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背景板3m*10m（框架搭建）、颁奖台</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val="0"/>
                <w:iCs w:val="0"/>
                <w:color w:val="000000"/>
                <w:sz w:val="20"/>
                <w:szCs w:val="20"/>
                <w:u w:val="none"/>
              </w:rPr>
            </w:pP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场地A字板、海报、横幅、音箱、指示牌、手举牌、成绩公告栏等含搭建布置</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89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体育用品</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比赛用球（专业级别比赛用球）</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5</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895" w:type="dxa"/>
            <w:vMerge w:val="continue"/>
            <w:tcBorders>
              <w:top w:val="nil"/>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val="0"/>
                <w:iCs w:val="0"/>
                <w:color w:val="000000"/>
                <w:sz w:val="20"/>
                <w:szCs w:val="20"/>
                <w:u w:val="none"/>
              </w:rPr>
            </w:pP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比分牌租赁、赛事器具等</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物料运输（背景板框架、赛事所需器具等），共2趟</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宣传费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赛事报道、总结，稿件600-1000字以内</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89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赛事设计费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设计（背景板、奖杯、奖牌、牌匾、证书、场地A字板、横幅、海报等）</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投标价格（万元）：  </w:t>
            </w:r>
            <w:r>
              <w:rPr>
                <w:rFonts w:hint="eastAsia" w:ascii="微软雅黑" w:hAnsi="微软雅黑" w:eastAsia="微软雅黑" w:cs="微软雅黑"/>
                <w:i w:val="0"/>
                <w:iCs w:val="0"/>
                <w:color w:val="000000"/>
                <w:kern w:val="0"/>
                <w:sz w:val="24"/>
                <w:szCs w:val="24"/>
                <w:u w:val="single"/>
                <w:lang w:val="en-US" w:eastAsia="zh-CN" w:bidi="ar"/>
              </w:rPr>
              <w:t xml:space="preserve">              </w:t>
            </w:r>
            <w:r>
              <w:rPr>
                <w:rFonts w:hint="eastAsia" w:ascii="微软雅黑" w:hAnsi="微软雅黑" w:eastAsia="微软雅黑" w:cs="微软雅黑"/>
                <w:i w:val="0"/>
                <w:iCs w:val="0"/>
                <w:color w:val="000000"/>
                <w:kern w:val="0"/>
                <w:sz w:val="24"/>
                <w:szCs w:val="24"/>
                <w:u w:val="none"/>
                <w:lang w:val="en-US" w:eastAsia="zh-CN" w:bidi="ar"/>
              </w:rPr>
              <w:t xml:space="preserve">  （以万元为单位，最多保留两位小数）</w:t>
            </w:r>
          </w:p>
        </w:tc>
      </w:tr>
    </w:tbl>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eastAsia="仿宋_GB2312" w:cs="仿宋"/>
          <w:bCs/>
          <w:kern w:val="2"/>
          <w:sz w:val="32"/>
          <w:szCs w:val="32"/>
          <w:lang w:val="en-US" w:eastAsia="zh-CN" w:bidi="ar-SA"/>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cs="仿宋"/>
          <w:sz w:val="32"/>
          <w:szCs w:val="32"/>
          <w:lang w:eastAsia="zh-CN"/>
        </w:rPr>
        <w:t>；</w:t>
      </w:r>
    </w:p>
    <w:p>
      <w:pPr>
        <w:pStyle w:val="15"/>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45分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30分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861"/>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评分因素</w:t>
            </w:r>
          </w:p>
        </w:tc>
        <w:tc>
          <w:tcPr>
            <w:tcW w:w="6916"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评分因素</w:t>
            </w:r>
          </w:p>
        </w:tc>
        <w:tc>
          <w:tcPr>
            <w:tcW w:w="6916"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sz w:val="24"/>
                <w:szCs w:val="24"/>
                <w:lang w:val="en-US" w:eastAsia="zh-CN"/>
              </w:rPr>
              <w:t>10分</w:t>
            </w:r>
            <w:r>
              <w:rPr>
                <w:rFonts w:hint="eastAsia" w:ascii="仿宋_GB2312" w:hAnsi="仿宋_GB2312" w:eastAsia="仿宋_GB2312" w:cs="仿宋_GB2312"/>
                <w:sz w:val="24"/>
                <w:szCs w:val="24"/>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每提供一项相关组织体育类活动</w:t>
            </w:r>
            <w:r>
              <w:rPr>
                <w:rFonts w:hint="eastAsia" w:ascii="仿宋_GB2312" w:hAnsi="仿宋_GB2312" w:eastAsia="仿宋_GB2312" w:cs="仿宋_GB2312"/>
                <w:sz w:val="24"/>
                <w:szCs w:val="24"/>
                <w:lang w:eastAsia="zh-CN"/>
              </w:rPr>
              <w:t>项目业绩得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6916" w:type="dxa"/>
            <w:noWrap w:val="0"/>
            <w:vAlign w:val="center"/>
          </w:tcPr>
          <w:p>
            <w:pPr>
              <w:numPr>
                <w:ilvl w:val="0"/>
                <w:numId w:val="3"/>
              </w:num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评审内容</w:t>
            </w:r>
          </w:p>
          <w:p>
            <w:pPr>
              <w:numPr>
                <w:ilvl w:val="0"/>
                <w:numId w:val="0"/>
              </w:num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每提供一类专业学历证明资料的得分比例要求如下：具有</w:t>
            </w:r>
            <w:r>
              <w:rPr>
                <w:rFonts w:hint="eastAsia" w:ascii="仿宋_GB2312" w:hAnsi="宋体" w:eastAsia="仿宋_GB2312" w:cs="仿宋_GB2312"/>
                <w:i w:val="0"/>
                <w:iCs w:val="0"/>
                <w:color w:val="000000"/>
                <w:kern w:val="0"/>
                <w:sz w:val="24"/>
                <w:szCs w:val="24"/>
                <w:u w:val="none"/>
                <w:lang w:val="en-US" w:eastAsia="zh-CN" w:bidi="ar"/>
              </w:rPr>
              <w:t>相关体育专业大专学历得1分；具有相关体育专业本科及以上学历得2分，</w:t>
            </w:r>
            <w:r>
              <w:rPr>
                <w:rFonts w:hint="eastAsia" w:ascii="仿宋_GB2312" w:hAnsi="仿宋_GB2312" w:eastAsia="仿宋_GB2312" w:cs="仿宋_GB2312"/>
                <w:sz w:val="24"/>
                <w:szCs w:val="24"/>
                <w:lang w:eastAsia="zh-CN"/>
              </w:rPr>
              <w:t>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（注：提供重复学历按最高得分为准，同一人学历不参与累计分值。）</w:t>
            </w:r>
          </w:p>
          <w:p>
            <w:p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提供毕业证书扫描件、学历信息在学信网查询结果截图，原件备查。</w:t>
            </w:r>
          </w:p>
          <w:p>
            <w:pPr>
              <w:pStyle w:val="2"/>
              <w:ind w:left="0" w:leftChars="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2.以上证明文件原件备查，未提供或未按要求提供或提供的不清晰导致（临时）采购小组无法判断的，不得分。</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kinsoku/>
              <w:wordWrap/>
              <w:overflowPunct/>
              <w:autoSpaceDE/>
              <w:autoSpaceDN/>
              <w:bidi w:val="0"/>
              <w:adjustRightInd/>
              <w:snapToGrid w:val="0"/>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numPr>
                <w:ilvl w:val="-1"/>
                <w:numId w:val="0"/>
              </w:numPr>
              <w:kinsoku/>
              <w:wordWrap/>
              <w:overflowPunct/>
              <w:autoSpaceDE/>
              <w:autoSpaceDN/>
              <w:bidi w:val="0"/>
              <w:adjustRightInd/>
              <w:snapToGrid w:val="0"/>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技术部分（45分）</w:t>
            </w: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实施方案</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lang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满足以上任意一项要求得4分，最高16得分，在此基础上。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2.良：项目实施方案内容较全面、较具体、针对性较强、较科学合理、可操作性较强得7分；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3.中：项目实施方案内容较基本全面、一般具体、针对性一般、一般科学合理、可操作性一般得5分；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（20分）</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3.向招标方提出项目实施其他具体建议。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良：以上项目重点难点分析、应对措施及相关的合理化建议的三点内容较全面、针对性较强、可操作性较强，加</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7"/>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p>
    <w:p>
      <w:pPr>
        <w:spacing w:line="560" w:lineRule="exact"/>
        <w:ind w:firstLine="642" w:firstLineChars="200"/>
        <w:jc w:val="left"/>
        <w:rPr>
          <w:rFonts w:hint="eastAsia" w:ascii="仿宋_GB2312" w:hAnsi="仿宋" w:eastAsia="仿宋_GB2312" w:cs="Times New Roman"/>
          <w:b/>
          <w:bCs/>
          <w:color w:val="FF0000"/>
          <w:sz w:val="32"/>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1.营业执照、事业法人证书、社会团体法人登记证书、相关许可证书；</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sz w:val="32"/>
        </w:rPr>
        <w:t>投标人未按要求完整提供对应人员社保材料的，按无效投标处理。</w:t>
      </w:r>
    </w:p>
    <w:p>
      <w:pPr>
        <w:pStyle w:val="7"/>
        <w:spacing w:after="0" w:line="560" w:lineRule="exact"/>
        <w:ind w:left="0" w:leftChars="0" w:right="0" w:rightChars="0" w:firstLine="640"/>
        <w:jc w:val="left"/>
        <w:rPr>
          <w:rFonts w:hint="eastAsia" w:ascii="仿宋_GB2312" w:hAnsi="仿宋" w:eastAsia="仿宋_GB2312" w:cs="Times New Roman"/>
          <w:sz w:val="32"/>
          <w:lang w:eastAsia="zh-CN"/>
        </w:rPr>
      </w:pPr>
      <w:r>
        <w:rPr>
          <w:rFonts w:hint="eastAsia" w:ascii="仿宋_GB2312" w:hAnsi="仿宋" w:eastAsia="仿宋_GB2312" w:cs="Times New Roman"/>
          <w:sz w:val="32"/>
        </w:rPr>
        <w:t>6.评分规则所需资料（同类业绩证明、方案等）</w:t>
      </w:r>
      <w:r>
        <w:rPr>
          <w:rFonts w:hint="eastAsia" w:ascii="仿宋_GB2312" w:hAnsi="仿宋" w:eastAsia="仿宋_GB2312" w:cs="Times New Roman"/>
          <w:sz w:val="32"/>
          <w:lang w:eastAsia="zh-CN"/>
        </w:rPr>
        <w:t>。</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方式提供5</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color w:val="000000"/>
          <w:kern w:val="0"/>
          <w:sz w:val="32"/>
          <w:szCs w:val="32"/>
          <w:lang w:val="en-US" w:eastAsia="zh-CN" w:bidi="ar"/>
        </w:rPr>
        <w:t>2026年深圳市“龙华杯”青少年网球比赛</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仿宋_GB2312" w:hAnsi="仿宋" w:eastAsia="仿宋_GB2312" w:cs="Times New Roman"/>
          <w:sz w:val="32"/>
          <w:szCs w:val="2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w:t>
      </w:r>
      <w:r>
        <w:rPr>
          <w:rFonts w:hint="eastAsia" w:ascii="仿宋_GB2312" w:hAnsi="仿宋" w:eastAsia="仿宋_GB2312" w:cs="Times New Roman"/>
          <w:sz w:val="32"/>
          <w:szCs w:val="22"/>
          <w:lang w:val="en-US" w:eastAsia="zh-CN"/>
        </w:rPr>
        <w:t>23338032</w:t>
      </w: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bookmarkStart w:id="2" w:name="_GoBack"/>
      <w:bookmarkEnd w:id="2"/>
    </w:p>
    <w:p>
      <w:pPr>
        <w:pStyle w:val="8"/>
        <w:rPr>
          <w:rFonts w:hint="eastAsia" w:ascii="仿宋_GB2312" w:hAnsi="仿宋" w:eastAsia="仿宋_GB2312" w:cs="Times New Roman"/>
          <w:sz w:val="32"/>
          <w:szCs w:val="22"/>
        </w:rPr>
      </w:pPr>
    </w:p>
    <w:p>
      <w:pPr>
        <w:pStyle w:val="18"/>
        <w:spacing w:line="560" w:lineRule="exact"/>
        <w:ind w:firstLine="0" w:firstLineChars="0"/>
        <w:rPr>
          <w:rFonts w:hint="default" w:ascii="黑体" w:hAnsi="黑体" w:eastAsia="黑体" w:cs="黑体"/>
          <w:color w:val="000000"/>
          <w:sz w:val="32"/>
          <w:szCs w:val="32"/>
          <w:lang w:val="en-US" w:eastAsia="zh-CN"/>
        </w:rPr>
      </w:pPr>
      <w:r>
        <w:rPr>
          <w:rFonts w:hint="eastAsia" w:ascii="仿宋_GB2312" w:hAnsi="仿宋" w:eastAsia="仿宋_GB2312" w:cs="Times New Roman"/>
          <w:sz w:val="32"/>
          <w:szCs w:val="2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9DDE81"/>
    <w:multiLevelType w:val="singleLevel"/>
    <w:tmpl w:val="EB9DDE81"/>
    <w:lvl w:ilvl="0" w:tentative="0">
      <w:start w:val="1"/>
      <w:numFmt w:val="chineseCounting"/>
      <w:suff w:val="nothing"/>
      <w:lvlText w:val="%1、"/>
      <w:lvlJc w:val="left"/>
      <w:rPr>
        <w:rFonts w:hint="eastAsia"/>
      </w:rPr>
    </w:lvl>
  </w:abstractNum>
  <w:abstractNum w:abstractNumId="1">
    <w:nsid w:val="4A99746B"/>
    <w:multiLevelType w:val="singleLevel"/>
    <w:tmpl w:val="4A99746B"/>
    <w:lvl w:ilvl="0" w:tentative="0">
      <w:start w:val="1"/>
      <w:numFmt w:val="chineseCounting"/>
      <w:suff w:val="nothing"/>
      <w:lvlText w:val="（%1）"/>
      <w:lvlJc w:val="left"/>
      <w:rPr>
        <w:rFonts w:hint="eastAsia"/>
      </w:rPr>
    </w:lvl>
  </w:abstractNum>
  <w:abstractNum w:abstractNumId="2">
    <w:nsid w:val="66309E8F"/>
    <w:multiLevelType w:val="singleLevel"/>
    <w:tmpl w:val="66309E8F"/>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18"/>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532B84"/>
    <w:rsid w:val="00A65FA9"/>
    <w:rsid w:val="04003C23"/>
    <w:rsid w:val="04D5397F"/>
    <w:rsid w:val="04EA3143"/>
    <w:rsid w:val="05D860D3"/>
    <w:rsid w:val="0A4725AB"/>
    <w:rsid w:val="0D3B0F36"/>
    <w:rsid w:val="0D566BC9"/>
    <w:rsid w:val="0D7D62E4"/>
    <w:rsid w:val="135366B2"/>
    <w:rsid w:val="14A2631D"/>
    <w:rsid w:val="14AB467C"/>
    <w:rsid w:val="14C34F24"/>
    <w:rsid w:val="165D6C96"/>
    <w:rsid w:val="1CA8200C"/>
    <w:rsid w:val="1EFA5B6D"/>
    <w:rsid w:val="1FF16DE9"/>
    <w:rsid w:val="20D34CF2"/>
    <w:rsid w:val="22DA783B"/>
    <w:rsid w:val="23AF4CD1"/>
    <w:rsid w:val="246C0B76"/>
    <w:rsid w:val="252209F9"/>
    <w:rsid w:val="27A56A4D"/>
    <w:rsid w:val="293E783A"/>
    <w:rsid w:val="2E825641"/>
    <w:rsid w:val="2FC72F9E"/>
    <w:rsid w:val="326E42CA"/>
    <w:rsid w:val="340805C4"/>
    <w:rsid w:val="34E56399"/>
    <w:rsid w:val="38E74FAB"/>
    <w:rsid w:val="39CE38A0"/>
    <w:rsid w:val="3AFD213B"/>
    <w:rsid w:val="3DFC634D"/>
    <w:rsid w:val="3F9024D6"/>
    <w:rsid w:val="44574D74"/>
    <w:rsid w:val="4478313B"/>
    <w:rsid w:val="448648CA"/>
    <w:rsid w:val="4B4B2FA2"/>
    <w:rsid w:val="4F751EFD"/>
    <w:rsid w:val="50344A78"/>
    <w:rsid w:val="50BF7C5D"/>
    <w:rsid w:val="50FB2D75"/>
    <w:rsid w:val="52672C2E"/>
    <w:rsid w:val="57185640"/>
    <w:rsid w:val="57266671"/>
    <w:rsid w:val="579FE4FA"/>
    <w:rsid w:val="58A1230D"/>
    <w:rsid w:val="58B24661"/>
    <w:rsid w:val="59F842F5"/>
    <w:rsid w:val="5BFDC890"/>
    <w:rsid w:val="5E6D2AFA"/>
    <w:rsid w:val="5F2BE56A"/>
    <w:rsid w:val="66275D7F"/>
    <w:rsid w:val="671D4941"/>
    <w:rsid w:val="673107C9"/>
    <w:rsid w:val="69701D6D"/>
    <w:rsid w:val="6DF758F9"/>
    <w:rsid w:val="6DFFCD9E"/>
    <w:rsid w:val="6E853B1C"/>
    <w:rsid w:val="6EBD5A97"/>
    <w:rsid w:val="71511EEF"/>
    <w:rsid w:val="71BB412E"/>
    <w:rsid w:val="720C2BDC"/>
    <w:rsid w:val="73204BA2"/>
    <w:rsid w:val="795310F0"/>
    <w:rsid w:val="7D7F2045"/>
    <w:rsid w:val="7D9F3A20"/>
    <w:rsid w:val="7DD39989"/>
    <w:rsid w:val="B7FE4D38"/>
    <w:rsid w:val="BBFF548B"/>
    <w:rsid w:val="DFFF69F1"/>
    <w:rsid w:val="E376E1AF"/>
    <w:rsid w:val="EFBF3993"/>
    <w:rsid w:val="FFEF2F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toc 1"/>
    <w:basedOn w:val="1"/>
    <w:next w:val="1"/>
    <w:qFormat/>
    <w:uiPriority w:val="39"/>
    <w:rPr>
      <w:rFonts w:ascii="Calibri" w:hAnsi="Calibri" w:eastAsia="宋体" w:cs="Times New Roman"/>
    </w:rPr>
  </w:style>
  <w:style w:type="paragraph" w:styleId="10">
    <w:name w:val="Body Text 2"/>
    <w:basedOn w:val="1"/>
    <w:qFormat/>
    <w:uiPriority w:val="0"/>
    <w:pPr>
      <w:spacing w:line="360" w:lineRule="auto"/>
    </w:pPr>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 w:type="character" w:customStyle="1" w:styleId="20">
    <w:name w:val="font21"/>
    <w:basedOn w:val="14"/>
    <w:qFormat/>
    <w:uiPriority w:val="0"/>
    <w:rPr>
      <w:rFonts w:hint="eastAsia" w:ascii="宋体" w:hAnsi="宋体" w:eastAsia="宋体" w:cs="宋体"/>
      <w:color w:val="000000"/>
      <w:sz w:val="22"/>
      <w:szCs w:val="22"/>
      <w:u w:val="single"/>
    </w:rPr>
  </w:style>
  <w:style w:type="character" w:customStyle="1" w:styleId="21">
    <w:name w:val="font51"/>
    <w:basedOn w:val="14"/>
    <w:qFormat/>
    <w:uiPriority w:val="0"/>
    <w:rPr>
      <w:rFonts w:hint="eastAsia" w:ascii="宋体" w:hAnsi="宋体" w:eastAsia="宋体" w:cs="宋体"/>
      <w:b/>
      <w:bCs/>
      <w:color w:val="000000"/>
      <w:sz w:val="22"/>
      <w:szCs w:val="22"/>
      <w:u w:val="single"/>
    </w:rPr>
  </w:style>
  <w:style w:type="character" w:customStyle="1" w:styleId="22">
    <w:name w:val="font91"/>
    <w:basedOn w:val="14"/>
    <w:qFormat/>
    <w:uiPriority w:val="0"/>
    <w:rPr>
      <w:rFonts w:hint="eastAsia" w:ascii="微软雅黑" w:hAnsi="微软雅黑" w:eastAsia="微软雅黑" w:cs="微软雅黑"/>
      <w:color w:val="000000"/>
      <w:sz w:val="24"/>
      <w:szCs w:val="24"/>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4452</Words>
  <Characters>4638</Characters>
  <Lines>0</Lines>
  <Paragraphs>0</Paragraphs>
  <TotalTime>0</TotalTime>
  <ScaleCrop>false</ScaleCrop>
  <LinksUpToDate>false</LinksUpToDate>
  <CharactersWithSpaces>4786</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2025-04-14T09:16:00Z</dcterms:created>
  <dc:creator>yang</dc:creator>
  <cp:lastModifiedBy>lxy</cp:lastModifiedBy>
  <dcterms:modified xsi:type="dcterms:W3CDTF">2026-06-18T17:43:55Z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500FEA5C9BC94CB89535D931E6CFC800_13</vt:lpwstr>
  </property>
  <property fmtid="{D5CDD505-2E9C-101B-9397-08002B2CF9AE}" pid="4" name="KSOTemplateDocerSaveRecord">
    <vt:lpwstr>eyJoZGlkIjoiNjI1M2EyYWJiMDc1NDk4Yzc0MzY5NDVhY2ZkY2UxZGEiLCJ1c2VySWQiOiI0MjEyNzAwNTAifQ==</vt:lpwstr>
  </property>
</Properties>
</file>