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2026年深圳市“龙华杯”青少年篮球比赛</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sz w:val="44"/>
          <w:szCs w:val="44"/>
          <w:lang w:val="en-US" w:eastAsia="zh-CN"/>
        </w:rPr>
        <w:t>项目</w:t>
      </w:r>
      <w:r>
        <w:rPr>
          <w:rFonts w:hint="eastAsia" w:ascii="方正小标宋简体" w:hAnsi="方正小标宋简体" w:eastAsia="方正小标宋简体" w:cs="方正小标宋简体"/>
          <w:sz w:val="44"/>
          <w:szCs w:val="44"/>
        </w:rPr>
        <w:t>需求书</w:t>
      </w:r>
    </w:p>
    <w:p>
      <w:pPr>
        <w:pStyle w:val="8"/>
        <w:spacing w:line="560" w:lineRule="exact"/>
        <w:jc w:val="center"/>
        <w:rPr>
          <w:rFonts w:ascii="方正小标宋简体" w:hAnsi="方正小标宋简体" w:eastAsia="方正小标宋简体" w:cs="方正小标宋简体"/>
          <w:spacing w:val="17"/>
          <w:sz w:val="44"/>
          <w:szCs w:val="44"/>
        </w:rPr>
      </w:pPr>
    </w:p>
    <w:p>
      <w:pPr>
        <w:numPr>
          <w:ilvl w:val="0"/>
          <w:numId w:val="1"/>
        </w:numPr>
        <w:tabs>
          <w:tab w:val="left" w:pos="1820"/>
        </w:tabs>
        <w:snapToGrid w:val="0"/>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项目目标</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eastAsia="仿宋_GB2312"/>
          <w:lang w:eastAsia="zh-CN"/>
        </w:rPr>
      </w:pPr>
      <w:r>
        <w:rPr>
          <w:rFonts w:hint="eastAsia" w:ascii="仿宋_GB2312" w:hAnsi="仿宋" w:eastAsia="仿宋_GB2312" w:cs="仿宋"/>
          <w:kern w:val="2"/>
          <w:sz w:val="32"/>
          <w:szCs w:val="32"/>
          <w:lang w:val="en-US" w:eastAsia="zh-CN" w:bidi="ar-SA"/>
        </w:rPr>
        <w:t>完成</w:t>
      </w:r>
      <w:r>
        <w:rPr>
          <w:rFonts w:hint="eastAsia" w:ascii="仿宋_GB2312" w:hAnsi="仿宋_GB2312" w:eastAsia="仿宋_GB2312" w:cs="仿宋_GB2312"/>
          <w:color w:val="000000"/>
          <w:kern w:val="0"/>
          <w:sz w:val="32"/>
          <w:szCs w:val="32"/>
          <w:lang w:val="en-US" w:eastAsia="zh-CN" w:bidi="ar"/>
        </w:rPr>
        <w:t>2026年深圳市“龙华杯”青少年篮球比赛</w:t>
      </w:r>
      <w:r>
        <w:rPr>
          <w:rFonts w:hint="eastAsia" w:ascii="仿宋_GB2312" w:hAnsi="仿宋" w:eastAsia="仿宋_GB2312" w:cs="仿宋"/>
          <w:kern w:val="2"/>
          <w:sz w:val="32"/>
          <w:szCs w:val="32"/>
          <w:lang w:val="en-US" w:eastAsia="zh-CN" w:bidi="ar-SA"/>
        </w:rPr>
        <w:t>落地执行。</w:t>
      </w:r>
    </w:p>
    <w:p>
      <w:pPr>
        <w:tabs>
          <w:tab w:val="left" w:pos="1820"/>
        </w:tabs>
        <w:snapToGrid w:val="0"/>
        <w:spacing w:line="560" w:lineRule="exact"/>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rPr>
        <w:t>二、</w:t>
      </w:r>
      <w:r>
        <w:rPr>
          <w:rFonts w:hint="eastAsia" w:ascii="黑体" w:hAnsi="黑体" w:eastAsia="黑体" w:cs="黑体"/>
          <w:bCs/>
          <w:sz w:val="32"/>
          <w:szCs w:val="32"/>
          <w:lang w:eastAsia="zh-CN"/>
        </w:rPr>
        <w:t>服务时间</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eastAsia="仿宋_GB2312"/>
          <w:sz w:val="32"/>
          <w:szCs w:val="32"/>
        </w:rPr>
      </w:pPr>
      <w:r>
        <w:rPr>
          <w:rFonts w:hint="default" w:ascii="仿宋_GB2312" w:eastAsia="仿宋_GB2312"/>
          <w:sz w:val="32"/>
          <w:szCs w:val="32"/>
          <w:lang w:val="en" w:eastAsia="zh-CN"/>
        </w:rPr>
        <w:t>202</w:t>
      </w:r>
      <w:r>
        <w:rPr>
          <w:rFonts w:hint="eastAsia" w:ascii="仿宋_GB2312" w:eastAsia="仿宋_GB2312"/>
          <w:sz w:val="32"/>
          <w:szCs w:val="32"/>
          <w:lang w:val="en-US" w:eastAsia="zh-CN"/>
        </w:rPr>
        <w:t>6</w:t>
      </w:r>
      <w:r>
        <w:rPr>
          <w:rFonts w:hint="default" w:ascii="仿宋_GB2312" w:eastAsia="仿宋_GB2312"/>
          <w:sz w:val="32"/>
          <w:szCs w:val="32"/>
          <w:lang w:val="en" w:eastAsia="zh-CN"/>
        </w:rPr>
        <w:t>年</w:t>
      </w:r>
      <w:r>
        <w:rPr>
          <w:rFonts w:hint="eastAsia" w:ascii="仿宋_GB2312" w:eastAsia="仿宋_GB2312"/>
          <w:sz w:val="32"/>
          <w:szCs w:val="32"/>
          <w:lang w:val="en-US" w:eastAsia="zh-CN"/>
        </w:rPr>
        <w:t>7-11</w:t>
      </w:r>
      <w:r>
        <w:rPr>
          <w:rFonts w:hint="default" w:ascii="仿宋_GB2312" w:eastAsia="仿宋_GB2312"/>
          <w:sz w:val="32"/>
          <w:szCs w:val="32"/>
          <w:lang w:val="en" w:eastAsia="zh-CN"/>
        </w:rPr>
        <w:t>月</w:t>
      </w:r>
      <w:r>
        <w:rPr>
          <w:rFonts w:hint="eastAsia" w:ascii="仿宋_GB2312" w:eastAsia="仿宋_GB2312"/>
          <w:sz w:val="32"/>
          <w:szCs w:val="32"/>
          <w:lang w:val="en" w:eastAsia="zh-CN"/>
        </w:rPr>
        <w:t>（</w:t>
      </w:r>
      <w:r>
        <w:rPr>
          <w:rFonts w:hint="eastAsia" w:ascii="仿宋_GB2312" w:eastAsia="仿宋_GB2312"/>
          <w:sz w:val="32"/>
          <w:szCs w:val="32"/>
          <w:lang w:val="en-US" w:eastAsia="zh-CN"/>
        </w:rPr>
        <w:t>暂定</w:t>
      </w:r>
      <w:r>
        <w:rPr>
          <w:rFonts w:hint="eastAsia" w:ascii="仿宋_GB2312" w:eastAsia="仿宋_GB2312"/>
          <w:sz w:val="32"/>
          <w:szCs w:val="32"/>
          <w:lang w:eastAsia="zh-CN"/>
        </w:rPr>
        <w:t>）</w:t>
      </w:r>
    </w:p>
    <w:p>
      <w:pPr>
        <w:tabs>
          <w:tab w:val="left" w:pos="1820"/>
        </w:tabs>
        <w:snapToGrid w:val="0"/>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三、</w:t>
      </w:r>
      <w:bookmarkStart w:id="0" w:name="OLE_LINK2"/>
      <w:r>
        <w:rPr>
          <w:rFonts w:hint="eastAsia" w:ascii="黑体" w:hAnsi="黑体" w:eastAsia="黑体" w:cs="黑体"/>
          <w:bCs/>
          <w:sz w:val="32"/>
          <w:szCs w:val="32"/>
        </w:rPr>
        <w:t>项目内容及要求</w:t>
      </w:r>
      <w:bookmarkEnd w:id="0"/>
    </w:p>
    <w:p>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（一）项目内容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为深化体教融合、完善全民健身公共服务体系、促进青少年健康成长，为龙华区内青少年篮球爱好者搭建专业竞技与交流平台，营造青少年体育发展良好氛围，推动龙华区青少年篮球事业发展，计划于2026年7月—11月开展2026年深圳市“龙华杯”青少年篮球比赛，赛事采用小组赛+淘汰赛的专业赛制，核心环节涵盖全流程赛事组织执行、竞赛编排、赛事保障、颁奖仪式等。</w:t>
      </w:r>
    </w:p>
    <w:p>
      <w:pPr>
        <w:numPr>
          <w:ilvl w:val="0"/>
          <w:numId w:val="2"/>
        </w:num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具体要求</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1.制定2026年深圳市“龙华杯”青少年篮球比赛具体实施方案和报价单；</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2.负责赛事场地布置、宣传海报、横幅设计、物料制作等工作；</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3.负责赛事全流程落地执行，涵盖人员调配、现场运营、赛事组织、竞赛编排等全环节；</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4.负责聘请裁判、主持、医疗、摄影摄像等各类专业工作人员并统筹调配；</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5.负责赛事保障、器材采购/租赁、工作餐饮、宣传推广等全品类物资与服务保障；</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6.负责主办方交办的其他事项。</w:t>
      </w:r>
    </w:p>
    <w:p>
      <w:pPr>
        <w:tabs>
          <w:tab w:val="left" w:pos="1820"/>
        </w:tabs>
        <w:snapToGrid w:val="0"/>
        <w:spacing w:line="560" w:lineRule="exact"/>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四、报价限额</w:t>
      </w:r>
    </w:p>
    <w:p>
      <w:pPr>
        <w:spacing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6"/>
          <w:lang w:val="en-US" w:eastAsia="zh-CN"/>
        </w:rPr>
        <w:t>25</w:t>
      </w:r>
      <w:r>
        <w:rPr>
          <w:rFonts w:hint="eastAsia" w:ascii="仿宋_GB2312" w:hAnsi="仿宋_GB2312" w:eastAsia="仿宋_GB2312" w:cs="仿宋_GB2312"/>
          <w:sz w:val="32"/>
          <w:szCs w:val="36"/>
          <w:lang w:eastAsia="zh-CN"/>
        </w:rPr>
        <w:t>万元，</w:t>
      </w:r>
      <w:r>
        <w:rPr>
          <w:rFonts w:hint="eastAsia" w:ascii="仿宋_GB2312" w:hAnsi="仿宋_GB2312" w:eastAsia="仿宋_GB2312" w:cs="仿宋_GB2312"/>
          <w:b/>
          <w:bCs/>
          <w:sz w:val="32"/>
          <w:szCs w:val="32"/>
          <w:lang w:eastAsia="zh-CN"/>
        </w:rPr>
        <w:t>项目报价表</w:t>
      </w:r>
      <w:r>
        <w:rPr>
          <w:rFonts w:hint="eastAsia" w:ascii="仿宋_GB2312" w:hAnsi="仿宋_GB2312" w:eastAsia="仿宋_GB2312" w:cs="仿宋_GB2312"/>
          <w:sz w:val="32"/>
          <w:szCs w:val="32"/>
        </w:rPr>
        <w:t>需</w:t>
      </w:r>
      <w:r>
        <w:rPr>
          <w:rFonts w:hint="eastAsia" w:ascii="仿宋_GB2312" w:hAnsi="仿宋_GB2312" w:eastAsia="仿宋_GB2312" w:cs="仿宋_GB2312"/>
          <w:sz w:val="32"/>
          <w:szCs w:val="32"/>
          <w:lang w:eastAsia="zh-CN"/>
        </w:rPr>
        <w:t>与下表</w:t>
      </w:r>
      <w:r>
        <w:rPr>
          <w:rFonts w:hint="eastAsia" w:ascii="仿宋_GB2312" w:hAnsi="仿宋_GB2312" w:eastAsia="仿宋_GB2312" w:cs="仿宋_GB2312"/>
          <w:sz w:val="32"/>
          <w:szCs w:val="32"/>
        </w:rPr>
        <w:t>保持一致</w:t>
      </w:r>
      <w:r>
        <w:rPr>
          <w:rFonts w:hint="eastAsia" w:ascii="仿宋_GB2312" w:hAnsi="仿宋_GB2312" w:eastAsia="仿宋_GB2312" w:cs="仿宋_GB2312"/>
          <w:sz w:val="32"/>
          <w:szCs w:val="32"/>
          <w:lang w:eastAsia="zh-CN"/>
        </w:rPr>
        <w:t>：</w:t>
      </w:r>
    </w:p>
    <w:tbl>
      <w:tblPr>
        <w:tblStyle w:val="12"/>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3"/>
        <w:gridCol w:w="1083"/>
        <w:gridCol w:w="5804"/>
        <w:gridCol w:w="693"/>
        <w:gridCol w:w="3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2026年深圳市“龙华杯”青少年篮球比赛报价单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序号</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项目</w:t>
            </w:r>
          </w:p>
        </w:tc>
        <w:tc>
          <w:tcPr>
            <w:tcW w:w="5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内容说明</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数量</w:t>
            </w:r>
          </w:p>
        </w:tc>
        <w:tc>
          <w:tcPr>
            <w:tcW w:w="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一、奖杯、奖牌、证书制作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奖杯</w:t>
            </w:r>
          </w:p>
        </w:tc>
        <w:tc>
          <w:tcPr>
            <w:tcW w:w="5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4个组别；各组别前3名，3×4</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12 </w:t>
            </w:r>
          </w:p>
        </w:tc>
        <w:tc>
          <w:tcPr>
            <w:tcW w:w="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奖牌</w:t>
            </w:r>
          </w:p>
        </w:tc>
        <w:tc>
          <w:tcPr>
            <w:tcW w:w="5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4个组别；前4名  4×4×15 （每队15人）</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240 </w:t>
            </w:r>
          </w:p>
        </w:tc>
        <w:tc>
          <w:tcPr>
            <w:tcW w:w="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奖状证书</w:t>
            </w:r>
          </w:p>
        </w:tc>
        <w:tc>
          <w:tcPr>
            <w:tcW w:w="5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优秀教练员证书（各组前3名队伍，4×3）；各组别前4名的运动员 4×4×15，备用证书8张</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260 </w:t>
            </w:r>
          </w:p>
        </w:tc>
        <w:tc>
          <w:tcPr>
            <w:tcW w:w="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牌匾</w:t>
            </w:r>
          </w:p>
        </w:tc>
        <w:tc>
          <w:tcPr>
            <w:tcW w:w="5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体育道德风尚奖   各组3名 3×4</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12 </w:t>
            </w:r>
          </w:p>
        </w:tc>
        <w:tc>
          <w:tcPr>
            <w:tcW w:w="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二、工作人员费用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比赛用水</w:t>
            </w:r>
          </w:p>
        </w:tc>
        <w:tc>
          <w:tcPr>
            <w:tcW w:w="5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比赛用水（25箱/天；16天，含裁判员、工作人员、运动员、教练、领队等）</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400</w:t>
            </w:r>
          </w:p>
        </w:tc>
        <w:tc>
          <w:tcPr>
            <w:tcW w:w="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工作用餐</w:t>
            </w:r>
          </w:p>
        </w:tc>
        <w:tc>
          <w:tcPr>
            <w:tcW w:w="5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工作用餐（21份/天，16天午餐；21人，含裁判16人、工作人员5人）</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bidi="ar"/>
              </w:rPr>
              <w:t>336</w:t>
            </w:r>
          </w:p>
        </w:tc>
        <w:tc>
          <w:tcPr>
            <w:tcW w:w="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竞赛编排与统筹</w:t>
            </w:r>
          </w:p>
        </w:tc>
        <w:tc>
          <w:tcPr>
            <w:tcW w:w="5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2人，前期报名、竞赛编排、抽签、比赛成绩统计、赛事组织等工作，工作16天</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w:t>
            </w:r>
          </w:p>
        </w:tc>
        <w:tc>
          <w:tcPr>
            <w:tcW w:w="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裁判长劳务费</w:t>
            </w:r>
          </w:p>
        </w:tc>
        <w:tc>
          <w:tcPr>
            <w:tcW w:w="5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每天1名裁判长，16天</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裁判员劳务费</w:t>
            </w:r>
          </w:p>
        </w:tc>
        <w:tc>
          <w:tcPr>
            <w:tcW w:w="5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每天15名裁判（3人执裁+2人记录台，3片场地），16天</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240</w:t>
            </w:r>
          </w:p>
        </w:tc>
        <w:tc>
          <w:tcPr>
            <w:tcW w:w="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工作人员劳务费</w:t>
            </w:r>
          </w:p>
        </w:tc>
        <w:tc>
          <w:tcPr>
            <w:tcW w:w="5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每天5名工作人员，16天</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80</w:t>
            </w:r>
          </w:p>
        </w:tc>
        <w:tc>
          <w:tcPr>
            <w:tcW w:w="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医疗人员</w:t>
            </w:r>
          </w:p>
        </w:tc>
        <w:tc>
          <w:tcPr>
            <w:tcW w:w="5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2名医疗人员加急救物资 250元/人/天，16天</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w:t>
            </w:r>
          </w:p>
        </w:tc>
        <w:tc>
          <w:tcPr>
            <w:tcW w:w="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主持人</w:t>
            </w:r>
          </w:p>
        </w:tc>
        <w:tc>
          <w:tcPr>
            <w:tcW w:w="5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颁奖仪式主持人，1天</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摄影人员</w:t>
            </w:r>
          </w:p>
        </w:tc>
        <w:tc>
          <w:tcPr>
            <w:tcW w:w="5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每天1名摄影人员（含照片直播平台搭建）,16天</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赛事mc</w:t>
            </w:r>
          </w:p>
        </w:tc>
        <w:tc>
          <w:tcPr>
            <w:tcW w:w="5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决赛2天  </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三、其他项目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秩序册</w:t>
            </w:r>
          </w:p>
        </w:tc>
        <w:tc>
          <w:tcPr>
            <w:tcW w:w="5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排版印刷赛事秩序册</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10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场地布置</w:t>
            </w:r>
          </w:p>
        </w:tc>
        <w:tc>
          <w:tcPr>
            <w:tcW w:w="5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背景板3m*10m（框架搭建）、颁奖台</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17</w:t>
            </w:r>
          </w:p>
        </w:tc>
        <w:tc>
          <w:tcPr>
            <w:tcW w:w="10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微软雅黑" w:hAnsi="微软雅黑" w:eastAsia="微软雅黑" w:cs="微软雅黑"/>
                <w:i w:val="0"/>
                <w:iCs w:val="0"/>
                <w:color w:val="000000"/>
                <w:sz w:val="20"/>
                <w:szCs w:val="20"/>
                <w:u w:val="none"/>
              </w:rPr>
            </w:pPr>
          </w:p>
        </w:tc>
        <w:tc>
          <w:tcPr>
            <w:tcW w:w="5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A字板、海报、横幅、音箱、指示牌、手举牌、成绩公告栏等含搭建布置</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w:t>
            </w:r>
          </w:p>
        </w:tc>
        <w:tc>
          <w:tcPr>
            <w:tcW w:w="1083"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体育用品</w:t>
            </w:r>
          </w:p>
        </w:tc>
        <w:tc>
          <w:tcPr>
            <w:tcW w:w="5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比赛用球</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w:t>
            </w:r>
          </w:p>
        </w:tc>
        <w:tc>
          <w:tcPr>
            <w:tcW w:w="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19</w:t>
            </w:r>
          </w:p>
        </w:tc>
        <w:tc>
          <w:tcPr>
            <w:tcW w:w="1083" w:type="dxa"/>
            <w:vMerge w:val="continue"/>
            <w:tcBorders>
              <w:top w:val="nil"/>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微软雅黑" w:hAnsi="微软雅黑" w:eastAsia="微软雅黑" w:cs="微软雅黑"/>
                <w:i w:val="0"/>
                <w:iCs w:val="0"/>
                <w:color w:val="000000"/>
                <w:sz w:val="20"/>
                <w:szCs w:val="20"/>
                <w:u w:val="none"/>
              </w:rPr>
            </w:pPr>
          </w:p>
        </w:tc>
        <w:tc>
          <w:tcPr>
            <w:tcW w:w="5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哨子、比分牌租赁、赛事器具等</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物料运输</w:t>
            </w:r>
          </w:p>
        </w:tc>
        <w:tc>
          <w:tcPr>
            <w:tcW w:w="5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物料运输（背景板框架、赛事所需器具等），共8趟</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宣传费</w:t>
            </w:r>
          </w:p>
        </w:tc>
        <w:tc>
          <w:tcPr>
            <w:tcW w:w="5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赛事报道、总结，稿件600-1000字以内</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w:t>
            </w:r>
          </w:p>
        </w:tc>
        <w:tc>
          <w:tcPr>
            <w:tcW w:w="1083"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赛事设计费</w:t>
            </w:r>
          </w:p>
        </w:tc>
        <w:tc>
          <w:tcPr>
            <w:tcW w:w="5804"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设计（背景板、奖杯、奖牌、牌匾、证书、场地A字板、横幅、海报等）</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23</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喷雾机</w:t>
            </w:r>
          </w:p>
        </w:tc>
        <w:tc>
          <w:tcPr>
            <w:tcW w:w="5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6台喷雾机、用于颁奖仪式（租赁）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24</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小篮球架</w:t>
            </w:r>
          </w:p>
        </w:tc>
        <w:tc>
          <w:tcPr>
            <w:tcW w:w="5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16天含运输费 （租赁）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地面LED</w:t>
            </w:r>
          </w:p>
        </w:tc>
        <w:tc>
          <w:tcPr>
            <w:tcW w:w="5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长LED：长9.6m*高0.96m分辨率:3200*320</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短LED：长3.84m*高0.96m分辨率:1280*320，含来回运费及安装（租赁）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26</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门型架</w:t>
            </w:r>
          </w:p>
        </w:tc>
        <w:tc>
          <w:tcPr>
            <w:tcW w:w="58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车贴裱KT板：桁架6*4m(内空4*3m)，含安装及来回运输</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投标价格（万元）：</w:t>
            </w:r>
            <w:r>
              <w:rPr>
                <w:rFonts w:hint="eastAsia" w:ascii="微软雅黑" w:hAnsi="微软雅黑" w:eastAsia="微软雅黑" w:cs="微软雅黑"/>
                <w:i w:val="0"/>
                <w:iCs w:val="0"/>
                <w:color w:val="000000"/>
                <w:kern w:val="0"/>
                <w:sz w:val="24"/>
                <w:szCs w:val="24"/>
                <w:u w:val="single"/>
                <w:lang w:val="en-US" w:eastAsia="zh-CN" w:bidi="ar"/>
              </w:rPr>
              <w:t xml:space="preserve">                 </w:t>
            </w:r>
            <w:r>
              <w:rPr>
                <w:rFonts w:hint="eastAsia" w:ascii="微软雅黑" w:hAnsi="微软雅黑" w:eastAsia="微软雅黑" w:cs="微软雅黑"/>
                <w:i w:val="0"/>
                <w:iCs w:val="0"/>
                <w:color w:val="000000"/>
                <w:kern w:val="0"/>
                <w:sz w:val="24"/>
                <w:szCs w:val="24"/>
                <w:u w:val="none"/>
                <w:lang w:val="en-US" w:eastAsia="zh-CN" w:bidi="ar"/>
              </w:rPr>
              <w:t xml:space="preserve"> （以万元为单位，最多保留两位小数）</w:t>
            </w:r>
          </w:p>
        </w:tc>
      </w:tr>
    </w:tbl>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bCs/>
          <w:sz w:val="32"/>
          <w:szCs w:val="32"/>
        </w:rPr>
        <w:t>五、</w:t>
      </w:r>
      <w:r>
        <w:rPr>
          <w:rFonts w:hint="eastAsia" w:ascii="黑体" w:hAnsi="黑体" w:eastAsia="黑体" w:cs="黑体"/>
          <w:sz w:val="32"/>
          <w:szCs w:val="32"/>
        </w:rPr>
        <w:t>供应商的资质要求</w:t>
      </w:r>
    </w:p>
    <w:p>
      <w:pPr>
        <w:pStyle w:val="15"/>
        <w:spacing w:line="560" w:lineRule="exact"/>
        <w:ind w:firstLine="640"/>
        <w:rPr>
          <w:rFonts w:ascii="仿宋_GB2312" w:hAnsi="仿宋" w:eastAsia="仿宋_GB2312" w:cs="仿宋"/>
          <w:sz w:val="32"/>
          <w:szCs w:val="32"/>
        </w:rPr>
      </w:pPr>
      <w:r>
        <w:rPr>
          <w:rFonts w:hint="eastAsia" w:ascii="仿宋_GB2312" w:hAnsi="仿宋" w:eastAsia="仿宋_GB2312" w:cs="仿宋"/>
          <w:sz w:val="32"/>
          <w:szCs w:val="32"/>
        </w:rPr>
        <w:t>（一）在中国境内注册的独立法人或其他组织（提供营业执照、事业法人证书、社会团体法人登记证书等扫描件）；</w:t>
      </w:r>
      <w:r>
        <w:rPr>
          <w:rFonts w:hint="eastAsia" w:ascii="仿宋_GB2312" w:hAnsi="仿宋" w:eastAsia="仿宋_GB2312" w:cs="仿宋"/>
          <w:bCs/>
          <w:kern w:val="2"/>
          <w:sz w:val="32"/>
          <w:szCs w:val="32"/>
          <w:lang w:val="en-US" w:eastAsia="zh-CN" w:bidi="ar-SA"/>
        </w:rPr>
        <w:t>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pStyle w:val="15"/>
        <w:spacing w:line="560" w:lineRule="exact"/>
        <w:ind w:firstLine="640"/>
        <w:jc w:val="left"/>
        <w:rPr>
          <w:rFonts w:hint="eastAsia" w:ascii="仿宋_GB2312" w:hAnsi="仿宋" w:eastAsia="仿宋_GB2312" w:cs="仿宋"/>
          <w:sz w:val="32"/>
          <w:szCs w:val="32"/>
          <w:lang w:eastAsia="zh-CN"/>
        </w:rPr>
      </w:pPr>
      <w:r>
        <w:rPr>
          <w:rFonts w:hint="eastAsia" w:ascii="仿宋_GB2312" w:hAnsi="仿宋" w:eastAsia="仿宋_GB2312" w:cs="仿宋"/>
          <w:sz w:val="32"/>
          <w:szCs w:val="32"/>
        </w:rPr>
        <w:t>（二）参与本项目投标近三年内（供应商成立不足三年的可从成立之日起算），在经营活动中没有重大违法记录以及不存在被有关部门禁止参与政府采购活动且在有效期内的情况</w:t>
      </w:r>
      <w:r>
        <w:rPr>
          <w:rFonts w:hint="eastAsia" w:ascii="仿宋_GB2312" w:hAnsi="仿宋" w:cs="仿宋"/>
          <w:sz w:val="32"/>
          <w:szCs w:val="32"/>
          <w:lang w:eastAsia="zh-CN"/>
        </w:rPr>
        <w:t>；</w:t>
      </w:r>
    </w:p>
    <w:p>
      <w:pPr>
        <w:pStyle w:val="15"/>
        <w:spacing w:line="560" w:lineRule="exact"/>
        <w:ind w:firstLine="640"/>
        <w:jc w:val="left"/>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（三）</w:t>
      </w:r>
      <w:r>
        <w:rPr>
          <w:rFonts w:hint="eastAsia" w:ascii="仿宋_GB2312" w:hAnsi="仿宋" w:eastAsia="仿宋_GB2312" w:cs="仿宋"/>
          <w:bCs/>
          <w:kern w:val="2"/>
          <w:sz w:val="32"/>
          <w:szCs w:val="3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highlight w:val="none"/>
        </w:rPr>
        <w:t>，不得同时参加本项目的采购活动</w:t>
      </w:r>
      <w:r>
        <w:rPr>
          <w:rFonts w:hint="eastAsia" w:ascii="仿宋_GB2312" w:hAnsi="仿宋" w:cs="仿宋"/>
          <w:sz w:val="32"/>
          <w:szCs w:val="32"/>
          <w:highlight w:val="none"/>
          <w:lang w:eastAsia="zh-CN"/>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六、选定供应商方法</w:t>
      </w:r>
    </w:p>
    <w:p>
      <w:pPr>
        <w:spacing w:line="560" w:lineRule="exact"/>
        <w:ind w:firstLine="640" w:firstLineChars="200"/>
        <w:rPr>
          <w:rFonts w:hint="eastAsia" w:ascii="仿宋_GB2312" w:hAnsi="仿宋" w:eastAsia="仿宋_GB2312"/>
          <w:sz w:val="32"/>
          <w:highlight w:val="none"/>
          <w:lang w:val="en-US" w:eastAsia="zh-CN"/>
        </w:rPr>
      </w:pPr>
      <w:r>
        <w:rPr>
          <w:rFonts w:hint="eastAsia" w:ascii="仿宋_GB2312" w:hAnsi="仿宋" w:eastAsia="仿宋_GB2312"/>
          <w:sz w:val="32"/>
          <w:highlight w:val="none"/>
        </w:rPr>
        <w:t>综合评分法</w:t>
      </w:r>
    </w:p>
    <w:p>
      <w:pPr>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rPr>
        <w:t>七、评分要求</w:t>
      </w:r>
    </w:p>
    <w:p>
      <w:pPr>
        <w:pStyle w:val="17"/>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（一）评分规则</w:t>
      </w:r>
    </w:p>
    <w:p>
      <w:pPr>
        <w:spacing w:line="560" w:lineRule="exact"/>
        <w:ind w:firstLine="640" w:firstLineChars="200"/>
      </w:pPr>
      <w:r>
        <w:rPr>
          <w:rFonts w:hint="eastAsia" w:ascii="仿宋_GB2312" w:eastAsia="仿宋_GB2312"/>
          <w:color w:val="000000"/>
          <w:sz w:val="32"/>
          <w:szCs w:val="32"/>
        </w:rPr>
        <w:t>采取综合评分标准，平均分最高的投标人为本项目中标人。</w:t>
      </w:r>
    </w:p>
    <w:p>
      <w:pPr>
        <w:pStyle w:val="17"/>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（二）评分权重</w:t>
      </w:r>
    </w:p>
    <w:tbl>
      <w:tblPr>
        <w:tblStyle w:val="12"/>
        <w:tblW w:w="835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9"/>
        <w:gridCol w:w="2089"/>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评分内容</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商务</w:t>
            </w:r>
            <w:r>
              <w:rPr>
                <w:rFonts w:hint="eastAsia" w:ascii="仿宋_GB2312" w:hAnsi="仿宋_GB2312" w:eastAsia="仿宋_GB2312" w:cs="仿宋_GB2312"/>
                <w:b w:val="0"/>
                <w:bCs/>
                <w:szCs w:val="24"/>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技术</w:t>
            </w:r>
            <w:r>
              <w:rPr>
                <w:rFonts w:hint="eastAsia" w:ascii="仿宋_GB2312" w:hAnsi="仿宋_GB2312" w:eastAsia="仿宋_GB2312" w:cs="仿宋_GB2312"/>
                <w:b w:val="0"/>
                <w:bCs/>
                <w:szCs w:val="24"/>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分值</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25分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45分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30分</w:t>
            </w:r>
          </w:p>
        </w:tc>
      </w:tr>
    </w:tbl>
    <w:p>
      <w:pPr>
        <w:pStyle w:val="17"/>
        <w:spacing w:line="560" w:lineRule="exact"/>
        <w:ind w:firstLine="640" w:firstLineChars="200"/>
        <w:rPr>
          <w:rFonts w:ascii="仿宋_GB2312" w:eastAsia="仿宋_GB2312"/>
          <w:sz w:val="32"/>
          <w:szCs w:val="32"/>
        </w:rPr>
      </w:pPr>
      <w:r>
        <w:rPr>
          <w:rFonts w:hint="eastAsia" w:ascii="楷体_GB2312" w:hAnsi="楷体_GB2312" w:eastAsia="楷体_GB2312" w:cs="楷体_GB2312"/>
          <w:b w:val="0"/>
          <w:bCs/>
          <w:color w:val="000000"/>
          <w:sz w:val="32"/>
          <w:szCs w:val="32"/>
        </w:rPr>
        <w:t>（三）评分标准</w:t>
      </w:r>
    </w:p>
    <w:tbl>
      <w:tblPr>
        <w:tblStyle w:val="13"/>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861"/>
        <w:gridCol w:w="6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报价</w:t>
            </w:r>
          </w:p>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30分</w:t>
            </w:r>
            <w:r>
              <w:rPr>
                <w:rFonts w:hint="eastAsia" w:ascii="仿宋_GB2312" w:hAnsi="仿宋_GB2312" w:eastAsia="仿宋_GB2312" w:cs="仿宋_GB2312"/>
                <w:sz w:val="24"/>
                <w:szCs w:val="24"/>
                <w:vertAlign w:val="baseline"/>
                <w:lang w:eastAsia="zh-CN"/>
              </w:rPr>
              <w:t>）</w:t>
            </w:r>
          </w:p>
        </w:tc>
        <w:tc>
          <w:tcPr>
            <w:tcW w:w="861"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评分因素</w:t>
            </w:r>
          </w:p>
        </w:tc>
        <w:tc>
          <w:tcPr>
            <w:tcW w:w="6916"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价格</w:t>
            </w:r>
          </w:p>
        </w:tc>
        <w:tc>
          <w:tcPr>
            <w:tcW w:w="6916"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以本次报价或投标人所报的有效报价中的最低价作为基准报价。投标人报价得分=（基准价/投标人报价）*30分。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商务</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部分</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25分</w:t>
            </w:r>
            <w:r>
              <w:rPr>
                <w:rFonts w:hint="eastAsia" w:ascii="仿宋_GB2312" w:hAnsi="仿宋_GB2312" w:eastAsia="仿宋_GB2312" w:cs="仿宋_GB2312"/>
                <w:sz w:val="24"/>
                <w:szCs w:val="24"/>
                <w:vertAlign w:val="baseline"/>
                <w:lang w:eastAsia="zh-CN"/>
              </w:rPr>
              <w:t>）</w:t>
            </w:r>
          </w:p>
        </w:tc>
        <w:tc>
          <w:tcPr>
            <w:tcW w:w="861"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评分因素</w:t>
            </w:r>
          </w:p>
        </w:tc>
        <w:tc>
          <w:tcPr>
            <w:tcW w:w="6916"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lang w:eastAsia="zh-CN"/>
              </w:rPr>
              <w:t>同类项目经验（</w:t>
            </w:r>
            <w:r>
              <w:rPr>
                <w:rFonts w:hint="eastAsia" w:ascii="仿宋_GB2312" w:hAnsi="仿宋_GB2312" w:eastAsia="仿宋_GB2312" w:cs="仿宋_GB2312"/>
                <w:sz w:val="24"/>
                <w:szCs w:val="24"/>
                <w:lang w:val="en-US" w:eastAsia="zh-CN"/>
              </w:rPr>
              <w:t>10分</w:t>
            </w:r>
            <w:r>
              <w:rPr>
                <w:rFonts w:hint="eastAsia" w:ascii="仿宋_GB2312" w:hAnsi="仿宋_GB2312" w:eastAsia="仿宋_GB2312" w:cs="仿宋_GB2312"/>
                <w:sz w:val="24"/>
                <w:szCs w:val="24"/>
                <w:lang w:eastAsia="zh-CN"/>
              </w:rPr>
              <w:t>）</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（一）评审内容：</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投标人自202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年1月1日至本项目投标截止日（以合同签订日期为准），</w:t>
            </w:r>
            <w:r>
              <w:rPr>
                <w:rFonts w:hint="eastAsia" w:ascii="仿宋_GB2312" w:hAnsi="仿宋_GB2312" w:eastAsia="仿宋_GB2312" w:cs="仿宋_GB2312"/>
                <w:sz w:val="24"/>
                <w:szCs w:val="24"/>
                <w:lang w:val="en-US" w:eastAsia="zh-CN"/>
              </w:rPr>
              <w:t>每提供一项相关组织体育类活动</w:t>
            </w:r>
            <w:r>
              <w:rPr>
                <w:rFonts w:hint="eastAsia" w:ascii="仿宋_GB2312" w:hAnsi="仿宋_GB2312" w:eastAsia="仿宋_GB2312" w:cs="仿宋_GB2312"/>
                <w:sz w:val="24"/>
                <w:szCs w:val="24"/>
                <w:lang w:eastAsia="zh-CN"/>
              </w:rPr>
              <w:t>项目业绩得</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分，最高得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r>
              <w:rPr>
                <w:rFonts w:hint="eastAsia" w:ascii="仿宋_GB2312" w:hAnsi="仿宋_GB2312" w:eastAsia="仿宋_GB2312" w:cs="仿宋_GB2312"/>
                <w:sz w:val="24"/>
                <w:szCs w:val="24"/>
                <w:lang w:val="en-US" w:eastAsia="zh-CN"/>
              </w:rPr>
              <w:t>。</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每项业绩按以下要求提供完整准确的证明文件，一个合同计算一个业绩，一年一签的续签合同只计算一个业绩：</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合同关键页（关键信息包括但不仅限于合同的项目名称、服务内容、合同服务的起止时间、合同双方的盖章、签订日期等）；</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未提供证明材料或者提供的证明材料不符合要求或提供的证明材料不清晰导致（临时）采购小组无法辨认的，不得分。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拟安排项目团队成员</w:t>
            </w:r>
          </w:p>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（10分）</w:t>
            </w:r>
          </w:p>
        </w:tc>
        <w:tc>
          <w:tcPr>
            <w:tcW w:w="6916" w:type="dxa"/>
            <w:shd w:val="clear" w:color="auto" w:fill="auto"/>
            <w:noWrap w:val="0"/>
            <w:vAlign w:val="center"/>
          </w:tcPr>
          <w:p>
            <w:pPr>
              <w:numPr>
                <w:ilvl w:val="0"/>
                <w:numId w:val="3"/>
              </w:numPr>
              <w:topLinePunct/>
              <w:snapToGrid w:val="0"/>
              <w:jc w:val="both"/>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评审内容</w:t>
            </w:r>
          </w:p>
          <w:p>
            <w:pPr>
              <w:numPr>
                <w:ilvl w:val="0"/>
                <w:numId w:val="0"/>
              </w:numPr>
              <w:topLinePunct/>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拟安排的项目团队成员情况：</w:t>
            </w:r>
          </w:p>
          <w:p>
            <w:pPr>
              <w:topLinePunct/>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每提供一类专业学历证明资料的得分比例要求如下：具有</w:t>
            </w:r>
            <w:r>
              <w:rPr>
                <w:rFonts w:hint="eastAsia" w:ascii="仿宋_GB2312" w:hAnsi="宋体" w:eastAsia="仿宋_GB2312" w:cs="仿宋_GB2312"/>
                <w:i w:val="0"/>
                <w:iCs w:val="0"/>
                <w:color w:val="000000"/>
                <w:kern w:val="0"/>
                <w:sz w:val="24"/>
                <w:szCs w:val="24"/>
                <w:u w:val="none"/>
                <w:lang w:val="en-US" w:eastAsia="zh-CN" w:bidi="ar"/>
              </w:rPr>
              <w:t>相关体育专业大专学历得1分；具有相关体育专业本科及以上学历得2分，</w:t>
            </w:r>
            <w:r>
              <w:rPr>
                <w:rFonts w:hint="eastAsia" w:ascii="仿宋_GB2312" w:hAnsi="仿宋_GB2312" w:eastAsia="仿宋_GB2312" w:cs="仿宋_GB2312"/>
                <w:sz w:val="24"/>
                <w:szCs w:val="24"/>
                <w:lang w:eastAsia="zh-CN"/>
              </w:rPr>
              <w:t>本项最高得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p>
          <w:p>
            <w:pPr>
              <w:topLinePunct/>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（注：提供重复学历按最高得分为准，同一人学历不参与累计分值。）</w:t>
            </w:r>
          </w:p>
          <w:p>
            <w:pPr>
              <w:topLinePunct/>
              <w:snapToGrid w:val="0"/>
              <w:jc w:val="both"/>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topLinePunct/>
              <w:snapToGrid w:val="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提供毕业证书扫描件、学历信息在学信网查询结果截图，原件备查。</w:t>
            </w:r>
          </w:p>
          <w:p>
            <w:pPr>
              <w:pStyle w:val="2"/>
              <w:ind w:left="0" w:leftChars="0" w:firstLine="0" w:firstLineChars="0"/>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2.以上证明文件原件备查，未提供或未按要求提供或提供的不清晰导致（临时）采购小组无法判断的，不得分。</w:t>
            </w:r>
          </w:p>
          <w:p>
            <w:pPr>
              <w:topLinePunct/>
              <w:snapToGrid w:val="0"/>
              <w:jc w:val="left"/>
              <w:rPr>
                <w:rFonts w:hint="eastAsia" w:ascii="仿宋_GB2312" w:hAnsi="仿宋_GB2312" w:eastAsia="仿宋_GB2312" w:cs="仿宋_GB2312"/>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项目完成（服务期满）</w:t>
            </w:r>
          </w:p>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后的服务承诺（</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sz w:val="24"/>
                <w:szCs w:val="24"/>
                <w:lang w:val="en-US" w:eastAsia="zh-CN"/>
              </w:rPr>
              <w:t>分）</w:t>
            </w:r>
          </w:p>
        </w:tc>
        <w:tc>
          <w:tcPr>
            <w:tcW w:w="6916"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（一）</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内容：</w:t>
            </w:r>
          </w:p>
          <w:p>
            <w:pPr>
              <w:keepNext w:val="0"/>
              <w:keepLines w:val="0"/>
              <w:pageBreakBefore w:val="0"/>
              <w:widowControl w:val="0"/>
              <w:kinsoku/>
              <w:wordWrap/>
              <w:overflowPunct/>
              <w:autoSpaceDE/>
              <w:autoSpaceDN/>
              <w:bidi w:val="0"/>
              <w:adjustRightInd/>
              <w:snapToGrid w:val="0"/>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根据针对本项目做出的服务承诺，考察包括但不限于以下内容：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1.在服务期满后主动交接项目相关资料；</w:t>
            </w:r>
          </w:p>
          <w:p>
            <w:pPr>
              <w:keepNext w:val="0"/>
              <w:keepLines w:val="0"/>
              <w:pageBreakBefore w:val="0"/>
              <w:widowControl w:val="0"/>
              <w:numPr>
                <w:ilvl w:val="-1"/>
                <w:numId w:val="0"/>
              </w:numPr>
              <w:kinsoku/>
              <w:wordWrap/>
              <w:overflowPunct/>
              <w:autoSpaceDE/>
              <w:autoSpaceDN/>
              <w:bidi w:val="0"/>
              <w:adjustRightInd/>
              <w:snapToGrid w:val="0"/>
              <w:spacing w:line="240" w:lineRule="auto"/>
              <w:jc w:val="both"/>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2.配合项目检查审计等事项。</w:t>
            </w:r>
          </w:p>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（二）</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依据：</w:t>
            </w:r>
          </w:p>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highlight w:val="none"/>
              </w:rPr>
              <w:t>提供</w:t>
            </w:r>
            <w:r>
              <w:rPr>
                <w:rFonts w:hint="eastAsia" w:ascii="仿宋_GB2312" w:hAnsi="仿宋_GB2312" w:eastAsia="仿宋_GB2312" w:cs="仿宋_GB2312"/>
                <w:sz w:val="24"/>
                <w:szCs w:val="24"/>
                <w:highlight w:val="none"/>
                <w:lang w:eastAsia="zh-CN"/>
              </w:rPr>
              <w:t>服务</w:t>
            </w:r>
            <w:r>
              <w:rPr>
                <w:rFonts w:hint="eastAsia" w:ascii="仿宋_GB2312" w:hAnsi="仿宋_GB2312" w:eastAsia="仿宋_GB2312" w:cs="仿宋_GB2312"/>
                <w:sz w:val="24"/>
                <w:szCs w:val="24"/>
                <w:highlight w:val="none"/>
              </w:rPr>
              <w:t>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技术部分（45分）</w:t>
            </w: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实施方案</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lang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25分</w:t>
            </w:r>
            <w:r>
              <w:rPr>
                <w:rFonts w:hint="eastAsia" w:ascii="仿宋_GB2312" w:hAnsi="仿宋_GB2312" w:eastAsia="仿宋_GB2312" w:cs="仿宋_GB2312"/>
                <w:sz w:val="24"/>
                <w:szCs w:val="24"/>
                <w:vertAlign w:val="baseline"/>
                <w:lang w:eastAsia="zh-CN"/>
              </w:rPr>
              <w:t>）</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根据投标人提供的实施方案，考察包括但不限于：</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1.对项目需求的认识和理解；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2.项目目标和成果；</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3.组织架构和人员管理；</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4.工作思路和流程。</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满足以上任意一项要求得4分，最高16得分，在此基础上。</w:t>
            </w:r>
            <w:r>
              <w:rPr>
                <w:rFonts w:hint="eastAsia" w:ascii="仿宋_GB2312" w:hAnsi="仿宋_GB2312" w:eastAsia="仿宋_GB2312" w:cs="仿宋_GB2312"/>
                <w:sz w:val="24"/>
                <w:szCs w:val="24"/>
              </w:rPr>
              <w:t>根据各供应商的具体响应内容按照量化的评审因素指标进一步评审，设定优、良、中、差四个评分标准：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1.优：项目实施方案内容全面、具体、针对性强、科学合理、可操作性强得9分；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2.良：项目实施方案内容较全面、较具体、针对性较强、较科学合理、可操作性较强得7分；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3.中：项目实施方案内容较基本全面、一般具体、针对性一般、一般科学合理、可操作性一般得5分；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lang w:eastAsia="zh-CN"/>
              </w:rPr>
            </w:pPr>
            <w:r>
              <w:rPr>
                <w:rFonts w:hint="eastAsia" w:ascii="仿宋_GB2312" w:hAnsi="仿宋_GB2312" w:eastAsia="仿宋_GB2312" w:cs="仿宋_GB2312"/>
                <w:color w:val="auto"/>
                <w:sz w:val="24"/>
                <w:szCs w:val="24"/>
                <w:highlight w:val="none"/>
                <w:lang w:val="en-US" w:eastAsia="zh-CN"/>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项目重点难点分析、应对措施及相关的合理化建议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lang w:eastAsia="zh-CN"/>
              </w:rPr>
            </w:pPr>
            <w:r>
              <w:rPr>
                <w:rFonts w:hint="eastAsia" w:ascii="仿宋_GB2312" w:hAnsi="仿宋_GB2312" w:eastAsia="仿宋_GB2312" w:cs="仿宋_GB2312"/>
                <w:color w:val="auto"/>
                <w:sz w:val="24"/>
                <w:szCs w:val="24"/>
                <w:highlight w:val="none"/>
                <w:lang w:val="en-US" w:eastAsia="zh-CN"/>
              </w:rPr>
              <w:t>（20分）</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考察对项目工作量、可完成度等重点难点问题的识别和分析能力，并就识别出的重点难点提出可行的应对措施及合理化建议。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包括但不限于以下内容：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1.详细阐述本项目存在的重难点问题；</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2.根据项目重难点，详细阐述对应的应对措施；</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3.向招标方提出项目实施其他具体建议。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sz w:val="24"/>
                <w:szCs w:val="24"/>
              </w:rPr>
              <w:t>根据各供应商的具体响应内容按照量化的评审因素指标进一步评审，设定优、良、中、差四个评分标准：</w:t>
            </w:r>
            <w:r>
              <w:rPr>
                <w:rFonts w:hint="eastAsia" w:ascii="仿宋_GB2312" w:hAnsi="仿宋_GB2312" w:eastAsia="仿宋_GB2312" w:cs="仿宋_GB2312"/>
                <w:color w:val="auto"/>
                <w:sz w:val="24"/>
                <w:szCs w:val="24"/>
                <w:highlight w:val="none"/>
                <w:lang w:val="en-US" w:eastAsia="zh-CN"/>
              </w:rPr>
              <w:t>：</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优：以上项目重点难点分析、应对措施及相关的合理化建议的三点内容全面具体、针对性强、可操作性强，加</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良：以上项目重点难点分析、应对措施及相关的合理化建议的三点内容较全面、针对性较强、可操作性较强，加</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中：以上项目重点难点分析、应对措施及相关的合理化建议的三点内容完整性、针对性、可操作性均一般，加</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差：</w:t>
            </w:r>
            <w:r>
              <w:rPr>
                <w:rFonts w:hint="eastAsia" w:ascii="仿宋_GB2312" w:hAnsi="仿宋_GB2312" w:eastAsia="仿宋_GB2312" w:cs="仿宋_GB2312"/>
                <w:color w:val="auto"/>
                <w:sz w:val="24"/>
                <w:szCs w:val="24"/>
                <w:highlight w:val="none"/>
                <w:lang w:val="en-US" w:eastAsia="zh-CN"/>
              </w:rPr>
              <w:t>其它情况不得分。</w:t>
            </w:r>
          </w:p>
        </w:tc>
      </w:tr>
    </w:tbl>
    <w:p>
      <w:pPr>
        <w:pStyle w:val="17"/>
        <w:spacing w:line="560" w:lineRule="exact"/>
        <w:ind w:firstLine="640" w:firstLineChars="200"/>
        <w:rPr>
          <w:rFonts w:hint="eastAsia" w:ascii="方正黑体_GBK" w:hAnsi="方正黑体_GBK" w:eastAsia="方正黑体_GBK" w:cs="方正黑体_GBK"/>
          <w:b w:val="0"/>
          <w:bCs/>
          <w:color w:val="000000"/>
          <w:sz w:val="32"/>
          <w:szCs w:val="32"/>
          <w:lang w:eastAsia="zh-CN"/>
        </w:rPr>
      </w:pPr>
      <w:r>
        <w:rPr>
          <w:rFonts w:hint="eastAsia" w:ascii="方正黑体_GBK" w:hAnsi="方正黑体_GBK" w:eastAsia="方正黑体_GBK" w:cs="方正黑体_GBK"/>
          <w:b w:val="0"/>
          <w:bCs/>
          <w:color w:val="000000"/>
          <w:sz w:val="32"/>
          <w:szCs w:val="32"/>
          <w:lang w:eastAsia="zh-CN"/>
        </w:rPr>
        <w:t>八、</w:t>
      </w:r>
      <w:r>
        <w:rPr>
          <w:rFonts w:hint="eastAsia" w:ascii="方正黑体_GBK" w:hAnsi="方正黑体_GBK" w:eastAsia="方正黑体_GBK" w:cs="方正黑体_GBK"/>
          <w:b w:val="0"/>
          <w:bCs/>
          <w:color w:val="000000"/>
          <w:sz w:val="32"/>
          <w:szCs w:val="32"/>
        </w:rPr>
        <w:t>供应商提供资料清单</w:t>
      </w:r>
    </w:p>
    <w:p>
      <w:pPr>
        <w:spacing w:line="560" w:lineRule="exact"/>
        <w:ind w:firstLine="642" w:firstLineChars="200"/>
        <w:jc w:val="left"/>
        <w:rPr>
          <w:rFonts w:hint="eastAsia" w:ascii="仿宋_GB2312" w:hAnsi="仿宋" w:eastAsia="仿宋_GB2312" w:cs="Times New Roman"/>
          <w:b/>
          <w:bCs/>
          <w:color w:val="FF0000"/>
          <w:sz w:val="32"/>
        </w:rPr>
      </w:pPr>
      <w:r>
        <w:rPr>
          <w:rFonts w:hint="eastAsia" w:ascii="仿宋_GB2312" w:hAnsi="仿宋" w:eastAsia="仿宋_GB2312" w:cs="Times New Roman"/>
          <w:b/>
          <w:bCs/>
          <w:color w:val="FF0000"/>
          <w:sz w:val="32"/>
          <w:lang w:val="en-US" w:eastAsia="zh-CN"/>
        </w:rPr>
        <w:t>注：以下全部资料每页均须加盖单位公章；第1至5项为投标资格必备资料，第1至5项任意一项资料缺失、未按要求完整提交的，作无效投标处理。</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1.营业执照、事业法人证书、社会团体法人登记证书、相关许可证书；</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2.法定代表人身份证复印件；</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3.项目报价表（需按格式提供）；</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4.诚信承诺书（详见附件1）；</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5.填写《供应商基本情况表》（加盖单位公章，详见附件2），并完整提交表格列明的供应商相关人员近三个月社保缴纳证明；法定代表人社保缴纳单位与本单位不一致的，需一并提供对应社保凭证，法定代表人已退休的应出具加盖公章的情况说明；当月社保凭证暂无法出具的，社保材料可整体往前顺延一个月；成立未满3个月的新设企业，可提交加盖公章的情况说明或其他有效佐证材料。</w:t>
      </w:r>
      <w:r>
        <w:rPr>
          <w:rFonts w:hint="eastAsia" w:ascii="仿宋_GB2312" w:hAnsi="仿宋" w:eastAsia="仿宋_GB2312" w:cs="Times New Roman"/>
          <w:b/>
          <w:bCs/>
          <w:color w:val="FF0000"/>
          <w:sz w:val="32"/>
        </w:rPr>
        <w:t>投标人未按要求完整提供对应人员社保材料的，按无效投标处理。</w:t>
      </w:r>
    </w:p>
    <w:p>
      <w:pPr>
        <w:pStyle w:val="7"/>
        <w:spacing w:after="0" w:line="560" w:lineRule="exact"/>
        <w:ind w:left="0" w:leftChars="0" w:right="0" w:rightChars="0" w:firstLine="640"/>
        <w:jc w:val="left"/>
        <w:rPr>
          <w:rFonts w:hint="eastAsia" w:ascii="仿宋_GB2312" w:hAnsi="仿宋" w:eastAsia="仿宋_GB2312" w:cs="Times New Roman"/>
          <w:sz w:val="32"/>
          <w:lang w:eastAsia="zh-CN"/>
        </w:rPr>
      </w:pPr>
      <w:r>
        <w:rPr>
          <w:rFonts w:hint="eastAsia" w:ascii="仿宋_GB2312" w:hAnsi="仿宋" w:eastAsia="仿宋_GB2312" w:cs="Times New Roman"/>
          <w:sz w:val="32"/>
        </w:rPr>
        <w:t>6.评分规则所需资料（同类业绩证明、方案等）</w:t>
      </w:r>
      <w:r>
        <w:rPr>
          <w:rFonts w:hint="eastAsia" w:ascii="仿宋_GB2312" w:hAnsi="仿宋" w:eastAsia="仿宋_GB2312" w:cs="Times New Roman"/>
          <w:sz w:val="32"/>
          <w:lang w:eastAsia="zh-CN"/>
        </w:rPr>
        <w:t>。</w:t>
      </w:r>
    </w:p>
    <w:p>
      <w:pPr>
        <w:pStyle w:val="7"/>
        <w:spacing w:after="0" w:line="560" w:lineRule="exact"/>
        <w:ind w:left="0" w:leftChars="0" w:right="0" w:rightChars="0" w:firstLine="640"/>
        <w:jc w:val="left"/>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val="en-US" w:eastAsia="zh-CN"/>
        </w:rPr>
        <w:t>九、其他注意事项</w:t>
      </w:r>
    </w:p>
    <w:p>
      <w:pPr>
        <w:keepNext w:val="0"/>
        <w:keepLines w:val="0"/>
        <w:widowControl/>
        <w:suppressLineNumbers w:val="0"/>
        <w:ind w:firstLine="640" w:firstLineChars="200"/>
        <w:jc w:val="both"/>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sz w:val="32"/>
          <w:lang w:val="en-US" w:eastAsia="zh-CN"/>
        </w:rPr>
        <w:t>1.供应商需</w:t>
      </w:r>
      <w:r>
        <w:rPr>
          <w:rFonts w:hint="default" w:ascii="仿宋_GB2312" w:hAnsi="仿宋" w:eastAsia="仿宋_GB2312" w:cs="Times New Roman"/>
          <w:sz w:val="32"/>
          <w:lang w:val="en-US" w:eastAsia="zh-CN"/>
        </w:rPr>
        <w:t>深圳政府采购自行采购系统</w:t>
      </w:r>
      <w:r>
        <w:rPr>
          <w:rFonts w:hint="eastAsia" w:ascii="仿宋_GB2312" w:hAnsi="仿宋" w:eastAsia="仿宋_GB2312" w:cs="Times New Roman"/>
          <w:kern w:val="2"/>
          <w:sz w:val="32"/>
          <w:szCs w:val="24"/>
          <w:lang w:val="en-US" w:eastAsia="zh-CN" w:bidi="ar-SA"/>
        </w:rPr>
        <w:t>完成供应商注册（网址：https://zxcg.szggzy.com/home/index.html），请于本项目投标截止时间前完成注册，否则如中标/成交，可能影响采购结果的发布。</w:t>
      </w:r>
    </w:p>
    <w:p>
      <w:pPr>
        <w:pStyle w:val="7"/>
        <w:spacing w:after="0" w:line="560" w:lineRule="exact"/>
        <w:ind w:left="0" w:leftChars="0" w:right="0" w:rightChars="0" w:firstLine="640"/>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2.</w:t>
      </w:r>
      <w:r>
        <w:rPr>
          <w:rFonts w:hint="eastAsia" w:ascii="仿宋_GB2312" w:hAnsi="仿宋" w:eastAsia="仿宋_GB2312" w:cs="Times New Roman"/>
          <w:sz w:val="32"/>
        </w:rPr>
        <w:t>供应商需</w:t>
      </w:r>
      <w:r>
        <w:rPr>
          <w:rFonts w:hint="eastAsia" w:ascii="仿宋_GB2312" w:hAnsi="仿宋" w:eastAsia="仿宋_GB2312" w:cs="Times New Roman"/>
          <w:sz w:val="32"/>
          <w:lang w:val="en-US" w:eastAsia="zh-CN"/>
        </w:rPr>
        <w:t>以</w:t>
      </w:r>
      <w:r>
        <w:rPr>
          <w:rFonts w:hint="eastAsia" w:ascii="仿宋_GB2312" w:hAnsi="仿宋" w:eastAsia="仿宋_GB2312" w:cs="Times New Roman"/>
          <w:sz w:val="32"/>
        </w:rPr>
        <w:t>邮寄</w:t>
      </w:r>
      <w:r>
        <w:rPr>
          <w:rFonts w:hint="eastAsia" w:ascii="仿宋_GB2312" w:hAnsi="仿宋" w:eastAsia="仿宋_GB2312" w:cs="Times New Roman"/>
          <w:sz w:val="32"/>
          <w:lang w:val="en-US" w:eastAsia="zh-CN"/>
        </w:rPr>
        <w:t>方式提供7</w:t>
      </w:r>
      <w:r>
        <w:rPr>
          <w:rFonts w:hint="eastAsia" w:ascii="仿宋_GB2312" w:hAnsi="仿宋" w:eastAsia="仿宋_GB2312" w:cs="Times New Roman"/>
          <w:sz w:val="32"/>
        </w:rPr>
        <w:t>份密封纸质版投标资料至本单位</w:t>
      </w:r>
      <w:r>
        <w:rPr>
          <w:rFonts w:hint="eastAsia" w:ascii="仿宋_GB2312" w:hAnsi="仿宋" w:eastAsia="仿宋_GB2312" w:cs="Times New Roman"/>
          <w:sz w:val="32"/>
          <w:lang w:eastAsia="zh-CN"/>
        </w:rPr>
        <w:t>，</w:t>
      </w:r>
      <w:r>
        <w:rPr>
          <w:rFonts w:hint="eastAsia" w:ascii="仿宋_GB2312" w:hAnsi="仿宋" w:eastAsia="仿宋_GB2312" w:cs="Times New Roman"/>
          <w:sz w:val="32"/>
          <w:lang w:val="en-US" w:eastAsia="zh-CN"/>
        </w:rPr>
        <w:t>并在封面备注“</w:t>
      </w:r>
      <w:r>
        <w:rPr>
          <w:rFonts w:hint="eastAsia" w:ascii="仿宋_GB2312" w:hAnsi="仿宋_GB2312" w:eastAsia="仿宋_GB2312" w:cs="仿宋_GB2312"/>
          <w:color w:val="000000"/>
          <w:kern w:val="0"/>
          <w:sz w:val="32"/>
          <w:szCs w:val="32"/>
          <w:lang w:val="en-US" w:eastAsia="zh-CN" w:bidi="ar"/>
        </w:rPr>
        <w:t>2026年深圳市“龙华杯”青少年篮球比赛</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项目+公司全称+日期+联系人+联系方式”。</w:t>
      </w:r>
    </w:p>
    <w:p>
      <w:pPr>
        <w:pStyle w:val="7"/>
        <w:spacing w:after="0" w:line="560" w:lineRule="exact"/>
        <w:ind w:left="0" w:leftChars="0" w:right="0" w:rightChars="0" w:firstLine="640" w:firstLineChars="200"/>
        <w:rPr>
          <w:rFonts w:ascii="仿宋_GB2312" w:hAnsi="仿宋" w:eastAsia="仿宋_GB2312" w:cs="Times New Roman"/>
          <w:sz w:val="32"/>
        </w:rPr>
      </w:pPr>
      <w:r>
        <w:rPr>
          <w:rFonts w:hint="eastAsia" w:ascii="仿宋_GB2312" w:hAnsi="仿宋" w:eastAsia="仿宋_GB2312" w:cs="Times New Roman"/>
          <w:sz w:val="32"/>
        </w:rPr>
        <w:t>地址：</w:t>
      </w:r>
      <w:bookmarkStart w:id="1" w:name="OLE_LINK5"/>
      <w:r>
        <w:rPr>
          <w:rFonts w:hint="eastAsia" w:ascii="仿宋_GB2312" w:hAnsi="仿宋" w:eastAsia="仿宋_GB2312" w:cs="Times New Roman"/>
          <w:sz w:val="32"/>
        </w:rPr>
        <w:t>深圳市龙华区</w:t>
      </w:r>
      <w:r>
        <w:rPr>
          <w:rFonts w:hint="eastAsia" w:ascii="仿宋_GB2312" w:hAnsi="仿宋" w:eastAsia="仿宋_GB2312" w:cs="Times New Roman"/>
          <w:sz w:val="32"/>
          <w:lang w:val="en-US" w:eastAsia="zh-CN"/>
        </w:rPr>
        <w:t>龙华街道</w:t>
      </w:r>
      <w:r>
        <w:rPr>
          <w:rFonts w:hint="eastAsia" w:ascii="仿宋_GB2312" w:hAnsi="仿宋" w:eastAsia="仿宋_GB2312" w:cs="Times New Roman"/>
          <w:sz w:val="32"/>
        </w:rPr>
        <w:t>富康行政</w:t>
      </w:r>
      <w:r>
        <w:rPr>
          <w:rFonts w:hint="eastAsia" w:ascii="仿宋_GB2312" w:hAnsi="仿宋" w:eastAsia="仿宋_GB2312" w:cs="Times New Roman"/>
          <w:sz w:val="32"/>
          <w:lang w:val="en-US" w:eastAsia="zh-CN"/>
        </w:rPr>
        <w:t>服务</w:t>
      </w:r>
      <w:r>
        <w:rPr>
          <w:rFonts w:hint="eastAsia" w:ascii="仿宋_GB2312" w:hAnsi="仿宋" w:eastAsia="仿宋_GB2312" w:cs="Times New Roman"/>
          <w:sz w:val="32"/>
        </w:rPr>
        <w:t>办公区</w:t>
      </w:r>
      <w:bookmarkEnd w:id="1"/>
    </w:p>
    <w:p>
      <w:pPr>
        <w:pStyle w:val="18"/>
        <w:spacing w:line="560" w:lineRule="exact"/>
        <w:rPr>
          <w:rFonts w:ascii="仿宋_GB2312" w:hAnsi="仿宋" w:eastAsia="仿宋_GB2312" w:cs="Times New Roman"/>
          <w:sz w:val="32"/>
        </w:rPr>
      </w:pPr>
      <w:r>
        <w:rPr>
          <w:rFonts w:hint="eastAsia" w:ascii="仿宋_GB2312" w:hAnsi="仿宋" w:eastAsia="仿宋_GB2312" w:cs="Times New Roman"/>
          <w:sz w:val="32"/>
        </w:rPr>
        <w:t>收件人：吴先生</w:t>
      </w:r>
    </w:p>
    <w:p>
      <w:pPr>
        <w:ind w:firstLine="640" w:firstLineChars="200"/>
        <w:rPr>
          <w:rFonts w:hint="default" w:ascii="仿宋_GB2312" w:hAnsi="仿宋" w:eastAsia="仿宋_GB2312" w:cs="Times New Roman"/>
          <w:sz w:val="32"/>
          <w:szCs w:val="22"/>
          <w:lang w:val="en-US" w:eastAsia="zh-CN"/>
        </w:rPr>
      </w:pPr>
      <w:r>
        <w:rPr>
          <w:rFonts w:hint="eastAsia" w:ascii="仿宋_GB2312" w:hAnsi="仿宋" w:eastAsia="仿宋_GB2312" w:cs="Times New Roman"/>
          <w:sz w:val="32"/>
        </w:rPr>
        <w:t>联系方式</w:t>
      </w:r>
      <w:r>
        <w:rPr>
          <w:rFonts w:hint="eastAsia" w:ascii="仿宋_GB2312" w:hAnsi="仿宋" w:eastAsia="仿宋_GB2312" w:cs="Times New Roman"/>
          <w:sz w:val="32"/>
          <w:lang w:eastAsia="zh-CN"/>
        </w:rPr>
        <w:t>：</w:t>
      </w:r>
      <w:r>
        <w:rPr>
          <w:rFonts w:hint="eastAsia" w:ascii="仿宋_GB2312" w:hAnsi="仿宋" w:eastAsia="仿宋_GB2312" w:cs="Times New Roman"/>
          <w:sz w:val="32"/>
          <w:szCs w:val="22"/>
        </w:rPr>
        <w:t>0755-</w:t>
      </w:r>
      <w:r>
        <w:rPr>
          <w:rFonts w:hint="eastAsia" w:ascii="仿宋_GB2312" w:hAnsi="仿宋" w:eastAsia="仿宋_GB2312" w:cs="Times New Roman"/>
          <w:sz w:val="32"/>
          <w:szCs w:val="22"/>
          <w:lang w:val="en-US" w:eastAsia="zh-CN"/>
        </w:rPr>
        <w:t>23338032</w:t>
      </w:r>
    </w:p>
    <w:p>
      <w:pPr>
        <w:pStyle w:val="8"/>
        <w:rPr>
          <w:rFonts w:hint="eastAsia" w:ascii="仿宋_GB2312" w:hAnsi="仿宋" w:eastAsia="仿宋_GB2312" w:cs="Times New Roman"/>
          <w:sz w:val="32"/>
          <w:szCs w:val="22"/>
        </w:rPr>
      </w:pPr>
    </w:p>
    <w:p>
      <w:pPr>
        <w:pStyle w:val="8"/>
        <w:rPr>
          <w:rFonts w:hint="eastAsia" w:ascii="仿宋_GB2312" w:hAnsi="仿宋" w:eastAsia="仿宋_GB2312" w:cs="Times New Roman"/>
          <w:sz w:val="32"/>
          <w:szCs w:val="22"/>
        </w:rPr>
      </w:pPr>
    </w:p>
    <w:p>
      <w:pPr>
        <w:pStyle w:val="8"/>
        <w:rPr>
          <w:rFonts w:hint="eastAsia" w:ascii="仿宋_GB2312" w:hAnsi="仿宋" w:eastAsia="仿宋_GB2312" w:cs="Times New Roman"/>
          <w:sz w:val="32"/>
          <w:szCs w:val="22"/>
        </w:rPr>
      </w:pPr>
      <w:bookmarkStart w:id="2" w:name="_GoBack"/>
      <w:bookmarkEnd w:id="2"/>
    </w:p>
    <w:p>
      <w:pPr>
        <w:pStyle w:val="18"/>
        <w:spacing w:line="560" w:lineRule="exact"/>
        <w:ind w:firstLine="0" w:firstLineChars="0"/>
        <w:rPr>
          <w:rFonts w:hint="default" w:ascii="黑体" w:hAnsi="黑体" w:eastAsia="黑体" w:cs="黑体"/>
          <w:color w:val="000000"/>
          <w:sz w:val="32"/>
          <w:szCs w:val="32"/>
          <w:lang w:val="en-US" w:eastAsia="zh-CN"/>
        </w:rPr>
      </w:pPr>
      <w:r>
        <w:rPr>
          <w:rFonts w:hint="eastAsia" w:ascii="仿宋_GB2312" w:hAnsi="仿宋" w:eastAsia="仿宋_GB2312" w:cs="Times New Roman"/>
          <w:sz w:val="32"/>
          <w:szCs w:val="22"/>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4"/>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lang w:val="en-US" w:eastAsia="zh-CN"/>
        </w:rPr>
      </w:pPr>
    </w:p>
    <w:p>
      <w:pPr>
        <w:pStyle w:val="6"/>
        <w:rPr>
          <w:rFonts w:hint="default"/>
          <w:lang w:val="en-US" w:eastAsia="zh-CN"/>
        </w:rPr>
      </w:pPr>
    </w:p>
    <w:p>
      <w:pPr>
        <w:rPr>
          <w:rFonts w:hint="default"/>
          <w:lang w:val="en-US" w:eastAsia="zh-CN"/>
        </w:rPr>
      </w:pPr>
    </w:p>
    <w:p>
      <w:pPr>
        <w:pStyle w:val="6"/>
        <w:rPr>
          <w:rFonts w:hint="default"/>
          <w:lang w:val="en-US" w:eastAsia="zh-CN"/>
        </w:rPr>
      </w:pPr>
    </w:p>
    <w:p>
      <w:pPr>
        <w:rPr>
          <w:rFonts w:hint="default"/>
          <w:lang w:val="en-US" w:eastAsia="zh-CN"/>
        </w:rPr>
      </w:pPr>
    </w:p>
    <w:p>
      <w:pPr>
        <w:pStyle w:val="6"/>
        <w:rPr>
          <w:rFonts w:hint="default"/>
          <w:lang w:val="en-US" w:eastAsia="zh-CN"/>
        </w:rPr>
      </w:pPr>
    </w:p>
    <w:p>
      <w:pPr>
        <w:pStyle w:val="18"/>
        <w:spacing w:line="560" w:lineRule="exact"/>
        <w:ind w:firstLine="0" w:firstLineChars="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pStyle w:val="11"/>
        <w:snapToGrid w:val="0"/>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供应商基本情况表</w:t>
      </w:r>
    </w:p>
    <w:p>
      <w:pPr>
        <w:spacing w:line="56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3"/>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2"/>
              <w:snapToGrid w:val="0"/>
              <w:spacing w:line="240" w:lineRule="auto"/>
              <w:ind w:firstLine="0" w:firstLineChars="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rPr>
          <w:rFonts w:hint="default"/>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modern"/>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00"/>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中宋"/>
    <w:panose1 w:val="02010600030101010101"/>
    <w:charset w:val="00"/>
    <w:family w:val="auto"/>
    <w:pitch w:val="default"/>
    <w:sig w:usb0="00000000" w:usb1="00000000" w:usb2="00000016" w:usb3="00000000" w:csb0="0004000F" w:csb1="00000000"/>
  </w:font>
  <w:font w:name="微软雅黑">
    <w:altName w:val="方正黑体_GBK"/>
    <w:panose1 w:val="020B0503020204020204"/>
    <w:charset w:val="86"/>
    <w:family w:val="auto"/>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9DDE81"/>
    <w:multiLevelType w:val="singleLevel"/>
    <w:tmpl w:val="EB9DDE81"/>
    <w:lvl w:ilvl="0" w:tentative="0">
      <w:start w:val="1"/>
      <w:numFmt w:val="chineseCounting"/>
      <w:suff w:val="nothing"/>
      <w:lvlText w:val="%1、"/>
      <w:lvlJc w:val="left"/>
      <w:rPr>
        <w:rFonts w:hint="eastAsia"/>
      </w:rPr>
    </w:lvl>
  </w:abstractNum>
  <w:abstractNum w:abstractNumId="1">
    <w:nsid w:val="4A99746B"/>
    <w:multiLevelType w:val="singleLevel"/>
    <w:tmpl w:val="4A99746B"/>
    <w:lvl w:ilvl="0" w:tentative="0">
      <w:start w:val="1"/>
      <w:numFmt w:val="chineseCounting"/>
      <w:suff w:val="nothing"/>
      <w:lvlText w:val="（%1）"/>
      <w:lvlJc w:val="left"/>
      <w:rPr>
        <w:rFonts w:hint="eastAsia"/>
      </w:rPr>
    </w:lvl>
  </w:abstractNum>
  <w:abstractNum w:abstractNumId="2">
    <w:nsid w:val="66309E8F"/>
    <w:multiLevelType w:val="singleLevel"/>
    <w:tmpl w:val="66309E8F"/>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00532B84"/>
    <w:rsid w:val="00A65FA9"/>
    <w:rsid w:val="04003C23"/>
    <w:rsid w:val="04D5397F"/>
    <w:rsid w:val="04EA3143"/>
    <w:rsid w:val="05D860D3"/>
    <w:rsid w:val="0A4725AB"/>
    <w:rsid w:val="0D3B0F36"/>
    <w:rsid w:val="0D566BC9"/>
    <w:rsid w:val="0D7D62E4"/>
    <w:rsid w:val="135366B2"/>
    <w:rsid w:val="14A2631D"/>
    <w:rsid w:val="14C34F24"/>
    <w:rsid w:val="165D6C96"/>
    <w:rsid w:val="17CA43B1"/>
    <w:rsid w:val="1CA8200C"/>
    <w:rsid w:val="1EFA5B6D"/>
    <w:rsid w:val="1FF16DE9"/>
    <w:rsid w:val="20D34CF2"/>
    <w:rsid w:val="252209F9"/>
    <w:rsid w:val="27A56A4D"/>
    <w:rsid w:val="293E783A"/>
    <w:rsid w:val="2E825641"/>
    <w:rsid w:val="2FC72F9E"/>
    <w:rsid w:val="30A134FB"/>
    <w:rsid w:val="326E42CA"/>
    <w:rsid w:val="340805C4"/>
    <w:rsid w:val="34B77A7C"/>
    <w:rsid w:val="34E56399"/>
    <w:rsid w:val="38E74FAB"/>
    <w:rsid w:val="39CE38A0"/>
    <w:rsid w:val="3AFD213B"/>
    <w:rsid w:val="3DFC634D"/>
    <w:rsid w:val="3F9024D6"/>
    <w:rsid w:val="44574D74"/>
    <w:rsid w:val="448648CA"/>
    <w:rsid w:val="4B4B2FA2"/>
    <w:rsid w:val="4D143C7F"/>
    <w:rsid w:val="4F751EFD"/>
    <w:rsid w:val="4FBE245E"/>
    <w:rsid w:val="50344A78"/>
    <w:rsid w:val="505312A6"/>
    <w:rsid w:val="50BF7C5D"/>
    <w:rsid w:val="50FB2D75"/>
    <w:rsid w:val="52672C2E"/>
    <w:rsid w:val="57266671"/>
    <w:rsid w:val="58A1230D"/>
    <w:rsid w:val="58B24661"/>
    <w:rsid w:val="59F842F5"/>
    <w:rsid w:val="5F2BE56A"/>
    <w:rsid w:val="66275D7F"/>
    <w:rsid w:val="671D4941"/>
    <w:rsid w:val="69701D6D"/>
    <w:rsid w:val="6BEA339E"/>
    <w:rsid w:val="6DF758F9"/>
    <w:rsid w:val="6DFFCD9E"/>
    <w:rsid w:val="6EBD5A97"/>
    <w:rsid w:val="6F051921"/>
    <w:rsid w:val="71511EEF"/>
    <w:rsid w:val="71BB412E"/>
    <w:rsid w:val="720C2BDC"/>
    <w:rsid w:val="777ECDFC"/>
    <w:rsid w:val="795310F0"/>
    <w:rsid w:val="7A7B5643"/>
    <w:rsid w:val="7D9F3A20"/>
    <w:rsid w:val="7DD39989"/>
    <w:rsid w:val="B7FE4D38"/>
    <w:rsid w:val="BBFF548B"/>
    <w:rsid w:val="DFFF69F1"/>
    <w:rsid w:val="E376E1AF"/>
    <w:rsid w:val="EBDD9587"/>
    <w:rsid w:val="FA9F3AE0"/>
    <w:rsid w:val="FFEF2F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5">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6">
    <w:name w:val="Body Text"/>
    <w:basedOn w:val="1"/>
    <w:next w:val="1"/>
    <w:qFormat/>
    <w:uiPriority w:val="0"/>
    <w:pPr>
      <w:spacing w:after="120"/>
    </w:pPr>
  </w:style>
  <w:style w:type="paragraph" w:styleId="7">
    <w:name w:val="Block Text"/>
    <w:basedOn w:val="1"/>
    <w:qFormat/>
    <w:uiPriority w:val="0"/>
    <w:pPr>
      <w:tabs>
        <w:tab w:val="left" w:pos="426"/>
      </w:tabs>
      <w:spacing w:after="120"/>
      <w:ind w:left="1440" w:leftChars="700" w:right="1440" w:rightChars="700"/>
    </w:pPr>
  </w:style>
  <w:style w:type="paragraph" w:styleId="8">
    <w:name w:val="Plain Text"/>
    <w:basedOn w:val="1"/>
    <w:unhideWhenUsed/>
    <w:qFormat/>
    <w:uiPriority w:val="99"/>
    <w:rPr>
      <w:rFonts w:ascii="宋体" w:hAnsi="Calibri" w:cs="Courier New"/>
      <w:szCs w:val="21"/>
    </w:rPr>
  </w:style>
  <w:style w:type="paragraph" w:styleId="9">
    <w:name w:val="toc 1"/>
    <w:basedOn w:val="1"/>
    <w:next w:val="1"/>
    <w:qFormat/>
    <w:uiPriority w:val="39"/>
    <w:rPr>
      <w:rFonts w:ascii="Calibri" w:hAnsi="Calibri" w:eastAsia="宋体" w:cs="Times New Roman"/>
    </w:rPr>
  </w:style>
  <w:style w:type="paragraph" w:styleId="10">
    <w:name w:val="Body Text 2"/>
    <w:basedOn w:val="1"/>
    <w:qFormat/>
    <w:uiPriority w:val="0"/>
    <w:pPr>
      <w:spacing w:line="360" w:lineRule="auto"/>
    </w:pPr>
    <w:rPr>
      <w:sz w:val="24"/>
    </w:rPr>
  </w:style>
  <w:style w:type="paragraph" w:styleId="11">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6"/>
    <w:qFormat/>
    <w:uiPriority w:val="34"/>
    <w:pPr>
      <w:ind w:firstLine="420" w:firstLineChars="200"/>
    </w:pPr>
  </w:style>
  <w:style w:type="paragraph" w:customStyle="1" w:styleId="16">
    <w:name w:val="星耀正文"/>
    <w:basedOn w:val="1"/>
    <w:qFormat/>
    <w:uiPriority w:val="3"/>
    <w:pPr>
      <w:ind w:firstLine="422" w:firstLineChars="200"/>
    </w:pPr>
    <w:rPr>
      <w:rFonts w:ascii="宋体" w:hAnsi="宋体" w:eastAsia="仿宋_GB2312"/>
      <w:bCs/>
    </w:rPr>
  </w:style>
  <w:style w:type="paragraph" w:customStyle="1" w:styleId="17">
    <w:name w:val="USE 1"/>
    <w:basedOn w:val="1"/>
    <w:qFormat/>
    <w:uiPriority w:val="0"/>
    <w:pPr>
      <w:spacing w:line="200" w:lineRule="atLeast"/>
      <w:jc w:val="left"/>
    </w:pPr>
    <w:rPr>
      <w:rFonts w:ascii="宋体" w:hAnsi="宋体"/>
      <w:b/>
      <w:sz w:val="24"/>
      <w:szCs w:val="28"/>
    </w:rPr>
  </w:style>
  <w:style w:type="paragraph" w:customStyle="1" w:styleId="18">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19">
    <w:name w:val="_Style 3"/>
    <w:basedOn w:val="1"/>
    <w:next w:val="1"/>
    <w:qFormat/>
    <w:uiPriority w:val="99"/>
    <w:pPr>
      <w:spacing w:line="360" w:lineRule="auto"/>
      <w:ind w:firstLine="420" w:firstLineChars="200"/>
    </w:pPr>
  </w:style>
  <w:style w:type="character" w:customStyle="1" w:styleId="20">
    <w:name w:val="font21"/>
    <w:basedOn w:val="14"/>
    <w:qFormat/>
    <w:uiPriority w:val="0"/>
    <w:rPr>
      <w:rFonts w:hint="eastAsia" w:ascii="宋体" w:hAnsi="宋体" w:eastAsia="宋体" w:cs="宋体"/>
      <w:color w:val="000000"/>
      <w:sz w:val="22"/>
      <w:szCs w:val="22"/>
      <w:u w:val="single"/>
    </w:rPr>
  </w:style>
  <w:style w:type="character" w:customStyle="1" w:styleId="21">
    <w:name w:val="font51"/>
    <w:basedOn w:val="14"/>
    <w:qFormat/>
    <w:uiPriority w:val="0"/>
    <w:rPr>
      <w:rFonts w:hint="eastAsia" w:ascii="宋体" w:hAnsi="宋体" w:eastAsia="宋体" w:cs="宋体"/>
      <w:b/>
      <w:bCs/>
      <w:color w:val="000000"/>
      <w:sz w:val="22"/>
      <w:szCs w:val="22"/>
      <w:u w:val="single"/>
    </w:rPr>
  </w:style>
  <w:style w:type="character" w:customStyle="1" w:styleId="22">
    <w:name w:val="font91"/>
    <w:basedOn w:val="14"/>
    <w:qFormat/>
    <w:uiPriority w:val="0"/>
    <w:rPr>
      <w:rFonts w:hint="eastAsia" w:ascii="微软雅黑" w:hAnsi="微软雅黑" w:eastAsia="微软雅黑" w:cs="微软雅黑"/>
      <w:color w:val="000000"/>
      <w:sz w:val="24"/>
      <w:szCs w:val="24"/>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4222</Words>
  <Characters>4478</Characters>
  <Lines>0</Lines>
  <Paragraphs>0</Paragraphs>
  <TotalTime>0</TotalTime>
  <ScaleCrop>false</ScaleCrop>
  <LinksUpToDate>false</LinksUpToDate>
  <CharactersWithSpaces>4633</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2025-04-14T09:16:00Z</dcterms:created>
  <dc:creator>yang</dc:creator>
  <cp:lastModifiedBy>lxy</cp:lastModifiedBy>
  <dcterms:modified xsi:type="dcterms:W3CDTF">2026-06-18T17:42:36Z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500FEA5C9BC94CB89535D931E6CFC800_13</vt:lpwstr>
  </property>
  <property fmtid="{D5CDD505-2E9C-101B-9397-08002B2CF9AE}" pid="4" name="KSOTemplateDocerSaveRecord">
    <vt:lpwstr>eyJoZGlkIjoiNjI1M2EyYWJiMDc1NDk4Yzc0MzY5NDVhY2ZkY2UxZGEiLCJ1c2VySWQiOiI0MjEyNzAwNTAifQ==</vt:lpwstr>
  </property>
</Properties>
</file>