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龙华</w:t>
      </w:r>
      <w:r>
        <w:rPr>
          <w:rFonts w:hint="eastAsia" w:ascii="方正小标宋简体" w:hAnsi="方正小标宋简体" w:eastAsia="方正小标宋简体" w:cs="方正小标宋简体"/>
          <w:sz w:val="44"/>
          <w:szCs w:val="44"/>
          <w:lang w:eastAsia="zh-CN"/>
        </w:rPr>
        <w:t>区悦颐园食堂运营服务项目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需求书</w:t>
      </w:r>
    </w:p>
    <w:p>
      <w:pPr>
        <w:pStyle w:val="12"/>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为切实保障龙华区悦颐园院内人员基本膳食需求，</w:t>
      </w:r>
      <w:r>
        <w:rPr>
          <w:rFonts w:hint="eastAsia" w:ascii="仿宋_GB2312" w:hAnsi="仿宋_GB2312" w:eastAsia="仿宋_GB2312" w:cs="仿宋_GB2312"/>
          <w:sz w:val="32"/>
          <w:szCs w:val="32"/>
          <w:lang w:val="en-US" w:eastAsia="zh-CN"/>
        </w:rPr>
        <w:t>通过委托专业的餐饮服务团队运营，对食堂设施设备、环境卫生、食品安全进行全面管理，提供营养均衡、口味多样的餐饮服务，满足老年人饮食需要。</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tabs>
          <w:tab w:val="left" w:pos="1820"/>
        </w:tabs>
        <w:snapToGrid w:val="0"/>
        <w:spacing w:line="560" w:lineRule="exact"/>
        <w:ind w:firstLine="640" w:firstLineChars="200"/>
        <w:jc w:val="lef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2026年6月18日-2027年6月17日</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keepNext w:val="0"/>
        <w:keepLines w:val="0"/>
        <w:pageBreakBefore w:val="0"/>
        <w:widowControl w:val="0"/>
        <w:wordWrap/>
        <w:overflowPunct/>
        <w:topLinePunct w:val="0"/>
        <w:autoSpaceDE/>
        <w:autoSpaceDN/>
        <w:bidi w:val="0"/>
        <w:spacing w:line="54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（一）服务内容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负责周一至周日早、中、晚三餐（餐食又分为正常餐、软餐），</w:t>
      </w:r>
      <w:r>
        <w:rPr>
          <w:rFonts w:hint="eastAsia" w:ascii="仿宋_GB2312" w:hAnsi="仿宋_GB2312" w:eastAsia="仿宋_GB2312" w:cs="仿宋_GB2312"/>
          <w:b w:val="0"/>
          <w:bCs/>
          <w:color w:val="auto"/>
          <w:sz w:val="32"/>
          <w:szCs w:val="32"/>
          <w:lang w:val="en-US" w:eastAsia="zh-CN"/>
        </w:rPr>
        <w:t>根据就餐人员需求和健康状况，设计多样化菜品，按照烹饪标准和操作流程操作，确保菜品质量</w:t>
      </w:r>
      <w:r>
        <w:rPr>
          <w:rFonts w:hint="eastAsia" w:ascii="仿宋_GB2312" w:hAnsi="仿宋_GB2312" w:eastAsia="仿宋_GB2312" w:cs="仿宋_GB2312"/>
          <w:sz w:val="32"/>
          <w:szCs w:val="32"/>
          <w:lang w:eastAsia="zh-CN"/>
        </w:rPr>
        <w:t>;</w:t>
      </w:r>
    </w:p>
    <w:p>
      <w:pPr>
        <w:keepNext w:val="0"/>
        <w:keepLines w:val="0"/>
        <w:pageBreakBefore w:val="0"/>
        <w:widowControl w:val="0"/>
        <w:wordWrap/>
        <w:overflowPunct/>
        <w:topLinePunct w:val="0"/>
        <w:bidi w:val="0"/>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负责食堂区域卫生保洁与管理，</w:t>
      </w:r>
      <w:r>
        <w:rPr>
          <w:rFonts w:hint="eastAsia" w:ascii="仿宋_GB2312" w:hAnsi="仿宋_GB2312" w:eastAsia="仿宋_GB2312" w:cs="仿宋_GB2312"/>
          <w:b w:val="0"/>
          <w:bCs/>
          <w:color w:val="auto"/>
          <w:sz w:val="32"/>
          <w:szCs w:val="32"/>
          <w:lang w:val="en-US" w:eastAsia="zh-CN"/>
        </w:rPr>
        <w:t>定期进行深度清洁和消毒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auto"/>
          <w:sz w:val="32"/>
          <w:szCs w:val="32"/>
          <w:lang w:val="en-US" w:eastAsia="zh-CN"/>
        </w:rPr>
        <w:t>营造舒适、整洁、安静的就餐环境；</w:t>
      </w:r>
    </w:p>
    <w:p>
      <w:pPr>
        <w:keepNext w:val="0"/>
        <w:keepLines w:val="0"/>
        <w:pageBreakBefore w:val="0"/>
        <w:widowControl w:val="0"/>
        <w:wordWrap/>
        <w:overflowPunct/>
        <w:topLinePunct w:val="0"/>
        <w:bidi w:val="0"/>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每季度进行</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eastAsia="zh-CN"/>
        </w:rPr>
        <w:t>油烟机清洗，确保干净卫生；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负责食品安全保障管理及食堂区域内其他安全管理，</w:t>
      </w:r>
      <w:r>
        <w:rPr>
          <w:rFonts w:hint="eastAsia" w:ascii="仿宋_GB2312" w:hAnsi="仿宋_GB2312" w:eastAsia="仿宋_GB2312" w:cs="仿宋_GB2312"/>
          <w:b w:val="0"/>
          <w:bCs/>
          <w:color w:val="auto"/>
          <w:sz w:val="32"/>
          <w:szCs w:val="32"/>
          <w:lang w:val="en-US" w:eastAsia="zh-CN"/>
        </w:rPr>
        <w:t>严格按照食品安全标准进行食品处理，防止交叉污染；定期对食材进行检测，确保食品安全；按照规定进行食品留样，以便追溯和检测；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负责食堂设备日常维护，</w:t>
      </w:r>
      <w:r>
        <w:rPr>
          <w:rFonts w:hint="eastAsia" w:ascii="仿宋_GB2312" w:hAnsi="仿宋_GB2312" w:eastAsia="仿宋_GB2312" w:cs="仿宋_GB2312"/>
          <w:b w:val="0"/>
          <w:bCs/>
          <w:color w:val="auto"/>
          <w:sz w:val="32"/>
          <w:szCs w:val="32"/>
          <w:lang w:val="en-US" w:eastAsia="zh-CN"/>
        </w:rPr>
        <w:t>定期检查，确保设备正常运行</w:t>
      </w:r>
      <w:r>
        <w:rPr>
          <w:rFonts w:hint="eastAsia" w:ascii="仿宋_GB2312" w:hAnsi="仿宋_GB2312" w:eastAsia="仿宋_GB2312" w:cs="仿宋_GB2312"/>
          <w:sz w:val="32"/>
          <w:szCs w:val="32"/>
          <w:lang w:eastAsia="zh-CN"/>
        </w:rPr>
        <w:t>;</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负责按照深圳市城管关于生活垃圾分类的要求对食堂垃圾进行分类投放处理；</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负责对厨房餐具、生产用水及相关熟食进行不定期检测并存档；</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8.负责安排人员协助开展食材验收工作；</w:t>
      </w:r>
    </w:p>
    <w:p>
      <w:pPr>
        <w:keepNext w:val="0"/>
        <w:keepLines w:val="0"/>
        <w:pageBreakBefore w:val="0"/>
        <w:widowControl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负责传统节日、老人生日及其他特殊节点，安排特色餐食，打造养老机构餐饮文化。</w:t>
      </w:r>
    </w:p>
    <w:p>
      <w:pPr>
        <w:keepNext w:val="0"/>
        <w:keepLines w:val="0"/>
        <w:pageBreakBefore w:val="0"/>
        <w:widowControl w:val="0"/>
        <w:wordWrap/>
        <w:overflowPunct/>
        <w:topLinePunct w:val="0"/>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1.为保障食堂运营需要，投标人需派不少于3名食堂工作人员（厨师长1名，</w:t>
      </w:r>
      <w:r>
        <w:rPr>
          <w:rFonts w:hint="eastAsia" w:ascii="仿宋_GB2312" w:hAnsi="仿宋_GB2312" w:eastAsia="仿宋_GB2312" w:cs="仿宋_GB2312"/>
          <w:i w:val="0"/>
          <w:iCs w:val="0"/>
          <w:color w:val="000000"/>
          <w:kern w:val="0"/>
          <w:sz w:val="32"/>
          <w:szCs w:val="32"/>
          <w:u w:val="none"/>
          <w:lang w:val="en-US" w:eastAsia="zh-CN" w:bidi="ar"/>
        </w:rPr>
        <w:t>面点师1名，洗碗工兼洗菜工1名</w:t>
      </w:r>
      <w:r>
        <w:rPr>
          <w:rFonts w:hint="eastAsia" w:ascii="仿宋_GB2312" w:hAnsi="仿宋_GB2312" w:eastAsia="仿宋_GB2312" w:cs="仿宋_GB2312"/>
          <w:sz w:val="32"/>
          <w:szCs w:val="32"/>
          <w:lang w:val="en-US" w:eastAsia="zh-CN"/>
        </w:rPr>
        <w:t>）现场驻点，其中厨师长须持有4级（中级）及以上中式烹饪师证书，面点师须持有4级（中级）及中式面点师证书。拟派食堂工作人员必须持有有效健康证上岗，统一服装，应严格执行食品安全法，保障好食品卫生、个人卫生和环境卫生。做好消毒工作，把住病从口入关，严防食物中毒和食源性疾病；严格执行安全生产制度，做好防火、防水、防虫害等，杜绝安全事故。</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2.严格依据《餐饮服务食品安全量化分级管理规定》A级标准，从场所布局、设施设备、人员管理、过程控制、台账记录等维度全链条落实食品安全主体责任，确保量化评分持续达到A级标准。</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遵循“安全第一、预防为主”的方针,遵守国家有关安全生产的法律、法规,制订切实可行的安全生产管理制度、食品安全制度、操作规程和应急预案等。</w:t>
      </w:r>
    </w:p>
    <w:p>
      <w:pPr>
        <w:pStyle w:val="9"/>
        <w:keepNext w:val="0"/>
        <w:keepLines w:val="0"/>
        <w:pageBreakBefore w:val="0"/>
        <w:widowControl w:val="0"/>
        <w:wordWrap/>
        <w:overflowPunct/>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强化食品安全风险防控，建立“源头管控+过程追溯+末端抽检”全链条管理机制。严格执行食品采购索证索票、进货查验及台账登记制度，确保食材来源可溯、质量可控；规范食品加工操作流程，落实生熟分开、烧熟煮透、留样备检等关键控制点；每餐留样不少于125克、保存不少于48小时，餐具消毒达标率 100%。</w:t>
      </w:r>
    </w:p>
    <w:p>
      <w:pPr>
        <w:pStyle w:val="9"/>
        <w:keepNext w:val="0"/>
        <w:keepLines w:val="0"/>
        <w:pageBreakBefore w:val="0"/>
        <w:widowControl w:val="0"/>
        <w:wordWrap/>
        <w:overflowPunct/>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负责厨房墙面、地面、天花、所有室内外配套设备清洁及下水排污管道的疏通；就餐餐厅的地面，墙面、餐座椅、窗户、照明设备、空调设施等所有内外施设清洁；食堂、餐厅周围</w:t>
      </w:r>
      <w:r>
        <w:rPr>
          <w:rFonts w:hint="eastAsia" w:ascii="仿宋_GB2312" w:hAnsi="仿宋_GB2312" w:eastAsia="仿宋_GB2312" w:cs="仿宋_GB2312"/>
          <w:sz w:val="32"/>
          <w:szCs w:val="32"/>
          <w:lang w:eastAsia="zh-CN"/>
        </w:rPr>
        <w:t>。</w:t>
      </w:r>
    </w:p>
    <w:p>
      <w:pPr>
        <w:pStyle w:val="10"/>
        <w:keepNext w:val="0"/>
        <w:keepLines w:val="0"/>
        <w:pageBreakBefore w:val="0"/>
        <w:widowControl w:val="0"/>
        <w:wordWrap/>
        <w:overflowPunct/>
        <w:topLinePunct w:val="0"/>
        <w:bidi w:val="0"/>
        <w:spacing w:after="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6.必须以勤俭节约为原则,降低损耗,节省不必要的开支。爱护厨具。</w:t>
      </w:r>
    </w:p>
    <w:p>
      <w:pPr>
        <w:pStyle w:val="10"/>
        <w:keepNext w:val="0"/>
        <w:keepLines w:val="0"/>
        <w:pageBreakBefore w:val="0"/>
        <w:widowControl w:val="0"/>
        <w:wordWrap/>
        <w:overflowPunct/>
        <w:topLinePunct w:val="0"/>
        <w:bidi w:val="0"/>
        <w:spacing w:after="0"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7.加强用电、明火的安全管理,做好定期和日常的食堂安全检查,严禁私自乱接乱拉电线、严禁厨房、餐厅内吸烟等不安全行为，确保龙华区悦颐园食堂运营安全、有序。</w:t>
      </w:r>
    </w:p>
    <w:p>
      <w:pPr>
        <w:keepNext w:val="0"/>
        <w:keepLines w:val="0"/>
        <w:pageBreakBefore w:val="0"/>
        <w:widowControl w:val="0"/>
        <w:wordWrap/>
        <w:overflowPunct/>
        <w:topLinePunct w:val="0"/>
        <w:bidi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（三）餐食标准及用餐时间</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早餐（上午7:30-9:00）：各类主食不少于6种，具体包括包点类1、粉面饭类2、流质类1（豆浆、牛奶等）、鸡蛋1、粥1、粗粮1、青菜1、小菜类1。</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午餐（中午11:00-1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0）、晚餐（下午17:00-1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0）分别：各类菜品不少于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种，具体包括主荤1、副荤</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、素菜2、主食2（米饭、面食）、汤1、水果1、小菜1。</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主荤含肉类不得低于75%，副荤含肉类不得低于50%。所有肉类均为鲜货，不接受冻品。主荤菜品一周提供频率：鲜禽不少于2次，猪肉不少于2次，河鲜不少于2次；副荤菜品一周提供频率：牛肉不少于1次，海鲜不少于1次，河鲜不少于2次。特殊节气或节假日可适当增加甜品或菜品。</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hd w:val="clea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highlight w:val="none"/>
          <w:lang w:val="en-US" w:eastAsia="zh-CN"/>
        </w:rPr>
        <w:t>报价限额不超过484000</w:t>
      </w:r>
      <w:r>
        <w:rPr>
          <w:rFonts w:hint="eastAsia" w:ascii="仿宋_GB2312" w:hAnsi="仿宋_GB2312" w:eastAsia="仿宋_GB2312" w:cs="仿宋_GB2312"/>
          <w:sz w:val="32"/>
          <w:szCs w:val="36"/>
          <w:highlight w:val="none"/>
          <w:lang w:eastAsia="zh-CN"/>
        </w:rPr>
        <w:t>元（</w:t>
      </w:r>
      <w:r>
        <w:rPr>
          <w:rFonts w:hint="eastAsia" w:ascii="仿宋_GB2312" w:hAnsi="仿宋_GB2312" w:eastAsia="仿宋_GB2312" w:cs="仿宋_GB2312"/>
          <w:sz w:val="32"/>
          <w:szCs w:val="36"/>
          <w:highlight w:val="none"/>
          <w:lang w:val="en-US" w:eastAsia="zh-CN"/>
        </w:rPr>
        <w:t>大写肆拾捌万肆仟元整</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7"/>
        <w:tblW w:w="9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1"/>
        <w:gridCol w:w="3015"/>
        <w:gridCol w:w="3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0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675"/>
              </w:tabs>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b/>
                <w:bCs/>
                <w:sz w:val="32"/>
                <w:szCs w:val="32"/>
                <w:highlight w:val="none"/>
                <w:lang w:val="en-US" w:eastAsia="zh-CN"/>
              </w:rPr>
              <w:t>2026年龙华区悦颐园食堂运营服务项目报价表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名称</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数量</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eastAsia="zh-CN"/>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厨师长</w:t>
            </w:r>
          </w:p>
        </w:tc>
        <w:tc>
          <w:tcPr>
            <w:tcW w:w="30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303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rPr>
              <w:t>全年（365/366天）为在院老年人提供膳食服务。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rPr>
              <w:t>包含所在岗位人员的社保公积金、</w:t>
            </w:r>
            <w:r>
              <w:rPr>
                <w:rFonts w:hint="eastAsia" w:ascii="仿宋_GB2312" w:hAnsi="仿宋_GB2312" w:eastAsia="仿宋_GB2312" w:cs="仿宋_GB2312"/>
                <w:i w:val="0"/>
                <w:iCs w:val="0"/>
                <w:color w:val="000000"/>
                <w:sz w:val="32"/>
                <w:szCs w:val="32"/>
                <w:u w:val="none"/>
                <w:lang w:eastAsia="zh-CN"/>
              </w:rPr>
              <w:t>公休日</w:t>
            </w:r>
            <w:r>
              <w:rPr>
                <w:rFonts w:hint="eastAsia" w:ascii="仿宋_GB2312" w:hAnsi="仿宋_GB2312" w:eastAsia="仿宋_GB2312" w:cs="仿宋_GB2312"/>
                <w:i w:val="0"/>
                <w:iCs w:val="0"/>
                <w:color w:val="000000"/>
                <w:sz w:val="32"/>
                <w:szCs w:val="32"/>
                <w:u w:val="none"/>
              </w:rPr>
              <w:t>及法定节假日加班费。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面点师</w:t>
            </w:r>
          </w:p>
        </w:tc>
        <w:tc>
          <w:tcPr>
            <w:tcW w:w="30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3030" w:type="dxa"/>
            <w:vMerge w:val="continue"/>
            <w:tcBorders>
              <w:left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洗碗工兼洗菜工</w:t>
            </w:r>
          </w:p>
        </w:tc>
        <w:tc>
          <w:tcPr>
            <w:tcW w:w="30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3030" w:type="dxa"/>
            <w:vMerge w:val="continue"/>
            <w:tcBorders>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抽油烟机清洗</w:t>
            </w:r>
          </w:p>
        </w:tc>
        <w:tc>
          <w:tcPr>
            <w:tcW w:w="30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4次</w:t>
            </w:r>
          </w:p>
        </w:tc>
        <w:tc>
          <w:tcPr>
            <w:tcW w:w="30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厨房设施设备安全</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检查及维护</w:t>
            </w:r>
          </w:p>
        </w:tc>
        <w:tc>
          <w:tcPr>
            <w:tcW w:w="30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12次</w:t>
            </w:r>
          </w:p>
        </w:tc>
        <w:tc>
          <w:tcPr>
            <w:tcW w:w="30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901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val="0"/>
                <w:bCs w:val="0"/>
                <w:sz w:val="32"/>
                <w:szCs w:val="32"/>
                <w:vertAlign w:val="baseline"/>
                <w:lang w:eastAsia="zh-CN"/>
              </w:rPr>
              <w:t>投标价格（元）：</w:t>
            </w:r>
            <w:r>
              <w:rPr>
                <w:rFonts w:hint="eastAsia" w:ascii="仿宋_GB2312" w:hAnsi="仿宋_GB2312" w:eastAsia="仿宋_GB2312" w:cs="仿宋_GB2312"/>
                <w:b w:val="0"/>
                <w:bCs w:val="0"/>
                <w:sz w:val="32"/>
                <w:szCs w:val="32"/>
                <w:vertAlign w:val="baseline"/>
                <w:lang w:val="en-US" w:eastAsia="zh-CN"/>
              </w:rPr>
              <w:t xml:space="preserve">小写：      大写：     </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21"/>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21"/>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w:t>
      </w:r>
      <w:r>
        <w:rPr>
          <w:rFonts w:hint="eastAsia" w:ascii="仿宋_GB2312" w:hAnsi="仿宋" w:eastAsia="仿宋_GB2312" w:cs="仿宋"/>
          <w:sz w:val="32"/>
          <w:szCs w:val="32"/>
          <w:lang w:eastAsia="zh-CN"/>
        </w:rPr>
        <w:t>食品安全事故、无重大行政处罚记录，未被列入经营异常名录、严重违法失信名单，无养老餐饮服务失信投诉、违规运营记录；</w:t>
      </w:r>
    </w:p>
    <w:p>
      <w:pPr>
        <w:pStyle w:val="21"/>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21"/>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（四）具有独立法人资格，持有有效的营业执照、食品经营许可证，经营范围包含餐饮服务。</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2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3"/>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7"/>
        <w:gridCol w:w="219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商务部分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60</w:t>
            </w:r>
            <w:r>
              <w:rPr>
                <w:rFonts w:hint="eastAsia" w:ascii="仿宋_GB2312" w:hAnsi="仿宋_GB2312" w:eastAsia="仿宋_GB2312" w:cs="仿宋_GB2312"/>
                <w:b w:val="0"/>
                <w:bCs/>
                <w:sz w:val="32"/>
                <w:szCs w:val="32"/>
              </w:rPr>
              <w:t>分</w:t>
            </w:r>
          </w:p>
        </w:tc>
      </w:tr>
    </w:tbl>
    <w:p>
      <w:pPr>
        <w:pStyle w:val="23"/>
        <w:numPr>
          <w:ilvl w:val="0"/>
          <w:numId w:val="2"/>
        </w:num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评分标准</w:t>
      </w:r>
    </w:p>
    <w:p>
      <w:pPr>
        <w:pStyle w:val="23"/>
        <w:numPr>
          <w:ilvl w:val="0"/>
          <w:numId w:val="0"/>
        </w:numPr>
        <w:spacing w:line="560" w:lineRule="exact"/>
        <w:rPr>
          <w:rFonts w:hint="eastAsia" w:ascii="楷体_GB2312" w:hAnsi="楷体_GB2312" w:eastAsia="楷体_GB2312" w:cs="楷体_GB2312"/>
          <w:b w:val="0"/>
          <w:bCs/>
          <w:color w:val="000000"/>
          <w:sz w:val="32"/>
          <w:szCs w:val="32"/>
        </w:rPr>
      </w:pPr>
    </w:p>
    <w:p>
      <w:pPr>
        <w:pStyle w:val="23"/>
        <w:numPr>
          <w:ilvl w:val="0"/>
          <w:numId w:val="0"/>
        </w:numPr>
        <w:spacing w:line="560" w:lineRule="exact"/>
        <w:rPr>
          <w:rFonts w:hint="eastAsia" w:ascii="楷体_GB2312" w:hAnsi="楷体_GB2312" w:eastAsia="楷体_GB2312" w:cs="楷体_GB2312"/>
          <w:b w:val="0"/>
          <w:bCs/>
          <w:color w:val="000000"/>
          <w:sz w:val="32"/>
          <w:szCs w:val="32"/>
        </w:rPr>
      </w:pPr>
    </w:p>
    <w:p>
      <w:pPr>
        <w:pStyle w:val="23"/>
        <w:numPr>
          <w:ilvl w:val="0"/>
          <w:numId w:val="0"/>
        </w:numPr>
        <w:spacing w:line="560" w:lineRule="exact"/>
        <w:rPr>
          <w:rFonts w:hint="eastAsia" w:ascii="楷体_GB2312" w:hAnsi="楷体_GB2312" w:eastAsia="楷体_GB2312" w:cs="楷体_GB2312"/>
          <w:b w:val="0"/>
          <w:bCs/>
          <w:color w:val="000000"/>
          <w:sz w:val="32"/>
          <w:szCs w:val="32"/>
        </w:rPr>
      </w:pPr>
    </w:p>
    <w:tbl>
      <w:tblPr>
        <w:tblStyle w:val="18"/>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88"/>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10分</w:t>
            </w:r>
            <w:r>
              <w:rPr>
                <w:rFonts w:hint="eastAsia" w:ascii="仿宋_GB2312" w:hAnsi="仿宋_GB2312" w:eastAsia="仿宋_GB2312" w:cs="仿宋_GB2312"/>
                <w:sz w:val="32"/>
                <w:szCs w:val="32"/>
                <w:vertAlign w:val="baseline"/>
                <w:lang w:eastAsia="zh-CN"/>
              </w:rPr>
              <w:t>）</w:t>
            </w:r>
          </w:p>
        </w:tc>
        <w:tc>
          <w:tcPr>
            <w:tcW w:w="1488" w:type="dxa"/>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134"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134"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0分，</w:t>
            </w:r>
            <w:r>
              <w:rPr>
                <w:rFonts w:hint="eastAsia" w:ascii="仿宋_GB2312" w:hAnsi="仿宋_GB2312" w:eastAsia="仿宋_GB2312" w:cs="仿宋_GB2312"/>
                <w:sz w:val="32"/>
                <w:szCs w:val="32"/>
                <w:lang w:val="en-US" w:eastAsia="zh-CN"/>
              </w:rPr>
              <w:t>本项最高得10分</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商务</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部分</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30分</w:t>
            </w:r>
            <w:r>
              <w:rPr>
                <w:rFonts w:hint="eastAsia" w:ascii="仿宋_GB2312" w:hAnsi="仿宋_GB2312" w:eastAsia="仿宋_GB2312" w:cs="仿宋_GB2312"/>
                <w:sz w:val="32"/>
                <w:szCs w:val="32"/>
                <w:vertAlign w:val="baseline"/>
                <w:lang w:eastAsia="zh-CN"/>
              </w:rPr>
              <w:t>）</w:t>
            </w:r>
          </w:p>
        </w:tc>
        <w:tc>
          <w:tcPr>
            <w:tcW w:w="1488" w:type="dxa"/>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因素</w:t>
            </w:r>
          </w:p>
        </w:tc>
        <w:tc>
          <w:tcPr>
            <w:tcW w:w="6134"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shd w:val="clear" w:color="auto" w:fill="auto"/>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lang w:eastAsia="zh-CN"/>
              </w:rPr>
              <w:t>项目经验（</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134" w:type="dxa"/>
            <w:shd w:val="clear" w:color="auto" w:fill="auto"/>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日至本项目采购公示截止日，</w:t>
            </w:r>
            <w:r>
              <w:rPr>
                <w:rFonts w:hint="eastAsia" w:ascii="仿宋_GB2312" w:hAnsi="仿宋_GB2312" w:eastAsia="仿宋_GB2312" w:cs="仿宋_GB2312"/>
                <w:sz w:val="32"/>
                <w:szCs w:val="32"/>
                <w:lang w:val="en-US" w:eastAsia="zh-CN"/>
              </w:rPr>
              <w:t>每提供一项养老机构食堂运营服务项目</w:t>
            </w:r>
            <w:r>
              <w:rPr>
                <w:rFonts w:hint="eastAsia" w:ascii="仿宋_GB2312" w:hAnsi="仿宋_GB2312" w:eastAsia="仿宋_GB2312" w:cs="仿宋_GB2312"/>
                <w:sz w:val="32"/>
                <w:szCs w:val="32"/>
                <w:lang w:eastAsia="zh-CN"/>
              </w:rPr>
              <w:t>业绩得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分，每提供一项行政机关</w:t>
            </w:r>
            <w:r>
              <w:rPr>
                <w:rFonts w:hint="eastAsia" w:ascii="仿宋_GB2312" w:hAnsi="仿宋_GB2312" w:eastAsia="仿宋_GB2312" w:cs="仿宋_GB2312"/>
                <w:sz w:val="32"/>
                <w:szCs w:val="32"/>
                <w:lang w:val="en-US" w:eastAsia="zh-CN"/>
              </w:rPr>
              <w:t>/事业单位食堂运营服务项目业绩得2分，</w:t>
            </w:r>
            <w:r>
              <w:rPr>
                <w:rFonts w:hint="eastAsia" w:ascii="仿宋_GB2312" w:hAnsi="仿宋_GB2312" w:eastAsia="仿宋_GB2312" w:cs="仿宋_GB2312"/>
                <w:sz w:val="32"/>
                <w:szCs w:val="32"/>
                <w:lang w:eastAsia="zh-CN"/>
              </w:rPr>
              <w:t>最高得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投标人提供合同关键页(包括首尾页、服务</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内容页等)扫描件、合同甲方的履约评价扫描件。通过合同关键信息无法判断是否得分的,也可以提供能证明得分的其它证明资料,如项目报告或合同甲方出具的证明文件等,原件备查,未提供或未按要求提供或提供的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134"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numPr>
                <w:ilvl w:val="0"/>
                <w:numId w:val="0"/>
              </w:numPr>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技术部分（6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vertAlign w:val="baseline"/>
                <w:lang w:val="en-US" w:eastAsia="zh-CN"/>
              </w:rPr>
              <w:t>分）</w:t>
            </w:r>
          </w:p>
        </w:tc>
        <w:tc>
          <w:tcPr>
            <w:tcW w:w="1488"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lang w:val="en-US" w:eastAsia="zh-CN"/>
              </w:rPr>
              <w:t>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sz w:val="32"/>
                <w:szCs w:val="32"/>
                <w:lang w:val="en-US" w:eastAsia="zh-CN"/>
              </w:rPr>
              <w:t>分）</w:t>
            </w:r>
          </w:p>
        </w:tc>
        <w:tc>
          <w:tcPr>
            <w:tcW w:w="6134"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根据提供的实施方案，考察包括但不限于：</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1.总体运作方案包括:</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（1）食堂管理服务的设想；</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（2）管理方式；</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（3）运作模式；</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（4）服务计划。</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2.服务团队配置方案包括:</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（1）人员的配备；</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（2）人员培训及管理措施。</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3.食品安全管理方案包括:</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（1）工作标准；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（2）食品安全管理制度。</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满足以上任意一项要求5分，最高得15分，在此基础上，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1.优：项目实施方案内容全面、具体、针对性强、科学合理、具有创新性和实操性得15分；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2.良：项目实施方案内容较完整、具有一定针对性、相对合理、可操作性较强得8分；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3.中：项目实施方案内容、针对性、可操作性一般得3分；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vertAlign w:val="baseline"/>
                <w:lang w:val="en-US" w:eastAsia="zh-CN"/>
              </w:rPr>
              <w:t>分）</w:t>
            </w:r>
          </w:p>
        </w:tc>
        <w:tc>
          <w:tcPr>
            <w:tcW w:w="6134"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2.根据项目重难点，详细阐述对应的应对措施及合理化建议。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满足以上任意一项要求得2.5分，最高得5分，在此基础上，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w:t>
            </w:r>
            <w:r>
              <w:rPr>
                <w:rFonts w:hint="eastAsia" w:ascii="仿宋_GB2312" w:hAnsi="仿宋_GB2312" w:eastAsia="仿宋_GB2312" w:cs="仿宋_GB2312"/>
                <w:sz w:val="32"/>
                <w:szCs w:val="32"/>
                <w:highlight w:val="none"/>
                <w:lang w:eastAsia="zh-CN"/>
              </w:rPr>
              <w:t>方案全面完善，对</w:t>
            </w:r>
            <w:r>
              <w:rPr>
                <w:rFonts w:hint="eastAsia" w:ascii="仿宋_GB2312" w:hAnsi="仿宋_GB2312" w:eastAsia="仿宋_GB2312" w:cs="仿宋_GB2312"/>
                <w:sz w:val="32"/>
                <w:szCs w:val="32"/>
                <w:highlight w:val="none"/>
              </w:rPr>
              <w:t>项目重难点分析</w:t>
            </w:r>
            <w:r>
              <w:rPr>
                <w:rFonts w:hint="eastAsia" w:ascii="仿宋_GB2312" w:hAnsi="仿宋_GB2312" w:eastAsia="仿宋_GB2312" w:cs="仿宋_GB2312"/>
                <w:sz w:val="32"/>
                <w:szCs w:val="32"/>
                <w:highlight w:val="none"/>
                <w:lang w:eastAsia="zh-CN"/>
              </w:rPr>
              <w:t>深入透彻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逻辑严谨、层次清晰，贴合工作实际、</w:t>
            </w:r>
            <w:r>
              <w:rPr>
                <w:rFonts w:hint="eastAsia" w:ascii="仿宋_GB2312" w:hAnsi="仿宋_GB2312" w:eastAsia="仿宋_GB2312" w:cs="仿宋_GB2312"/>
                <w:sz w:val="32"/>
                <w:szCs w:val="32"/>
                <w:highlight w:val="none"/>
              </w:rPr>
              <w:t>应对措施针对性强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良：</w:t>
            </w:r>
            <w:r>
              <w:rPr>
                <w:rFonts w:hint="eastAsia" w:ascii="仿宋_GB2312" w:hAnsi="仿宋_GB2312" w:eastAsia="仿宋_GB2312" w:cs="仿宋_GB2312"/>
                <w:sz w:val="32"/>
                <w:szCs w:val="32"/>
                <w:highlight w:val="none"/>
                <w:lang w:eastAsia="zh-CN"/>
              </w:rPr>
              <w:t>方案较完善，能识别</w:t>
            </w:r>
            <w:r>
              <w:rPr>
                <w:rFonts w:hint="eastAsia" w:ascii="仿宋_GB2312" w:hAnsi="仿宋_GB2312" w:eastAsia="仿宋_GB2312" w:cs="仿宋_GB2312"/>
                <w:sz w:val="32"/>
                <w:szCs w:val="32"/>
                <w:highlight w:val="none"/>
              </w:rPr>
              <w:t>项目重难点</w:t>
            </w:r>
            <w:r>
              <w:rPr>
                <w:rFonts w:hint="eastAsia" w:ascii="仿宋_GB2312" w:hAnsi="仿宋_GB2312" w:eastAsia="仿宋_GB2312" w:cs="仿宋_GB2312"/>
                <w:sz w:val="32"/>
                <w:szCs w:val="32"/>
                <w:highlight w:val="none"/>
                <w:lang w:eastAsia="zh-CN"/>
              </w:rPr>
              <w:t>与关键风险，</w:t>
            </w:r>
            <w:r>
              <w:rPr>
                <w:rFonts w:hint="eastAsia" w:ascii="仿宋_GB2312" w:hAnsi="仿宋_GB2312" w:eastAsia="仿宋_GB2312" w:cs="仿宋_GB2312"/>
                <w:sz w:val="32"/>
                <w:szCs w:val="32"/>
                <w:highlight w:val="none"/>
              </w:rPr>
              <w:t>应对措施</w:t>
            </w:r>
            <w:r>
              <w:rPr>
                <w:rFonts w:hint="eastAsia" w:ascii="仿宋_GB2312" w:hAnsi="仿宋_GB2312" w:eastAsia="仿宋_GB2312" w:cs="仿宋_GB2312"/>
                <w:sz w:val="32"/>
                <w:szCs w:val="32"/>
                <w:highlight w:val="none"/>
                <w:lang w:eastAsia="zh-CN"/>
              </w:rPr>
              <w:t>针对性较强，</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中：项目重点难点分析、应对措施及相关的合理化建议的三点内容完整性、针对性、可操作性均一般，加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差：</w:t>
            </w:r>
            <w:r>
              <w:rPr>
                <w:rFonts w:hint="eastAsia" w:ascii="仿宋_GB2312" w:hAnsi="仿宋_GB2312" w:eastAsia="仿宋_GB2312" w:cs="仿宋_GB2312"/>
                <w:color w:val="auto"/>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质量保障措施及方案</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10分</w:t>
            </w:r>
            <w:r>
              <w:rPr>
                <w:rFonts w:hint="eastAsia" w:ascii="仿宋_GB2312" w:hAnsi="仿宋_GB2312" w:eastAsia="仿宋_GB2312" w:cs="仿宋_GB2312"/>
                <w:sz w:val="32"/>
                <w:szCs w:val="32"/>
                <w:highlight w:val="none"/>
                <w:vertAlign w:val="baseline"/>
                <w:lang w:eastAsia="zh-CN"/>
              </w:rPr>
              <w:t>）</w:t>
            </w:r>
          </w:p>
        </w:tc>
        <w:tc>
          <w:tcPr>
            <w:tcW w:w="6134"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1.具备详细的完成时间保障措施；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2.详细阐述项目人员保障措施；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3.详细阐述项目质量保障措施。</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（二）评分标准：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满足以上任意一项要求得2分，最高得6分，在此基础上，</w:t>
            </w:r>
            <w:r>
              <w:rPr>
                <w:rFonts w:hint="eastAsia" w:ascii="仿宋_GB2312" w:hAnsi="仿宋_GB2312" w:eastAsia="仿宋_GB2312" w:cs="仿宋_GB2312"/>
                <w:sz w:val="32"/>
                <w:szCs w:val="32"/>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优：以上项目质量保障措施及方案内容全面具体、针对性强、可操作性强，保障措施丰富，加</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良：以上项目质量保障措施及方案内容较丰富、针对性较强、可操作性较强，加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中：以上项目质量保障措施及方案内容完整性、针对性、可操作性均一般，加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差：</w:t>
            </w:r>
            <w:r>
              <w:rPr>
                <w:rFonts w:hint="eastAsia" w:ascii="仿宋_GB2312" w:hAnsi="仿宋_GB2312" w:eastAsia="仿宋_GB2312" w:cs="仿宋_GB2312"/>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拟安排项目团队成员</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lang w:val="en-US" w:eastAsia="zh-CN"/>
              </w:rPr>
              <w:t>分）</w:t>
            </w:r>
          </w:p>
        </w:tc>
        <w:tc>
          <w:tcPr>
            <w:tcW w:w="6134"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w:t>
            </w:r>
            <w:r>
              <w:rPr>
                <w:rFonts w:hint="default" w:ascii="仿宋_GB2312" w:hAnsi="仿宋_GB2312" w:eastAsia="仿宋_GB2312" w:cs="仿宋_GB2312"/>
                <w:color w:val="auto"/>
                <w:kern w:val="2"/>
                <w:sz w:val="32"/>
                <w:szCs w:val="32"/>
                <w:lang w:val="en-US" w:eastAsia="zh-CN" w:bidi="ar-SA"/>
              </w:rPr>
              <w:t>有</w:t>
            </w:r>
            <w:r>
              <w:rPr>
                <w:rFonts w:hint="eastAsia" w:ascii="仿宋_GB2312" w:hAnsi="仿宋_GB2312" w:eastAsia="仿宋_GB2312" w:cs="仿宋_GB2312"/>
                <w:color w:val="auto"/>
                <w:kern w:val="2"/>
                <w:sz w:val="32"/>
                <w:szCs w:val="32"/>
                <w:lang w:val="en-US" w:eastAsia="zh-CN" w:bidi="ar-SA"/>
              </w:rPr>
              <w:t>4级（中级）及以上中式烹饪师</w:t>
            </w:r>
            <w:r>
              <w:rPr>
                <w:rFonts w:hint="default" w:ascii="仿宋_GB2312" w:hAnsi="仿宋_GB2312" w:eastAsia="仿宋_GB2312" w:cs="仿宋_GB2312"/>
                <w:color w:val="auto"/>
                <w:kern w:val="2"/>
                <w:sz w:val="32"/>
                <w:szCs w:val="32"/>
                <w:lang w:val="en-US" w:eastAsia="zh-CN" w:bidi="ar-SA"/>
              </w:rPr>
              <w:t>证书</w:t>
            </w:r>
            <w:r>
              <w:rPr>
                <w:rFonts w:hint="eastAsia" w:ascii="仿宋_GB2312" w:hAnsi="仿宋_GB2312" w:eastAsia="仿宋_GB2312" w:cs="仿宋_GB2312"/>
                <w:sz w:val="32"/>
                <w:szCs w:val="32"/>
                <w:lang w:eastAsia="zh-CN"/>
              </w:rPr>
              <w:t>资质的专业人才，得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1名4级（中级）及</w:t>
            </w:r>
            <w:r>
              <w:rPr>
                <w:rFonts w:hint="default" w:ascii="仿宋_GB2312" w:hAnsi="仿宋_GB2312" w:eastAsia="仿宋_GB2312" w:cs="仿宋_GB2312"/>
                <w:color w:val="auto"/>
                <w:kern w:val="2"/>
                <w:sz w:val="32"/>
                <w:szCs w:val="32"/>
                <w:lang w:val="en-US" w:eastAsia="zh-CN" w:bidi="ar-SA"/>
              </w:rPr>
              <w:t>中式面点师证书</w:t>
            </w:r>
            <w:r>
              <w:rPr>
                <w:rFonts w:hint="eastAsia" w:ascii="仿宋_GB2312" w:hAnsi="仿宋_GB2312" w:eastAsia="仿宋_GB2312" w:cs="仿宋_GB2312"/>
                <w:sz w:val="32"/>
                <w:szCs w:val="32"/>
                <w:lang w:val="en-US" w:eastAsia="zh-CN"/>
              </w:rPr>
              <w:t>资质的专业人才，得3分；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3.投入本项目的团队成员（须为投标人正式员工）中，具有餐饮企业运营工作经验的，人员累计服务年限满2年，每有一人得2分，本项最高得4分；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同一人具备1、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项情况的不可</w:t>
            </w:r>
            <w:r>
              <w:rPr>
                <w:rFonts w:hint="eastAsia" w:ascii="仿宋_GB2312" w:hAnsi="仿宋_GB2312" w:eastAsia="仿宋_GB2312" w:cs="仿宋_GB2312"/>
                <w:sz w:val="32"/>
                <w:szCs w:val="32"/>
                <w:lang w:val="en-US" w:eastAsia="zh-CN"/>
              </w:rPr>
              <w:t>重复得</w:t>
            </w:r>
            <w:r>
              <w:rPr>
                <w:rFonts w:hint="eastAsia" w:ascii="仿宋_GB2312" w:hAnsi="仿宋_GB2312" w:eastAsia="仿宋_GB2312" w:cs="仿宋_GB2312"/>
                <w:sz w:val="32"/>
                <w:szCs w:val="32"/>
                <w:lang w:eastAsia="zh-CN"/>
              </w:rPr>
              <w:t>分，其他情况可重复得分，本项最高得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提供相关证书证明材料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w:t>
            </w:r>
            <w:r>
              <w:rPr>
                <w:rFonts w:hint="eastAsia" w:ascii="仿宋_GB2312" w:hAnsi="仿宋_GB2312" w:eastAsia="仿宋_GB2312" w:cs="仿宋_GB2312"/>
                <w:sz w:val="32"/>
                <w:szCs w:val="32"/>
              </w:rPr>
              <w:t>），以及满足评分要求的服务内容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bl>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p>
    <w:p>
      <w:pPr>
        <w:pStyle w:val="23"/>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11"/>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11"/>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11"/>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11"/>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w:t>
      </w:r>
    </w:p>
    <w:p>
      <w:pPr>
        <w:pStyle w:val="11"/>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color w:val="auto"/>
          <w:kern w:val="2"/>
          <w:sz w:val="32"/>
          <w:szCs w:val="24"/>
          <w:u w:val="none"/>
          <w:lang w:val="en-US" w:eastAsia="zh-CN" w:bidi="ar-SA"/>
        </w:rPr>
        <w:t>https://zxcg.szggzy.com/home/index.html</w:t>
      </w:r>
      <w:r>
        <w:rPr>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w:t>
      </w:r>
      <w:bookmarkStart w:id="1" w:name="_GoBack"/>
      <w:bookmarkEnd w:id="1"/>
      <w:r>
        <w:rPr>
          <w:rFonts w:hint="eastAsia" w:ascii="仿宋_GB2312" w:hAnsi="仿宋" w:eastAsia="仿宋_GB2312" w:cs="Times New Roman"/>
          <w:kern w:val="2"/>
          <w:sz w:val="32"/>
          <w:szCs w:val="24"/>
          <w:highlight w:val="none"/>
          <w:lang w:val="en-US" w:eastAsia="zh-CN" w:bidi="ar-SA"/>
        </w:rPr>
        <w:t>中国政府采购网等渠道查询供应商信用记录，对列入失信被执行人名单等的供应商拒绝其参与采购活动。</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纸质文件投递方式，如仅提交电子投标资料或纸质投标资料均视为无效投标。电子投标资料通过邮箱发至：szlhmzj@szlhq.gov.cn，文件夹命名方式为“2026年龙华区悦颐园食堂运营服务项目+公司全称+日期+联系人+联系方式”。</w:t>
      </w:r>
    </w:p>
    <w:p>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eastAsia="zh-CN"/>
        </w:rPr>
        <w:t>纸质投标资料一式五份（正本一份、副本四份，正本需逐页盖章，副本可为正本盖章复印件，分别注明“正本”或“副本”，装订成册密封并在封口处加盖投标人公章，投标单位需在投标文件封面注明投标单位的名称、地址、联系人及手机号码）提交至深圳市龙华区龙华街道龙观西路362号龙华区悦颐园2楼822</w:t>
      </w:r>
      <w:r>
        <w:rPr>
          <w:rFonts w:hint="eastAsia" w:ascii="仿宋_GB2312" w:hAnsi="仿宋" w:eastAsia="仿宋_GB2312" w:cs="Times New Roman"/>
          <w:sz w:val="32"/>
          <w:highlight w:val="none"/>
          <w:lang w:val="en-US" w:eastAsia="zh-CN"/>
        </w:rPr>
        <w:t>7</w:t>
      </w:r>
      <w:r>
        <w:rPr>
          <w:rFonts w:hint="eastAsia" w:ascii="仿宋_GB2312" w:hAnsi="仿宋" w:eastAsia="仿宋_GB2312" w:cs="Times New Roman"/>
          <w:sz w:val="32"/>
          <w:highlight w:val="none"/>
          <w:lang w:eastAsia="zh-CN"/>
        </w:rPr>
        <w:t>房，纸质投标文件应于递交截止时间之前送达采购公告规定的地址。</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6"/>
        <w:snapToGrid w:val="0"/>
        <w:spacing w:before="0" w:after="0" w:line="560" w:lineRule="exact"/>
        <w:rPr>
          <w:rFonts w:hint="eastAsia" w:ascii="方正小标宋简体" w:hAnsi="方正小标宋简体" w:eastAsia="方正小标宋简体" w:cs="方正小标宋简体"/>
          <w:b w:val="0"/>
          <w:bCs w:val="0"/>
          <w:sz w:val="44"/>
          <w:szCs w:val="44"/>
          <w:lang w:eastAsia="zh-CN"/>
        </w:rPr>
      </w:pPr>
    </w:p>
    <w:p>
      <w:pPr>
        <w:pStyle w:val="16"/>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8"/>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B584E"/>
    <w:multiLevelType w:val="singleLevel"/>
    <w:tmpl w:val="DF9B584E"/>
    <w:lvl w:ilvl="0" w:tentative="0">
      <w:start w:val="3"/>
      <w:numFmt w:val="chineseCounting"/>
      <w:suff w:val="nothing"/>
      <w:lvlText w:val="（%1）"/>
      <w:lvlJc w:val="left"/>
      <w:rPr>
        <w:rFonts w:hint="eastAsia"/>
      </w:rPr>
    </w:lvl>
  </w:abstractNum>
  <w:abstractNum w:abstractNumId="1">
    <w:nsid w:val="40FEB204"/>
    <w:multiLevelType w:val="singleLevel"/>
    <w:tmpl w:val="40FEB2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2820350"/>
    <w:rsid w:val="0AE487AD"/>
    <w:rsid w:val="16EB8C75"/>
    <w:rsid w:val="1A78700C"/>
    <w:rsid w:val="1CF724D9"/>
    <w:rsid w:val="26CC7C68"/>
    <w:rsid w:val="3315093A"/>
    <w:rsid w:val="35FF1855"/>
    <w:rsid w:val="3935B585"/>
    <w:rsid w:val="3D5FDCFC"/>
    <w:rsid w:val="3DEE5819"/>
    <w:rsid w:val="3F5B5B47"/>
    <w:rsid w:val="3FEFB381"/>
    <w:rsid w:val="42156510"/>
    <w:rsid w:val="53DE98CD"/>
    <w:rsid w:val="557F3B28"/>
    <w:rsid w:val="5BEB5DAF"/>
    <w:rsid w:val="5DFF5BE7"/>
    <w:rsid w:val="5F2BE56A"/>
    <w:rsid w:val="5F3F3D63"/>
    <w:rsid w:val="5FF2F23F"/>
    <w:rsid w:val="67938A2B"/>
    <w:rsid w:val="67BADCD1"/>
    <w:rsid w:val="6853623F"/>
    <w:rsid w:val="6CFFD566"/>
    <w:rsid w:val="6EAC5256"/>
    <w:rsid w:val="6EAE22C4"/>
    <w:rsid w:val="6FC72380"/>
    <w:rsid w:val="6FFD5E60"/>
    <w:rsid w:val="73FB884D"/>
    <w:rsid w:val="77EF2C1A"/>
    <w:rsid w:val="79DEE360"/>
    <w:rsid w:val="7B2F2850"/>
    <w:rsid w:val="7BF7E217"/>
    <w:rsid w:val="7D9F3A20"/>
    <w:rsid w:val="7DD39989"/>
    <w:rsid w:val="7DDD57CD"/>
    <w:rsid w:val="7DE9CA57"/>
    <w:rsid w:val="7DFB3535"/>
    <w:rsid w:val="7E9F479A"/>
    <w:rsid w:val="7EC7A5AA"/>
    <w:rsid w:val="7F8E7C57"/>
    <w:rsid w:val="7FA997A4"/>
    <w:rsid w:val="7FBD2D39"/>
    <w:rsid w:val="7FEDCC37"/>
    <w:rsid w:val="7FFDB0D1"/>
    <w:rsid w:val="995F0FBB"/>
    <w:rsid w:val="9BFFE87F"/>
    <w:rsid w:val="9EFFBBA7"/>
    <w:rsid w:val="9FD9C14C"/>
    <w:rsid w:val="9FF753B3"/>
    <w:rsid w:val="ACFF9C02"/>
    <w:rsid w:val="AFAF3132"/>
    <w:rsid w:val="AFB79686"/>
    <w:rsid w:val="BB76FCFE"/>
    <w:rsid w:val="BBFF548B"/>
    <w:rsid w:val="BDBC8FF5"/>
    <w:rsid w:val="BDDEB8D7"/>
    <w:rsid w:val="BEBBE67F"/>
    <w:rsid w:val="BEBE3887"/>
    <w:rsid w:val="BF5EBD87"/>
    <w:rsid w:val="BFD70B2B"/>
    <w:rsid w:val="BFFE34A7"/>
    <w:rsid w:val="C7FFEB54"/>
    <w:rsid w:val="CEAEA899"/>
    <w:rsid w:val="D737247F"/>
    <w:rsid w:val="D77F94FC"/>
    <w:rsid w:val="DBDB3940"/>
    <w:rsid w:val="DEB7FE68"/>
    <w:rsid w:val="DF9F634A"/>
    <w:rsid w:val="DFFF69F1"/>
    <w:rsid w:val="E1CF8320"/>
    <w:rsid w:val="E376E1AF"/>
    <w:rsid w:val="E76E496D"/>
    <w:rsid w:val="E77E6E49"/>
    <w:rsid w:val="EFCE6E40"/>
    <w:rsid w:val="EFF64497"/>
    <w:rsid w:val="F5939A89"/>
    <w:rsid w:val="F5FAD71A"/>
    <w:rsid w:val="F5FD9CF5"/>
    <w:rsid w:val="F5FDDF7C"/>
    <w:rsid w:val="F67B46B6"/>
    <w:rsid w:val="F6E6CB06"/>
    <w:rsid w:val="F82BA885"/>
    <w:rsid w:val="FB4D790E"/>
    <w:rsid w:val="FC76EA8B"/>
    <w:rsid w:val="FCFF185E"/>
    <w:rsid w:val="FDFFA232"/>
    <w:rsid w:val="FDFFDEC4"/>
    <w:rsid w:val="FE5F7A6B"/>
    <w:rsid w:val="FFBFB86A"/>
    <w:rsid w:val="FFEF2FC6"/>
    <w:rsid w:val="FFFB3524"/>
    <w:rsid w:val="FFFD4C43"/>
    <w:rsid w:val="FFFF6BBE"/>
    <w:rsid w:val="FFFF7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560" w:lineRule="exact"/>
      <w:ind w:leftChars="0"/>
      <w:outlineLvl w:val="0"/>
    </w:pPr>
    <w:rPr>
      <w:rFonts w:eastAsia="楷体" w:cs="黑体"/>
      <w:b/>
      <w:kern w:val="44"/>
      <w:sz w:val="36"/>
      <w:szCs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720" w:firstLineChars="225"/>
    </w:pPr>
    <w:rPr>
      <w:rFonts w:hint="eastAsia" w:eastAsia="宋体"/>
      <w:sz w:val="32"/>
    </w:rPr>
  </w:style>
  <w:style w:type="paragraph" w:styleId="9">
    <w:name w:val="Body Text First Indent 2"/>
    <w:basedOn w:val="8"/>
    <w:next w:val="10"/>
    <w:unhideWhenUsed/>
    <w:qFormat/>
    <w:uiPriority w:val="99"/>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10">
    <w:name w:val="Body Text First Indent"/>
    <w:basedOn w:val="7"/>
    <w:qFormat/>
    <w:uiPriority w:val="0"/>
    <w:pPr>
      <w:ind w:firstLine="420" w:firstLineChars="100"/>
    </w:pPr>
    <w:rPr>
      <w:sz w:val="20"/>
      <w:szCs w:val="20"/>
    </w:r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unhideWhenUsed/>
    <w:qFormat/>
    <w:uiPriority w:val="99"/>
    <w:rPr>
      <w:rFonts w:ascii="宋体" w:hAnsi="Calibri"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line="360" w:lineRule="auto"/>
    </w:pPr>
    <w:rPr>
      <w:sz w:val="24"/>
    </w:rPr>
  </w:style>
  <w:style w:type="paragraph" w:styleId="16">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styleId="21">
    <w:name w:val="List Paragraph"/>
    <w:basedOn w:val="1"/>
    <w:qFormat/>
    <w:uiPriority w:val="34"/>
    <w:pPr>
      <w:ind w:firstLine="420" w:firstLineChars="200"/>
    </w:pPr>
  </w:style>
  <w:style w:type="paragraph" w:customStyle="1" w:styleId="22">
    <w:name w:val="星耀正文"/>
    <w:basedOn w:val="1"/>
    <w:qFormat/>
    <w:uiPriority w:val="3"/>
    <w:pPr>
      <w:ind w:firstLine="422" w:firstLineChars="200"/>
    </w:pPr>
    <w:rPr>
      <w:rFonts w:ascii="宋体" w:hAnsi="宋体" w:eastAsia="仿宋_GB2312"/>
      <w:bCs/>
    </w:rPr>
  </w:style>
  <w:style w:type="paragraph" w:customStyle="1" w:styleId="23">
    <w:name w:val="USE 1"/>
    <w:basedOn w:val="1"/>
    <w:qFormat/>
    <w:uiPriority w:val="0"/>
    <w:pPr>
      <w:spacing w:line="200" w:lineRule="atLeast"/>
      <w:jc w:val="left"/>
    </w:pPr>
    <w:rPr>
      <w:rFonts w:ascii="宋体" w:hAnsi="宋体"/>
      <w:b/>
      <w:sz w:val="24"/>
      <w:szCs w:val="28"/>
    </w:rPr>
  </w:style>
  <w:style w:type="paragraph" w:customStyle="1" w:styleId="24">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5">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1671</Words>
  <Characters>1715</Characters>
  <Lines>0</Lines>
  <Paragraphs>0</Paragraphs>
  <TotalTime>11</TotalTime>
  <ScaleCrop>false</ScaleCrop>
  <LinksUpToDate>false</LinksUpToDate>
  <CharactersWithSpaces>1719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2025-04-28T17:16:00Z</dcterms:created>
  <dc:creator>yang</dc:creator>
  <cp:lastModifiedBy>微信用户</cp:lastModifiedBy>
  <cp:lastPrinted>2026-05-19T07:05:00Z</cp:lastPrinted>
  <dcterms:modified xsi:type="dcterms:W3CDTF">2026-06-11T17:22:57Z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B8497D5510B37A6EAD04FF692EA9CDEB_43</vt:lpwstr>
  </property>
  <property fmtid="{D5CDD505-2E9C-101B-9397-08002B2CF9AE}" pid="4" name="KSOTemplateDocerSaveRecord">
    <vt:lpwstr>eyJoZGlkIjoiMWRkMTk2MWM4YWY5ZDQ4ZmYyMzY4MzAwMDdiNWJhOTIiLCJ1c2VySWQiOiIyOTUyNjUzMzUifQ==</vt:lpwstr>
  </property>
</Properties>
</file>