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b/>
          <w:sz w:val="44"/>
          <w:szCs w:val="44"/>
          <w:highlight w:val="none"/>
        </w:rPr>
      </w:pPr>
      <w:r>
        <w:rPr>
          <w:rFonts w:hint="eastAsia" w:ascii="仿宋_GB2312" w:eastAsia="仿宋_GB2312"/>
          <w:b/>
          <w:sz w:val="44"/>
          <w:szCs w:val="44"/>
          <w:highlight w:val="none"/>
          <w:lang w:eastAsia="zh-CN"/>
        </w:rPr>
        <w:t>《</w:t>
      </w:r>
      <w:r>
        <w:rPr>
          <w:rFonts w:hint="eastAsia" w:ascii="仿宋_GB2312" w:eastAsia="仿宋_GB2312"/>
          <w:b/>
          <w:spacing w:val="-20"/>
          <w:sz w:val="44"/>
          <w:szCs w:val="44"/>
          <w:highlight w:val="none"/>
        </w:rPr>
        <w:t>龙华区培育壮大Token经济的发展策略研究</w:t>
      </w:r>
      <w:r>
        <w:rPr>
          <w:rFonts w:hint="eastAsia" w:ascii="仿宋_GB2312" w:eastAsia="仿宋_GB2312"/>
          <w:b/>
          <w:sz w:val="44"/>
          <w:szCs w:val="44"/>
          <w:highlight w:val="none"/>
          <w:lang w:eastAsia="zh-CN"/>
        </w:rPr>
        <w:t>》</w:t>
      </w:r>
      <w:r>
        <w:rPr>
          <w:rFonts w:hint="eastAsia" w:ascii="仿宋_GB2312" w:eastAsia="仿宋_GB2312"/>
          <w:b/>
          <w:sz w:val="44"/>
          <w:szCs w:val="44"/>
          <w:highlight w:val="none"/>
        </w:rPr>
        <w:t>采购需求文件</w:t>
      </w:r>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5061"/>
        <w:gridCol w:w="116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48"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5061" w:type="dxa"/>
            <w:shd w:val="clear" w:color="auto" w:fill="auto"/>
            <w:vAlign w:val="center"/>
          </w:tcPr>
          <w:p>
            <w:pPr>
              <w:rPr>
                <w:rFonts w:ascii="宋体" w:hAnsi="宋体" w:eastAsia="宋体"/>
                <w:sz w:val="20"/>
                <w:szCs w:val="20"/>
                <w:highlight w:val="none"/>
              </w:rPr>
            </w:pPr>
            <w:r>
              <w:rPr>
                <w:rFonts w:hint="default" w:ascii="宋体" w:hAnsi="宋体" w:eastAsia="宋体"/>
                <w:w w:val="100"/>
                <w:sz w:val="21"/>
                <w:szCs w:val="21"/>
                <w:highlight w:val="none"/>
              </w:rPr>
              <w:t>龙华区培育壮大Token经济的发展策</w:t>
            </w:r>
            <w:bookmarkStart w:id="10" w:name="_GoBack"/>
            <w:bookmarkEnd w:id="10"/>
            <w:r>
              <w:rPr>
                <w:rFonts w:hint="default" w:ascii="宋体" w:hAnsi="宋体" w:eastAsia="宋体"/>
                <w:w w:val="100"/>
                <w:sz w:val="21"/>
                <w:szCs w:val="21"/>
                <w:highlight w:val="none"/>
              </w:rPr>
              <w:t>略研究</w:t>
            </w:r>
          </w:p>
        </w:tc>
        <w:tc>
          <w:tcPr>
            <w:tcW w:w="1165"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48"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5061"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165"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48"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vAlign w:val="center"/>
          </w:tcPr>
          <w:p>
            <w:pPr>
              <w:jc w:val="left"/>
              <w:rPr>
                <w:rFonts w:ascii="宋体" w:hAnsi="宋体" w:eastAsia="宋体"/>
                <w:szCs w:val="21"/>
                <w:highlight w:val="none"/>
              </w:rPr>
            </w:pPr>
            <w:r>
              <w:rPr>
                <w:rFonts w:hint="eastAsia" w:ascii="宋体" w:hAnsi="宋体" w:eastAsia="宋体"/>
                <w:szCs w:val="21"/>
                <w:highlight w:val="none"/>
                <w:lang w:val="en-US" w:eastAsia="zh-CN"/>
              </w:rPr>
              <w:t>¥480</w:t>
            </w:r>
            <w:r>
              <w:rPr>
                <w:rFonts w:hint="eastAsia" w:ascii="宋体" w:hAnsi="宋体" w:eastAsia="宋体"/>
                <w:szCs w:val="21"/>
                <w:highlight w:val="none"/>
              </w:rPr>
              <w:t>,000</w:t>
            </w:r>
            <w:r>
              <w:rPr>
                <w:rFonts w:hint="eastAsia" w:ascii="宋体" w:hAnsi="宋体" w:eastAsia="宋体"/>
                <w:szCs w:val="21"/>
                <w:highlight w:val="none"/>
                <w:lang w:val="en-US" w:eastAsia="zh-CN"/>
              </w:rPr>
              <w:t>.00</w:t>
            </w:r>
            <w:r>
              <w:rPr>
                <w:rFonts w:hint="eastAsia" w:ascii="宋体" w:hAnsi="宋体" w:eastAsia="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highlight w:val="none"/>
              </w:rPr>
            </w:pPr>
            <w:r>
              <w:rPr>
                <w:rFonts w:hint="eastAsia" w:ascii="宋体" w:hAnsi="宋体" w:eastAsia="宋体"/>
                <w:highlight w:val="none"/>
              </w:rPr>
              <w:t>当前，以词元（Token）为核心计量单元与价值载体的人工智能产业爆发式增长，已成为大国科技竞争的主战场。深圳是全国AI产业核心聚集地与词元经济领跑城市，2025年人工智能产业规模超4000亿元，集聚相关企业近3000家，产业体量、企业数量、增长速度均居全国前列。龙华作为省级人工智能产业核心区、全市数字经济与制造业重镇，具备发展词元经济的独特基础与先发优势。产业基础方面，已集聚工业富联、宝德计算机等AI服务器龙头，以及昇维旭、英维克、杰普特、京泉华等芯片、散热、电源配套企业，形成“硬件制造强、整机配套全”的全国重要算力硬件基地。场景优势方面，依托庞大制造业、跨境电商、城市治理需求，涌现联合出海、捷顺科技、深城交等一批解决方案提供商，“AI+产业”“AI+政务”特色鲜明。当前龙华正处于从算力硬件制造基地向词元生产与服务高地跃升的关键阶段，但存在模型主体偏少、高价值场景应用不足、新业态培育不够、全球运营能力不强等短板。</w:t>
            </w:r>
            <w:r>
              <w:rPr>
                <w:rFonts w:hint="eastAsia" w:ascii="宋体" w:hAnsi="宋体" w:eastAsia="宋体"/>
                <w:highlight w:val="none"/>
                <w:lang w:val="en-US" w:eastAsia="zh-CN"/>
              </w:rPr>
              <w:t>因此，亟需</w:t>
            </w:r>
            <w:r>
              <w:rPr>
                <w:rFonts w:hint="eastAsia" w:ascii="宋体" w:hAnsi="宋体" w:eastAsia="宋体"/>
                <w:highlight w:val="none"/>
              </w:rPr>
              <w:t>立足区情、精准施策，锚定Token经济新机遇，抢占产业发展制高点，为“十五五”时期全区经济高质量发展注入新动能。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48"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7819" w:type="dxa"/>
            <w:gridSpan w:val="3"/>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48"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7819" w:type="dxa"/>
            <w:gridSpan w:val="3"/>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948"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7819" w:type="dxa"/>
            <w:gridSpan w:val="3"/>
            <w:shd w:val="clear" w:color="auto" w:fill="auto"/>
          </w:tcPr>
          <w:p>
            <w:pPr>
              <w:spacing w:before="156" w:beforeLines="50" w:line="300" w:lineRule="auto"/>
              <w:rPr>
                <w:rFonts w:ascii="宋体" w:hAnsi="宋体" w:eastAsia="宋体"/>
                <w:b/>
                <w:szCs w:val="21"/>
                <w:highlight w:val="none"/>
              </w:rPr>
            </w:pPr>
            <w:bookmarkStart w:id="0" w:name="_Toc335139762"/>
            <w:bookmarkStart w:id="1" w:name="_Toc290736749"/>
            <w:bookmarkStart w:id="2" w:name="_Toc291149819"/>
            <w:bookmarkStart w:id="3" w:name="_Toc290921585"/>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（一）Token经济的发展特征与未来趋势研判</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界定研究范围，从Token的定义、起源等进行梳理，明确本课题范围为人工智能Token领域。系统梳理Token经济的核心内涵、产业链构成、商业模式及产业特征，总结提炼Token经济发展的典型模式与一般规律。结合新技术、新业态、新模式，跟踪研判全球及我国Token经济发展态势、规模量级、技术方向、政策导向，分析重点业态呈现的主要特征及未来方向，剖析Token经济对生产力、就业、产业经济等方面的影响。</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（二）龙华区发展Token经济的基础及优劣势分析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梳理深圳市、龙华区发展基本情况，重点分析龙华区发展Token经济的产业基础、企业资源、场景供给、算力硬件、创新平台等条件。结合粤港澳大湾区发展要求、区域错位互补发展、龙华现状特征及企业调研情况，归纳龙华发展Token 经济的比较优势、薄弱环节与发展诉求。</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（三）总结借鉴国内外先进地区发展Token经济的先进经验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选取新加坡裕廊创新区、深圳市南山区、上海市黄浦区、杭州市拱墅区等国内外Token经济发展先行城市、重点区域，总结其在产业布局、场景落地、算力统筹、政策支持、外资引进等方面的成功做法与实践经验，形成可复制、可借鉴的经验启示，重点提炼典型城市及地区培育Token经济的创新举措与生态营造策略，明确其可供龙华区借鉴的精准化、可操作经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（四）研究提出龙华区培育壮大Token经济产业的思路策略</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立足国家战略、区域布局、深圳定位及龙华实际，研究提出我区培育壮大Token经济的总体思路、发展定位、重点方向与主要任务，明确产业引育、场景赋能、算力支撑、生态构建、开放合作、政策引导与规范发展等方面的发展思路与实施路径，提出一批重点项目及招引企业清单，形成一套务实管用、便于落地执行的策略方案。</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bookmarkEnd w:id="0"/>
          <w:bookmarkEnd w:id="1"/>
          <w:bookmarkEnd w:id="2"/>
          <w:bookmarkEnd w:id="3"/>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（一）项目负责人要求具有三年以上工作年限；</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（二）项目团队成员不少于</w:t>
            </w:r>
            <w:r>
              <w:rPr>
                <w:rFonts w:hint="eastAsia" w:ascii="宋体" w:hAnsi="宋体"/>
                <w:color w:val="auto"/>
                <w:highlight w:val="none"/>
                <w:lang w:val="en-US" w:eastAsia="zh-CN"/>
              </w:rPr>
              <w:t>3</w:t>
            </w:r>
            <w:r>
              <w:rPr>
                <w:rFonts w:hint="eastAsia" w:ascii="宋体" w:hAnsi="宋体"/>
                <w:color w:val="auto"/>
                <w:highlight w:val="none"/>
                <w:lang w:eastAsia="zh-CN"/>
              </w:rPr>
              <w:t>人（包含项目负责人），其中，1人需具备硕士研究生及以上学历；</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（三）投标人需详细列清参与本项目的工作人员，并附上项目人员详细资料，包括学历证明、项目负责人工作年限承诺函等；</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（四）投标人需具有</w:t>
            </w:r>
            <w:r>
              <w:rPr>
                <w:rFonts w:hint="eastAsia" w:ascii="宋体" w:hAnsi="宋体"/>
                <w:color w:val="auto"/>
                <w:highlight w:val="none"/>
                <w:lang w:val="en-US" w:eastAsia="zh-CN"/>
              </w:rPr>
              <w:t>经济产业</w:t>
            </w:r>
            <w:r>
              <w:rPr>
                <w:rFonts w:hint="eastAsia" w:ascii="宋体" w:hAnsi="宋体"/>
                <w:color w:val="auto"/>
                <w:highlight w:val="none"/>
                <w:lang w:eastAsia="zh-CN"/>
              </w:rPr>
              <w:t>领域</w:t>
            </w:r>
            <w:r>
              <w:rPr>
                <w:rFonts w:hint="eastAsia" w:ascii="宋体" w:hAnsi="宋体"/>
                <w:color w:val="auto"/>
                <w:highlight w:val="none"/>
                <w:lang w:val="en-US" w:eastAsia="zh-CN"/>
              </w:rPr>
              <w:t>相关</w:t>
            </w:r>
            <w:r>
              <w:rPr>
                <w:rFonts w:hint="eastAsia" w:ascii="宋体" w:hAnsi="宋体"/>
                <w:color w:val="auto"/>
                <w:highlight w:val="none"/>
                <w:lang w:eastAsia="zh-CN"/>
              </w:rPr>
              <w:t>项目研究经验，并提供以上项目合同关键页；</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（五）以上所有证明材料均提供扫描件（加盖公章），原件备查；</w:t>
            </w:r>
          </w:p>
          <w:p>
            <w:pPr>
              <w:spacing w:line="300" w:lineRule="auto"/>
              <w:ind w:firstLine="420" w:firstLineChars="200"/>
              <w:rPr>
                <w:rFonts w:ascii="宋体" w:hAnsi="宋体" w:eastAsia="宋体"/>
                <w:highlight w:val="none"/>
              </w:rPr>
            </w:pPr>
            <w:r>
              <w:rPr>
                <w:rFonts w:hint="eastAsia" w:ascii="宋体" w:hAnsi="宋体"/>
                <w:color w:val="auto"/>
                <w:highlight w:val="none"/>
                <w:lang w:eastAsia="zh-CN"/>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0" w:hRule="atLeast"/>
        </w:trPr>
        <w:tc>
          <w:tcPr>
            <w:tcW w:w="1948"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7819" w:type="dxa"/>
            <w:gridSpan w:val="3"/>
            <w:shd w:val="clear" w:color="auto" w:fill="auto"/>
          </w:tcPr>
          <w:p>
            <w:pPr>
              <w:spacing w:before="156" w:beforeLines="50" w:line="300" w:lineRule="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spacing w:line="300" w:lineRule="auto"/>
              <w:ind w:firstLine="420" w:firstLineChars="200"/>
              <w:rPr>
                <w:rFonts w:hint="default" w:ascii="宋体" w:hAnsi="宋体"/>
                <w:color w:val="auto"/>
                <w:highlight w:val="none"/>
                <w:lang w:val="en-US"/>
              </w:rPr>
            </w:pPr>
            <w:bookmarkStart w:id="4" w:name="_Toc198365466"/>
            <w:bookmarkEnd w:id="4"/>
            <w:bookmarkStart w:id="5" w:name="_Toc292359301"/>
            <w:bookmarkEnd w:id="5"/>
            <w:bookmarkStart w:id="6" w:name="_Toc247441308"/>
            <w:bookmarkEnd w:id="6"/>
            <w:bookmarkStart w:id="7" w:name="_Toc240681978"/>
            <w:bookmarkEnd w:id="7"/>
            <w:bookmarkStart w:id="8" w:name="_Toc198369145"/>
            <w:bookmarkEnd w:id="8"/>
            <w:bookmarkStart w:id="9" w:name="_Hlk3304720"/>
            <w:r>
              <w:rPr>
                <w:rFonts w:hint="eastAsia" w:ascii="宋体" w:hAnsi="宋体"/>
                <w:color w:val="auto"/>
                <w:highlight w:val="none"/>
                <w:lang w:val="en-US" w:eastAsia="zh-CN"/>
              </w:rPr>
              <w:t>项目服务期限为6个月，合同期满后，根据项目进展情况，经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9"/>
          <w:p>
            <w:pPr>
              <w:spacing w:before="156" w:beforeLines="50" w:line="300" w:lineRule="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spacing w:line="300" w:lineRule="auto"/>
              <w:ind w:firstLine="420" w:firstLineChars="200"/>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合同签订后1个月内，了解Token经济的基本内涵和发展特征，跟踪分析全球、全国、深圳Token经济的发展动态，梳理分析龙华区Token经济的发展特征；</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420" w:firstLineChars="200"/>
              <w:textAlignment w:val="auto"/>
              <w:rPr>
                <w:rFonts w:hint="eastAsia" w:ascii="宋体" w:hAnsi="宋体"/>
                <w:color w:val="auto"/>
                <w:highlight w:val="none"/>
                <w:lang w:eastAsia="zh-CN"/>
              </w:rPr>
            </w:pPr>
            <w:r>
              <w:rPr>
                <w:rFonts w:hint="eastAsia" w:ascii="宋体" w:hAnsi="宋体"/>
                <w:color w:val="auto"/>
                <w:highlight w:val="none"/>
              </w:rPr>
              <w:t>合同签订后第</w:t>
            </w:r>
            <w:r>
              <w:rPr>
                <w:rFonts w:hint="eastAsia" w:ascii="宋体" w:hAnsi="宋体"/>
                <w:color w:val="auto"/>
                <w:highlight w:val="none"/>
                <w:lang w:val="en-US" w:eastAsia="zh-CN"/>
              </w:rPr>
              <w:t>2—3个月</w:t>
            </w:r>
            <w:r>
              <w:rPr>
                <w:rFonts w:hint="eastAsia" w:ascii="宋体" w:hAnsi="宋体"/>
                <w:color w:val="auto"/>
                <w:highlight w:val="none"/>
              </w:rPr>
              <w:t>内</w:t>
            </w:r>
            <w:r>
              <w:rPr>
                <w:rFonts w:hint="eastAsia" w:ascii="宋体" w:hAnsi="宋体"/>
                <w:color w:val="auto"/>
                <w:highlight w:val="none"/>
                <w:lang w:eastAsia="zh-CN"/>
              </w:rPr>
              <w:t>，对应全区Token经济的发展情况及区域竞争情况，明确我区发展Token经济的薄弱环节和优势领域；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4—5个月</w:t>
            </w:r>
            <w:r>
              <w:rPr>
                <w:rFonts w:hint="eastAsia" w:ascii="宋体" w:hAnsi="宋体"/>
                <w:color w:val="auto"/>
                <w:highlight w:val="none"/>
              </w:rPr>
              <w:t>内</w:t>
            </w:r>
            <w:r>
              <w:rPr>
                <w:rFonts w:hint="eastAsia" w:ascii="宋体" w:hAnsi="宋体"/>
                <w:color w:val="auto"/>
                <w:highlight w:val="none"/>
                <w:lang w:eastAsia="zh-CN"/>
              </w:rPr>
              <w:t>，总结借鉴先进地区发展Token经济的经验，多视角提出龙华发展Token经济的发展策略路径。根据前期研究内容，推动相关成果转化</w:t>
            </w:r>
            <w:r>
              <w:rPr>
                <w:rFonts w:hint="eastAsia" w:ascii="宋体" w:hAnsi="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val="en-US" w:eastAsia="zh-CN"/>
              </w:rPr>
              <w:t>（四）</w:t>
            </w:r>
            <w:r>
              <w:rPr>
                <w:rFonts w:hint="eastAsia" w:ascii="宋体" w:hAnsi="宋体"/>
                <w:color w:val="auto"/>
                <w:highlight w:val="none"/>
                <w:lang w:eastAsia="zh-CN"/>
              </w:rPr>
              <w:t>合同签订后第</w:t>
            </w:r>
            <w:r>
              <w:rPr>
                <w:rFonts w:hint="eastAsia" w:ascii="宋体" w:hAnsi="宋体"/>
                <w:color w:val="auto"/>
                <w:highlight w:val="none"/>
                <w:lang w:val="en-US" w:eastAsia="zh-CN"/>
              </w:rPr>
              <w:t>6个月</w:t>
            </w:r>
            <w:r>
              <w:rPr>
                <w:rFonts w:hint="eastAsia" w:ascii="宋体" w:hAnsi="宋体"/>
                <w:color w:val="auto"/>
                <w:highlight w:val="none"/>
                <w:lang w:eastAsia="zh-CN"/>
              </w:rPr>
              <w:t>内，内部研讨完善优化项目成果，召开专家结题评审，形成终期成果，推动结题和项目成果进一步转化。</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spacing w:line="30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spacing w:before="156" w:beforeLines="50" w:line="300" w:lineRule="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spacing w:line="300" w:lineRule="auto"/>
              <w:ind w:firstLine="420" w:firstLineChars="200"/>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spacing w:line="30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）《龙华区培育壮大Token经济的发展策略研究》报告；</w:t>
            </w:r>
          </w:p>
          <w:p>
            <w:pPr>
              <w:spacing w:line="30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）研究成果汇报PPT；</w:t>
            </w:r>
          </w:p>
          <w:p>
            <w:pPr>
              <w:spacing w:line="30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）先进城区可借鉴经验案例汇编；</w:t>
            </w:r>
          </w:p>
          <w:p>
            <w:pPr>
              <w:spacing w:line="30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）重点行业相关企业调研纪要汇编；</w:t>
            </w:r>
          </w:p>
          <w:p>
            <w:pPr>
              <w:spacing w:line="30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）报市、区专报信息1</w:t>
            </w:r>
            <w:r>
              <w:rPr>
                <w:rFonts w:hint="eastAsia" w:ascii="宋体" w:hAnsi="宋体"/>
                <w:highlight w:val="none"/>
                <w:lang w:eastAsia="zh-CN"/>
              </w:rPr>
              <w:t>—</w:t>
            </w:r>
            <w:r>
              <w:rPr>
                <w:rFonts w:hint="eastAsia" w:ascii="宋体" w:hAnsi="宋体"/>
                <w:highlight w:val="none"/>
              </w:rPr>
              <w:t>2篇。</w:t>
            </w:r>
          </w:p>
          <w:p>
            <w:pPr>
              <w:spacing w:line="300" w:lineRule="auto"/>
              <w:ind w:firstLine="420" w:firstLineChars="200"/>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spacing w:line="30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spacing w:line="300" w:lineRule="auto"/>
              <w:ind w:firstLine="420" w:firstLineChars="200"/>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spacing w:line="300" w:lineRule="auto"/>
              <w:ind w:firstLine="420" w:firstLineChars="200"/>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成果汇报PPT等所有成果最终稿。</w:t>
            </w:r>
          </w:p>
          <w:p>
            <w:pPr>
              <w:spacing w:line="300" w:lineRule="auto"/>
              <w:ind w:firstLine="420" w:firstLineChars="200"/>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spacing w:before="156" w:beforeLines="50" w:line="300" w:lineRule="auto"/>
              <w:rPr>
                <w:rFonts w:hint="eastAsia" w:ascii="宋体" w:hAnsi="宋体" w:eastAsia="宋体"/>
                <w:b/>
                <w:color w:val="000000" w:themeColor="text1"/>
                <w:szCs w:val="21"/>
                <w:highlight w:val="none"/>
                <w14:textFill>
                  <w14:solidFill>
                    <w14:schemeClr w14:val="tx1"/>
                  </w14:solidFill>
                </w14:textFill>
              </w:rPr>
            </w:pP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spacing w:line="300" w:lineRule="auto"/>
              <w:ind w:firstLine="420" w:firstLineChars="200"/>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spacing w:line="300" w:lineRule="auto"/>
              <w:ind w:firstLine="420" w:firstLineChars="200"/>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（2）项目由采购方审查通过后进入售后服务期，售后服务内容要求主要包括技术支持等；</w:t>
            </w:r>
          </w:p>
          <w:p>
            <w:pPr>
              <w:spacing w:line="300" w:lineRule="auto"/>
              <w:ind w:firstLine="420" w:firstLineChars="200"/>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）专员支持服务：安排维护专员为本项目售后技术支持，并提供其联系手机、电话、传真、Email；保证采购方在工作日内能及时联系到维护专员；如人员需要调整应及时通知采购方；</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val="en-US"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spacing w:line="300" w:lineRule="auto"/>
              <w:ind w:firstLine="420" w:firstLineChars="200"/>
              <w:rPr>
                <w:rFonts w:hint="eastAsia" w:ascii="宋体" w:hAnsi="宋体" w:cs="宋体"/>
                <w:color w:val="000000"/>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pStyle w:val="2"/>
              <w:ind w:firstLine="420" w:firstLineChars="200"/>
              <w:rPr>
                <w:rFonts w:hint="eastAsia" w:ascii="宋体" w:hAnsi="宋体" w:cs="宋体" w:eastAsiaTheme="minorEastAsia"/>
                <w:b w:val="0"/>
                <w:bCs w:val="0"/>
                <w:color w:val="000000"/>
                <w:kern w:val="2"/>
                <w:sz w:val="21"/>
                <w:szCs w:val="22"/>
                <w:highlight w:val="none"/>
                <w:lang w:val="en-US" w:eastAsia="zh-CN" w:bidi="ar-SA"/>
              </w:rPr>
            </w:pPr>
            <w:r>
              <w:rPr>
                <w:rFonts w:hint="eastAsia" w:ascii="宋体" w:hAnsi="宋体" w:cs="宋体" w:eastAsiaTheme="minorEastAsia"/>
                <w:b w:val="0"/>
                <w:bCs w:val="0"/>
                <w:color w:val="000000"/>
                <w:kern w:val="2"/>
                <w:sz w:val="21"/>
                <w:szCs w:val="22"/>
                <w:highlight w:val="none"/>
                <w:lang w:val="en-US" w:eastAsia="zh-CN" w:bidi="ar-SA"/>
              </w:rPr>
              <w:t>（二）中标方需安排课题组人员在龙华区全程跟进项目实施，并提供承诺函；</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必须保守国家机密，不得泄漏采购方所提供的属国家秘密的信息和数据；未经采购方允许，不得使用或者以其它方式给任何第三方提供本项目的相关信息或数据；</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ascii="宋体" w:hAnsi="宋体" w:cs="宋体"/>
                <w:color w:val="000000"/>
                <w:highlight w:val="none"/>
              </w:rPr>
              <w:t>）</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highlight w:val="none"/>
        </w:rPr>
      </w:pPr>
      <w:r>
        <w:rPr>
          <w:rFonts w:hint="eastAsia" w:ascii="仿宋" w:hAnsi="仿宋" w:eastAsia="仿宋" w:cs="Times New Roman"/>
          <w:color w:val="000000"/>
          <w:sz w:val="32"/>
          <w:szCs w:val="24"/>
          <w:highlight w:val="none"/>
        </w:rPr>
        <w:br w:type="page"/>
      </w:r>
    </w:p>
    <w:p>
      <w:pPr>
        <w:spacing w:line="360" w:lineRule="auto"/>
        <w:jc w:val="left"/>
        <w:outlineLvl w:val="0"/>
        <w:rPr>
          <w:rFonts w:hint="eastAsia" w:ascii="黑体" w:hAnsi="黑体" w:eastAsia="黑体" w:cs="黑体"/>
          <w:color w:val="000000"/>
          <w:sz w:val="32"/>
          <w:szCs w:val="24"/>
          <w:highlight w:val="none"/>
        </w:rPr>
      </w:pPr>
      <w:r>
        <w:rPr>
          <w:rFonts w:hint="eastAsia" w:ascii="黑体" w:hAnsi="黑体" w:eastAsia="黑体" w:cs="黑体"/>
          <w:color w:val="000000"/>
          <w:sz w:val="32"/>
          <w:szCs w:val="24"/>
          <w:highlight w:val="none"/>
        </w:rPr>
        <w:t>附件</w:t>
      </w:r>
    </w:p>
    <w:p>
      <w:pPr>
        <w:spacing w:line="360" w:lineRule="auto"/>
        <w:jc w:val="center"/>
        <w:outlineLvl w:val="0"/>
        <w:rPr>
          <w:rFonts w:ascii="黑体" w:hAnsi="Calibri" w:eastAsia="黑体" w:cs="Times New Roman"/>
          <w:kern w:val="0"/>
          <w:sz w:val="44"/>
          <w:szCs w:val="44"/>
          <w:highlight w:val="none"/>
        </w:rPr>
      </w:pPr>
      <w:r>
        <w:rPr>
          <w:rFonts w:hint="eastAsia" w:ascii="黑体" w:hAnsi="Calibri" w:eastAsia="黑体" w:cs="Times New Roman"/>
          <w:kern w:val="0"/>
          <w:sz w:val="44"/>
          <w:szCs w:val="44"/>
          <w:highlight w:val="none"/>
        </w:rPr>
        <w:t>政府采购投标及履约承诺函</w:t>
      </w:r>
    </w:p>
    <w:p>
      <w:pPr>
        <w:jc w:val="center"/>
        <w:rPr>
          <w:rFonts w:ascii="Calibri" w:hAnsi="Calibri" w:eastAsia="宋体" w:cs="Times New Roman"/>
          <w:sz w:val="44"/>
          <w:szCs w:val="44"/>
          <w:highlight w:val="none"/>
        </w:rPr>
      </w:pPr>
    </w:p>
    <w:p>
      <w:pPr>
        <w:spacing w:line="560" w:lineRule="exact"/>
        <w:jc w:val="left"/>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ascii="仿宋" w:hAnsi="仿宋" w:eastAsia="仿宋" w:cs="Times New Roman"/>
          <w:sz w:val="30"/>
          <w:szCs w:val="30"/>
          <w:highlight w:val="none"/>
        </w:rPr>
      </w:pPr>
      <w:r>
        <w:rPr>
          <w:rFonts w:hint="eastAsia" w:ascii="仿宋" w:hAnsi="仿宋" w:eastAsia="仿宋" w:cs="Times New Roman"/>
          <w:sz w:val="30"/>
          <w:szCs w:val="30"/>
          <w:highlight w:val="none"/>
        </w:rPr>
        <w:t>我单位深知本项目对贵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的重要性和紧迫性，亦了解贵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对廉政建设的相关要求，因此我单位承诺如下：</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1.我单位本招标项目所提供的货物或服务未侵犯知识产权。</w:t>
      </w:r>
    </w:p>
    <w:p>
      <w:pPr>
        <w:spacing w:line="560" w:lineRule="exact"/>
        <w:ind w:firstLine="600" w:firstLineChars="200"/>
        <w:jc w:val="both"/>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2.我单位参与本项目投标前三年内，在经营活动中没有违法记录。</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3.我单位参与本项目政府采购活动时不存在被有关部门禁止参与政府采购活动且在有效期内的情况。</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4.我单位具备《中华人民共和国政府采购法》第二十二条第一款的条件。</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5.我单位未被列入失信被执行人、税收违法案件当事人名单、政府采购严重违法失信行为记录名单。</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自本项目起所有采购项目的投标事宜。</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7.我单位如果中标，做到诚实守信，依照本项目招标文件需求内容、签署的采购合同及本单位在投标中所作的一切承诺履约。</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9.我单位已认真核实了投标文件的全部内容，所有资料均为真实资料。我公司对投标文件中全部投标资料的真实性负责，如被证实我公司的投标文件中存在虚假资料</w:t>
      </w:r>
      <w:r>
        <w:rPr>
          <w:rFonts w:hint="eastAsia" w:ascii="仿宋" w:hAnsi="仿宋" w:eastAsia="仿宋" w:cs="Times New Roman"/>
          <w:sz w:val="30"/>
          <w:szCs w:val="30"/>
          <w:highlight w:val="none"/>
          <w:lang w:eastAsia="zh-CN"/>
        </w:rPr>
        <w:t>的</w:t>
      </w:r>
      <w:r>
        <w:rPr>
          <w:rFonts w:hint="eastAsia" w:ascii="仿宋" w:hAnsi="仿宋" w:eastAsia="仿宋" w:cs="Times New Roman"/>
          <w:sz w:val="30"/>
          <w:szCs w:val="30"/>
          <w:highlight w:val="none"/>
        </w:rPr>
        <w:t>，则视为我单位隐瞒真实情况、提供虚假资料，我单位愿意接受主管部门作出的行政处罚。</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10.我单位承诺不非法转包、分包。</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2</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.我单位承诺不对采购人进行贿赂，进行有偿报答。</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3</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.我单位承诺不对采购人进行任何形式的利益输送。</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4</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.我单位承诺不对采购人进行宴请和娱乐等消费活动。</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5</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.我单位承诺不对采购人进行赠送各种礼品、现金、有价证券、中介费、好处费等行为。</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highlight w:val="none"/>
        </w:rPr>
      </w:pPr>
      <w:r>
        <w:rPr>
          <w:rFonts w:hint="eastAsia" w:ascii="仿宋" w:hAnsi="仿宋" w:eastAsia="仿宋" w:cs="Times New Roman"/>
          <w:sz w:val="30"/>
          <w:szCs w:val="30"/>
          <w:highlight w:val="none"/>
        </w:rPr>
        <w:t>承诺单位（公司）盖章：</w:t>
      </w:r>
    </w:p>
    <w:p>
      <w:pPr>
        <w:spacing w:line="560" w:lineRule="exact"/>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 xml:space="preserve">                         年   月   日 </w:t>
      </w:r>
    </w:p>
    <w:p>
      <w:pPr>
        <w:rPr>
          <w:rFonts w:ascii="黑体" w:eastAsia="黑体"/>
          <w:color w:val="000000" w:themeColor="text1"/>
          <w:kern w:val="0"/>
          <w:sz w:val="24"/>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docPartObj>
        <w:docPartGallery w:val="autotext"/>
      </w:docPartObj>
    </w:sdtPr>
    <w:sdtContent>
      <w:p>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49ED4"/>
    <w:multiLevelType w:val="singleLevel"/>
    <w:tmpl w:val="09A49E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9AA"/>
    <w:rsid w:val="000B6334"/>
    <w:rsid w:val="000C09CC"/>
    <w:rsid w:val="000C09D9"/>
    <w:rsid w:val="000D5027"/>
    <w:rsid w:val="000E79F7"/>
    <w:rsid w:val="000F388A"/>
    <w:rsid w:val="000F5218"/>
    <w:rsid w:val="00105A8B"/>
    <w:rsid w:val="00117DD5"/>
    <w:rsid w:val="00120306"/>
    <w:rsid w:val="00131643"/>
    <w:rsid w:val="0013299F"/>
    <w:rsid w:val="00132E6D"/>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7153"/>
    <w:rsid w:val="001C0510"/>
    <w:rsid w:val="001D5B1E"/>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7495"/>
    <w:rsid w:val="00420040"/>
    <w:rsid w:val="00422352"/>
    <w:rsid w:val="00425307"/>
    <w:rsid w:val="00426D30"/>
    <w:rsid w:val="0043271C"/>
    <w:rsid w:val="00461B71"/>
    <w:rsid w:val="004638B7"/>
    <w:rsid w:val="00463EDD"/>
    <w:rsid w:val="00464E4E"/>
    <w:rsid w:val="004670B3"/>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55012"/>
    <w:rsid w:val="007571D0"/>
    <w:rsid w:val="00762707"/>
    <w:rsid w:val="00780B59"/>
    <w:rsid w:val="00782165"/>
    <w:rsid w:val="00782C13"/>
    <w:rsid w:val="0078651E"/>
    <w:rsid w:val="00790346"/>
    <w:rsid w:val="00796250"/>
    <w:rsid w:val="007975C2"/>
    <w:rsid w:val="007B3D68"/>
    <w:rsid w:val="007D597B"/>
    <w:rsid w:val="007D62D9"/>
    <w:rsid w:val="007D7A94"/>
    <w:rsid w:val="007E112A"/>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E210F"/>
    <w:rsid w:val="00DF026B"/>
    <w:rsid w:val="00DF400D"/>
    <w:rsid w:val="00DF6125"/>
    <w:rsid w:val="00E0068A"/>
    <w:rsid w:val="00E0183D"/>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507D34"/>
    <w:rsid w:val="01801B2A"/>
    <w:rsid w:val="03261EB9"/>
    <w:rsid w:val="05E96102"/>
    <w:rsid w:val="08973524"/>
    <w:rsid w:val="0C1B6B71"/>
    <w:rsid w:val="0CDF779B"/>
    <w:rsid w:val="0D806940"/>
    <w:rsid w:val="0E296C7E"/>
    <w:rsid w:val="0EFA1B5D"/>
    <w:rsid w:val="10732A8B"/>
    <w:rsid w:val="11C80118"/>
    <w:rsid w:val="13960335"/>
    <w:rsid w:val="139F7C3D"/>
    <w:rsid w:val="13A6751D"/>
    <w:rsid w:val="14641CCA"/>
    <w:rsid w:val="14687188"/>
    <w:rsid w:val="14C9120E"/>
    <w:rsid w:val="14F420FB"/>
    <w:rsid w:val="16266124"/>
    <w:rsid w:val="16441EB3"/>
    <w:rsid w:val="178D06C6"/>
    <w:rsid w:val="18117269"/>
    <w:rsid w:val="18922AE3"/>
    <w:rsid w:val="195A5485"/>
    <w:rsid w:val="1A7677B3"/>
    <w:rsid w:val="1E36133C"/>
    <w:rsid w:val="20FF4636"/>
    <w:rsid w:val="210C0BC6"/>
    <w:rsid w:val="214F2047"/>
    <w:rsid w:val="217262C3"/>
    <w:rsid w:val="22176455"/>
    <w:rsid w:val="23FE699A"/>
    <w:rsid w:val="2450509E"/>
    <w:rsid w:val="26CA2793"/>
    <w:rsid w:val="26E935DD"/>
    <w:rsid w:val="291116B2"/>
    <w:rsid w:val="2AAE6793"/>
    <w:rsid w:val="2C4B765D"/>
    <w:rsid w:val="2CA727FC"/>
    <w:rsid w:val="2CE10823"/>
    <w:rsid w:val="31924A89"/>
    <w:rsid w:val="325D7571"/>
    <w:rsid w:val="32941945"/>
    <w:rsid w:val="336F09A9"/>
    <w:rsid w:val="33782315"/>
    <w:rsid w:val="33A96152"/>
    <w:rsid w:val="354F6655"/>
    <w:rsid w:val="35CF2253"/>
    <w:rsid w:val="36511D0E"/>
    <w:rsid w:val="392D09DC"/>
    <w:rsid w:val="3A290274"/>
    <w:rsid w:val="3E617884"/>
    <w:rsid w:val="3F21616F"/>
    <w:rsid w:val="3F8B179B"/>
    <w:rsid w:val="3FA931F6"/>
    <w:rsid w:val="3FF44A11"/>
    <w:rsid w:val="408E0186"/>
    <w:rsid w:val="4097064B"/>
    <w:rsid w:val="40E53410"/>
    <w:rsid w:val="45B94E6D"/>
    <w:rsid w:val="460B3486"/>
    <w:rsid w:val="47213040"/>
    <w:rsid w:val="47C472C7"/>
    <w:rsid w:val="48295336"/>
    <w:rsid w:val="4A353778"/>
    <w:rsid w:val="4AE11F22"/>
    <w:rsid w:val="4B0E2331"/>
    <w:rsid w:val="4B346498"/>
    <w:rsid w:val="4CED0F0B"/>
    <w:rsid w:val="4D261079"/>
    <w:rsid w:val="4D416DCE"/>
    <w:rsid w:val="4DF1237F"/>
    <w:rsid w:val="4EC044DD"/>
    <w:rsid w:val="50AA1436"/>
    <w:rsid w:val="52704F7C"/>
    <w:rsid w:val="542919A7"/>
    <w:rsid w:val="5459336F"/>
    <w:rsid w:val="54C346FB"/>
    <w:rsid w:val="57704544"/>
    <w:rsid w:val="57F87322"/>
    <w:rsid w:val="59FF4D91"/>
    <w:rsid w:val="5A1F0E13"/>
    <w:rsid w:val="5B925F49"/>
    <w:rsid w:val="5C476E7B"/>
    <w:rsid w:val="5CB72A53"/>
    <w:rsid w:val="5D0626BE"/>
    <w:rsid w:val="5DED1918"/>
    <w:rsid w:val="5E897B43"/>
    <w:rsid w:val="5F057D5A"/>
    <w:rsid w:val="5FFB5833"/>
    <w:rsid w:val="6078424C"/>
    <w:rsid w:val="61DF2F38"/>
    <w:rsid w:val="63980872"/>
    <w:rsid w:val="6511297B"/>
    <w:rsid w:val="66C045A6"/>
    <w:rsid w:val="672E6B1E"/>
    <w:rsid w:val="676A4DBB"/>
    <w:rsid w:val="68EC0250"/>
    <w:rsid w:val="6A1856BB"/>
    <w:rsid w:val="6A7725FB"/>
    <w:rsid w:val="6AA30DD3"/>
    <w:rsid w:val="6B365C0E"/>
    <w:rsid w:val="6BB256BF"/>
    <w:rsid w:val="6CE33832"/>
    <w:rsid w:val="6DE35F34"/>
    <w:rsid w:val="6F19D4BD"/>
    <w:rsid w:val="6F1D56DB"/>
    <w:rsid w:val="7072278A"/>
    <w:rsid w:val="70A32F59"/>
    <w:rsid w:val="71A83691"/>
    <w:rsid w:val="71EC4035"/>
    <w:rsid w:val="73426D24"/>
    <w:rsid w:val="739F0ECD"/>
    <w:rsid w:val="73FE8299"/>
    <w:rsid w:val="74717D4D"/>
    <w:rsid w:val="75243EB9"/>
    <w:rsid w:val="761C0E8C"/>
    <w:rsid w:val="77A068FA"/>
    <w:rsid w:val="78E34426"/>
    <w:rsid w:val="79F718C4"/>
    <w:rsid w:val="7A0F01DE"/>
    <w:rsid w:val="7DFF2834"/>
    <w:rsid w:val="7E1044FB"/>
    <w:rsid w:val="7FE36169"/>
    <w:rsid w:val="FEFEE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5"/>
    <w:qFormat/>
    <w:uiPriority w:val="0"/>
    <w:pPr>
      <w:keepNext/>
      <w:keepLines/>
      <w:spacing w:before="120" w:after="120" w:line="360" w:lineRule="auto"/>
      <w:ind w:firstLine="200" w:firstLineChars="200"/>
      <w:outlineLvl w:val="1"/>
    </w:pPr>
    <w:rPr>
      <w:rFonts w:ascii="宋体" w:hAnsi="宋体" w:eastAsia="黑体"/>
      <w:b/>
      <w:bCs/>
      <w:sz w:val="32"/>
    </w:rPr>
  </w:style>
  <w:style w:type="paragraph" w:styleId="6">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line="360" w:lineRule="auto"/>
    </w:pPr>
    <w:rPr>
      <w:rFonts w:ascii="Times New Roman" w:hAnsi="Times New Roman" w:eastAsia="宋体" w:cs="Times New Roman"/>
      <w:b/>
      <w:bCs/>
      <w:sz w:val="24"/>
      <w:szCs w:val="24"/>
    </w:rPr>
  </w:style>
  <w:style w:type="paragraph" w:styleId="3">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5"/>
    <w:link w:val="8"/>
    <w:semiHidden/>
    <w:qFormat/>
    <w:uiPriority w:val="99"/>
    <w:rPr>
      <w:sz w:val="18"/>
      <w:szCs w:val="18"/>
    </w:rPr>
  </w:style>
  <w:style w:type="character" w:customStyle="1" w:styleId="24">
    <w:name w:val="批注文字 Char"/>
    <w:basedOn w:val="15"/>
    <w:link w:val="7"/>
    <w:semiHidden/>
    <w:qFormat/>
    <w:uiPriority w:val="99"/>
  </w:style>
  <w:style w:type="character" w:customStyle="1" w:styleId="25">
    <w:name w:val="批注主题 Char"/>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6"/>
    <w:qFormat/>
    <w:uiPriority w:val="0"/>
    <w:rPr>
      <w:rFonts w:ascii="Times New Roman" w:hAnsi="Times New Roman" w:eastAsia="宋体" w:cs="Times New Roman"/>
      <w:b/>
      <w:bCs/>
      <w:sz w:val="32"/>
      <w:szCs w:val="32"/>
    </w:rPr>
  </w:style>
  <w:style w:type="character" w:customStyle="1" w:styleId="28">
    <w:name w:val="正文缩进 Char"/>
    <w:link w:val="5"/>
    <w:qFormat/>
    <w:uiPriority w:val="0"/>
    <w:rPr>
      <w:rFonts w:ascii="Times New Roman" w:hAnsi="Times New Roman" w:eastAsia="宋体" w:cs="Times New Roman"/>
      <w:szCs w:val="20"/>
    </w:rPr>
  </w:style>
  <w:style w:type="character" w:customStyle="1" w:styleId="29">
    <w:name w:val="正文文本 Char"/>
    <w:basedOn w:val="15"/>
    <w:link w:val="2"/>
    <w:qFormat/>
    <w:uiPriority w:val="0"/>
    <w:rPr>
      <w:rFonts w:ascii="Times New Roman" w:hAnsi="Times New Roman" w:eastAsia="宋体" w:cs="Times New Roman"/>
      <w:b/>
      <w:bCs/>
      <w:sz w:val="24"/>
      <w:szCs w:val="24"/>
    </w:rPr>
  </w:style>
  <w:style w:type="character" w:customStyle="1" w:styleId="30">
    <w:name w:val="标题 Char"/>
    <w:basedOn w:val="15"/>
    <w:link w:val="3"/>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5431</Words>
  <Characters>5496</Characters>
  <Lines>23</Lines>
  <Paragraphs>6</Paragraphs>
  <TotalTime>2</TotalTime>
  <ScaleCrop>false</ScaleCrop>
  <LinksUpToDate>false</LinksUpToDate>
  <CharactersWithSpaces>5530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2022-04-21T02:55:00Z</dcterms:created>
  <dc:creator>OPT3050</dc:creator>
  <cp:lastModifiedBy>yyr</cp:lastModifiedBy>
  <cp:lastPrinted>2025-12-13T01:34:00Z</cp:lastPrinted>
  <dcterms:modified xsi:type="dcterms:W3CDTF">2026-06-11T16:41:58Z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8E8F8D14EE5C4EE280944BEE657F3411</vt:lpwstr>
  </property>
  <property fmtid="{D5CDD505-2E9C-101B-9397-08002B2CF9AE}" pid="4" name="KSOTemplateDocerSaveRecord">
    <vt:lpwstr>eyJoZGlkIjoiN2YzNjBkOTgyNWQ1YTMxYzM3MzMwNWFiODNmOWIzYWMiLCJ1c2VySWQiOiIxNzE1NTIyNyJ9</vt:lpwstr>
  </property>
</Properties>
</file>