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color w:val="auto"/>
          <w:kern w:val="0"/>
          <w:sz w:val="44"/>
          <w:szCs w:val="44"/>
          <w:highlight w:val="none"/>
          <w:lang w:val="en-US" w:eastAsia="zh-CN" w:bidi="ar-SA"/>
        </w:rPr>
        <w:t>龙华区困境儿童服务提质项目</w:t>
      </w:r>
      <w:r>
        <w:rPr>
          <w:rFonts w:hint="eastAsia" w:ascii="方正小标宋简体" w:hAnsi="方正小标宋简体" w:eastAsia="方正小标宋简体" w:cs="方正小标宋简体"/>
          <w:sz w:val="44"/>
          <w:szCs w:val="44"/>
        </w:rPr>
        <w:t>需求书</w:t>
      </w:r>
    </w:p>
    <w:p>
      <w:pPr>
        <w:pStyle w:val="9"/>
        <w:spacing w:line="560" w:lineRule="exact"/>
        <w:jc w:val="center"/>
        <w:rPr>
          <w:rFonts w:ascii="方正小标宋简体" w:hAnsi="方正小标宋简体" w:eastAsia="方正小标宋简体" w:cs="方正小标宋简体"/>
          <w:spacing w:val="17"/>
          <w:sz w:val="44"/>
          <w:szCs w:val="44"/>
          <w:highlight w:val="none"/>
        </w:rPr>
      </w:pPr>
    </w:p>
    <w:p>
      <w:pPr>
        <w:numPr>
          <w:ilvl w:val="0"/>
          <w:numId w:val="1"/>
        </w:num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项目目标</w:t>
      </w:r>
    </w:p>
    <w:p>
      <w:pPr>
        <w:tabs>
          <w:tab w:val="left" w:pos="1820"/>
        </w:tabs>
        <w:snapToGrid w:val="0"/>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国、省、市关于困境儿童关爱服务质量提升三年行动的工作要求，夯实民政兜底保障基础，拓展儿童关爱服务内涵，构建高效联动的儿童保护与发展支持网络，着力优化和提升龙华区困境儿童的服务模式和质量，推动服务进一步向标准化、专业化、精准化迈进。</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pStyle w:val="8"/>
        <w:spacing w:after="0" w:line="560" w:lineRule="exact"/>
        <w:ind w:left="0" w:leftChars="0" w:right="0" w:rightChars="0" w:firstLine="640" w:firstLineChars="200"/>
        <w:jc w:val="left"/>
        <w:rPr>
          <w:rFonts w:ascii="仿宋_GB2312" w:hAnsi="仿宋_GB2312" w:eastAsia="仿宋_GB2312" w:cs="仿宋_GB2312"/>
          <w:sz w:val="32"/>
          <w:szCs w:val="36"/>
        </w:rPr>
      </w:pPr>
      <w:r>
        <w:rPr>
          <w:rFonts w:hint="eastAsia" w:ascii="仿宋_GB2312" w:hAnsi="仿宋_GB2312" w:eastAsia="仿宋_GB2312" w:cs="仿宋_GB2312"/>
          <w:sz w:val="32"/>
          <w:szCs w:val="36"/>
          <w:lang w:val="en-US" w:eastAsia="zh-CN"/>
        </w:rPr>
        <w:t>2026</w:t>
      </w:r>
      <w:r>
        <w:rPr>
          <w:rFonts w:hint="eastAsia" w:ascii="仿宋_GB2312" w:hAnsi="仿宋_GB2312" w:eastAsia="仿宋_GB2312" w:cs="仿宋_GB2312"/>
          <w:sz w:val="32"/>
          <w:szCs w:val="36"/>
        </w:rPr>
        <w:t>年</w:t>
      </w:r>
      <w:r>
        <w:rPr>
          <w:rFonts w:hint="eastAsia" w:ascii="仿宋_GB2312" w:hAnsi="仿宋_GB2312" w:eastAsia="仿宋_GB2312" w:cs="仿宋_GB2312"/>
          <w:sz w:val="32"/>
          <w:szCs w:val="36"/>
          <w:lang w:val="en-US" w:eastAsia="zh-CN"/>
        </w:rPr>
        <w:t>5</w:t>
      </w:r>
      <w:r>
        <w:rPr>
          <w:rFonts w:hint="eastAsia" w:ascii="仿宋_GB2312" w:hAnsi="仿宋_GB2312" w:eastAsia="仿宋_GB2312" w:cs="仿宋_GB2312"/>
          <w:sz w:val="32"/>
          <w:szCs w:val="36"/>
        </w:rPr>
        <w:t>月-</w:t>
      </w:r>
      <w:r>
        <w:rPr>
          <w:rFonts w:hint="eastAsia" w:ascii="仿宋_GB2312" w:hAnsi="仿宋_GB2312" w:eastAsia="仿宋_GB2312" w:cs="仿宋_GB2312"/>
          <w:sz w:val="32"/>
          <w:szCs w:val="36"/>
          <w:lang w:val="en-US" w:eastAsia="zh-CN"/>
        </w:rPr>
        <w:t>2027年4</w:t>
      </w:r>
      <w:r>
        <w:rPr>
          <w:rFonts w:hint="eastAsia" w:ascii="仿宋_GB2312" w:hAnsi="仿宋_GB2312" w:eastAsia="仿宋_GB2312" w:cs="仿宋_GB2312"/>
          <w:sz w:val="32"/>
          <w:szCs w:val="36"/>
        </w:rPr>
        <w:t>月</w:t>
      </w:r>
    </w:p>
    <w:p>
      <w:pPr>
        <w:tabs>
          <w:tab w:val="left" w:pos="1820"/>
        </w:tabs>
        <w:snapToGrid w:val="0"/>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（一）项目内容</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开展困境儿童分级分色跟进与动态监测提质服务，设计印制</w:t>
      </w:r>
      <w:r>
        <w:rPr>
          <w:rFonts w:hint="eastAsia" w:ascii="仿宋_GB2312" w:eastAsia="仿宋_GB2312" w:cs="Times New Roman"/>
          <w:color w:val="auto"/>
          <w:kern w:val="2"/>
          <w:sz w:val="32"/>
          <w:szCs w:val="32"/>
          <w:highlight w:val="none"/>
          <w:lang w:val="en-US" w:eastAsia="zh-CN" w:bidi="ar-SA"/>
        </w:rPr>
        <w:t>儿童工作专业指引与儿童关爱普法材料，进行基层儿童工作队伍培训和疑难个案督导，实施儿童全面发展护航计划，</w:t>
      </w:r>
      <w:r>
        <w:rPr>
          <w:rFonts w:hint="eastAsia" w:ascii="仿宋_GB2312" w:hAnsi="仿宋_GB2312" w:eastAsia="仿宋_GB2312" w:cs="仿宋_GB2312"/>
          <w:color w:val="auto"/>
          <w:sz w:val="32"/>
          <w:szCs w:val="32"/>
          <w:highlight w:val="none"/>
          <w:lang w:eastAsia="zh-CN"/>
        </w:rPr>
        <w:t>推动困境儿童关爱工作优化服务供给、增强服务效能，</w:t>
      </w:r>
      <w:r>
        <w:rPr>
          <w:rFonts w:hint="eastAsia" w:ascii="仿宋_GB2312" w:hAnsi="仿宋_GB2312" w:eastAsia="仿宋_GB2312" w:cs="仿宋_GB2312"/>
          <w:b w:val="0"/>
          <w:bCs w:val="0"/>
          <w:i w:val="0"/>
          <w:iCs w:val="0"/>
          <w:color w:val="auto"/>
          <w:sz w:val="32"/>
          <w:szCs w:val="32"/>
          <w:highlight w:val="none"/>
          <w:lang w:eastAsia="zh-CN"/>
        </w:rPr>
        <w:t>探索</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基层儿童福利工作的“龙华模式”</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s="Times New Roman"/>
          <w:color w:val="auto"/>
          <w:kern w:val="2"/>
          <w:sz w:val="32"/>
          <w:szCs w:val="32"/>
          <w:highlight w:val="none"/>
          <w:lang w:val="en-US" w:eastAsia="zh-CN" w:bidi="ar-SA"/>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具体要求</w:t>
      </w:r>
    </w:p>
    <w:p>
      <w:pPr>
        <w:tabs>
          <w:tab w:val="left" w:pos="1820"/>
        </w:tabs>
        <w:snapToGrid w:val="0"/>
        <w:spacing w:line="560" w:lineRule="exact"/>
        <w:ind w:firstLine="640" w:firstLineChars="200"/>
        <w:jc w:val="left"/>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1.</w:t>
      </w:r>
      <w:r>
        <w:rPr>
          <w:rFonts w:hint="eastAsia" w:ascii="仿宋_GB2312" w:hAnsi="仿宋_GB2312" w:eastAsia="仿宋_GB2312" w:cs="仿宋_GB2312"/>
          <w:sz w:val="32"/>
          <w:szCs w:val="32"/>
          <w:lang w:eastAsia="zh-CN"/>
        </w:rPr>
        <w:t>分级分色跟进与动态监测</w:t>
      </w:r>
      <w:r>
        <w:rPr>
          <w:rFonts w:hint="eastAsia" w:ascii="仿宋_GB2312" w:eastAsia="仿宋_GB2312" w:cs="Times New Roman"/>
          <w:color w:val="auto"/>
          <w:kern w:val="2"/>
          <w:sz w:val="32"/>
          <w:szCs w:val="32"/>
          <w:highlight w:val="none"/>
          <w:lang w:val="en-US" w:eastAsia="zh-CN" w:bidi="ar-SA"/>
        </w:rPr>
        <w:t>:项目周期内，按照全区在册困境儿童样本总量之10%，进行困境儿童分级分色信息的核查与更新。对全区困境儿童情况进行分析，形成1份现状分析材料，为政策制定和服务设计提供依据。</w:t>
      </w:r>
    </w:p>
    <w:p>
      <w:pPr>
        <w:tabs>
          <w:tab w:val="left" w:pos="1820"/>
        </w:tabs>
        <w:snapToGrid w:val="0"/>
        <w:spacing w:line="560" w:lineRule="exact"/>
        <w:ind w:firstLine="640" w:firstLineChars="200"/>
        <w:jc w:val="both"/>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2.儿童工作专业指引与儿童关爱普法材料:设计印刷涵盖政策依据、工作流程、转介资源等儿童保护工作内容的A5指引手册。设计印刷涵盖法律条文、家庭教育规范、相关服务资源等内容的A5关爱手册。</w:t>
      </w:r>
    </w:p>
    <w:p>
      <w:pPr>
        <w:tabs>
          <w:tab w:val="left" w:pos="1820"/>
        </w:tabs>
        <w:snapToGrid w:val="0"/>
        <w:spacing w:line="560" w:lineRule="exact"/>
        <w:ind w:firstLine="640" w:firstLineChars="200"/>
        <w:jc w:val="left"/>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3.基层儿童工作队伍培训：邀请儿童服务领域资深实务专家，面对全区6个街道的儿童督导员、儿童主任、儿童社工及项目合作学校的德育教师、心理老师，开展3场专题赋能培训。</w:t>
      </w:r>
    </w:p>
    <w:p>
      <w:pPr>
        <w:tabs>
          <w:tab w:val="left" w:pos="1820"/>
        </w:tabs>
        <w:snapToGrid w:val="0"/>
        <w:spacing w:line="560" w:lineRule="exact"/>
        <w:ind w:firstLine="640" w:firstLineChars="200"/>
        <w:jc w:val="left"/>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4.疑难个案的专业督导：针对日常服务中发现的疑难个案，对情况复杂、涉及跨部门协同的个案，提供指导梳理个案信息、开展社会背景调查、盘点可用资源、形成个案问题清单和干预任务清单等专业督导服务。</w:t>
      </w:r>
    </w:p>
    <w:p>
      <w:pPr>
        <w:tabs>
          <w:tab w:val="left" w:pos="1820"/>
        </w:tabs>
        <w:snapToGrid w:val="0"/>
        <w:spacing w:line="560" w:lineRule="exact"/>
        <w:ind w:firstLine="640" w:firstLineChars="200"/>
        <w:jc w:val="both"/>
        <w:rPr>
          <w:rFonts w:hint="eastAsia" w:ascii="仿宋_GB2312" w:eastAsia="仿宋_GB2312" w:cs="Times New Roman"/>
          <w:color w:val="auto"/>
          <w:kern w:val="2"/>
          <w:sz w:val="32"/>
          <w:szCs w:val="32"/>
          <w:highlight w:val="none"/>
          <w:lang w:val="en-US" w:eastAsia="zh-CN" w:bidi="ar-SA"/>
        </w:rPr>
      </w:pPr>
      <w:r>
        <w:rPr>
          <w:rFonts w:hint="eastAsia" w:ascii="仿宋_GB2312" w:eastAsia="仿宋_GB2312" w:cs="Times New Roman"/>
          <w:color w:val="auto"/>
          <w:kern w:val="2"/>
          <w:sz w:val="32"/>
          <w:szCs w:val="32"/>
          <w:highlight w:val="none"/>
          <w:lang w:val="en-US" w:eastAsia="zh-CN" w:bidi="ar-SA"/>
        </w:rPr>
        <w:t>5.儿童全面发展护航计划：开展儿童关爱服务系列主题活动，探索借鉴情景模拟、即兴演绎等形式，将抽象的法规政策和理论知识转化为可感知、可体验的场景化教育内容，进一步提升普法、心理关爱等服务的质量。</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shd w:val="clea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6"/>
          <w:highlight w:val="none"/>
          <w:lang w:val="en-US" w:eastAsia="zh-CN"/>
        </w:rPr>
        <w:t>报价限额不超过330990</w:t>
      </w:r>
      <w:r>
        <w:rPr>
          <w:rFonts w:hint="eastAsia" w:ascii="仿宋_GB2312" w:hAnsi="仿宋_GB2312" w:eastAsia="仿宋_GB2312" w:cs="仿宋_GB2312"/>
          <w:sz w:val="32"/>
          <w:szCs w:val="36"/>
          <w:highlight w:val="none"/>
          <w:lang w:eastAsia="zh-CN"/>
        </w:rPr>
        <w:t>元（</w:t>
      </w:r>
      <w:r>
        <w:rPr>
          <w:rFonts w:hint="eastAsia" w:ascii="仿宋_GB2312" w:hAnsi="仿宋_GB2312" w:eastAsia="仿宋_GB2312" w:cs="仿宋_GB2312"/>
          <w:sz w:val="32"/>
          <w:szCs w:val="36"/>
          <w:highlight w:val="none"/>
          <w:lang w:val="en-US" w:eastAsia="zh-CN"/>
        </w:rPr>
        <w:t>大写叁拾叁万玖佰玖拾元整</w:t>
      </w:r>
      <w:r>
        <w:rPr>
          <w:rFonts w:hint="eastAsia" w:ascii="仿宋_GB2312" w:hAnsi="仿宋_GB2312" w:eastAsia="仿宋_GB2312" w:cs="仿宋_GB2312"/>
          <w:sz w:val="32"/>
          <w:szCs w:val="36"/>
          <w:highlight w:val="none"/>
          <w:lang w:eastAsia="zh-CN"/>
        </w:rPr>
        <w:t>），</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141"/>
        <w:gridCol w:w="2176"/>
        <w:gridCol w:w="887"/>
        <w:gridCol w:w="951"/>
        <w:gridCol w:w="2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7" w:type="dxa"/>
            <w:gridSpan w:val="6"/>
            <w:noWrap w:val="0"/>
            <w:vAlign w:val="center"/>
          </w:tcPr>
          <w:p>
            <w:pPr>
              <w:pStyle w:val="8"/>
              <w:spacing w:after="0" w:line="560" w:lineRule="exact"/>
              <w:ind w:left="0" w:leftChars="0" w:right="0" w:rightChars="0" w:firstLine="0" w:firstLineChars="0"/>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bCs/>
                <w:sz w:val="32"/>
                <w:szCs w:val="32"/>
                <w:highlight w:val="none"/>
                <w:lang w:val="en-US" w:eastAsia="zh-CN"/>
              </w:rPr>
              <w:t>龙华区困境儿童服务提质项目报价表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pStyle w:val="8"/>
              <w:spacing w:after="0" w:line="560" w:lineRule="exact"/>
              <w:ind w:left="0" w:leftChars="0" w:right="0" w:rightChars="0" w:firstLine="0" w:firstLine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序号</w:t>
            </w:r>
          </w:p>
        </w:tc>
        <w:tc>
          <w:tcPr>
            <w:tcW w:w="1141" w:type="dxa"/>
            <w:noWrap w:val="0"/>
            <w:vAlign w:val="center"/>
          </w:tcPr>
          <w:p>
            <w:pPr>
              <w:pStyle w:val="8"/>
              <w:spacing w:after="0" w:line="560" w:lineRule="exact"/>
              <w:ind w:left="0" w:leftChars="0" w:right="0" w:rightChars="0" w:firstLine="0" w:firstLineChars="0"/>
              <w:jc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eastAsia="zh-CN"/>
              </w:rPr>
              <w:t>项目</w:t>
            </w:r>
          </w:p>
        </w:tc>
        <w:tc>
          <w:tcPr>
            <w:tcW w:w="2176" w:type="dxa"/>
            <w:noWrap w:val="0"/>
            <w:vAlign w:val="center"/>
          </w:tcPr>
          <w:p>
            <w:pPr>
              <w:pStyle w:val="8"/>
              <w:spacing w:after="0" w:line="560" w:lineRule="exact"/>
              <w:ind w:left="0" w:leftChars="0" w:right="0" w:rightChars="0" w:firstLine="0" w:firstLineChars="0"/>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eastAsia="zh-CN"/>
              </w:rPr>
              <w:t>内容</w:t>
            </w:r>
          </w:p>
        </w:tc>
        <w:tc>
          <w:tcPr>
            <w:tcW w:w="887" w:type="dxa"/>
            <w:noWrap w:val="0"/>
            <w:vAlign w:val="center"/>
          </w:tcPr>
          <w:p>
            <w:pPr>
              <w:pStyle w:val="8"/>
              <w:spacing w:after="0" w:line="560" w:lineRule="exact"/>
              <w:ind w:left="0" w:leftChars="0" w:right="0" w:rightChars="0" w:firstLine="0" w:firstLineChars="0"/>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eastAsia="zh-CN"/>
              </w:rPr>
              <w:t>单位</w:t>
            </w:r>
          </w:p>
        </w:tc>
        <w:tc>
          <w:tcPr>
            <w:tcW w:w="951" w:type="dxa"/>
            <w:noWrap w:val="0"/>
            <w:vAlign w:val="center"/>
          </w:tcPr>
          <w:p>
            <w:pPr>
              <w:pStyle w:val="8"/>
              <w:spacing w:after="0" w:line="560" w:lineRule="exact"/>
              <w:ind w:left="0" w:leftChars="0" w:right="0" w:rightChars="0" w:firstLine="0" w:firstLineChars="0"/>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eastAsia="zh-CN"/>
              </w:rPr>
              <w:t>数量</w:t>
            </w:r>
          </w:p>
        </w:tc>
        <w:tc>
          <w:tcPr>
            <w:tcW w:w="2756" w:type="dxa"/>
            <w:noWrap w:val="0"/>
            <w:vAlign w:val="center"/>
          </w:tcPr>
          <w:p>
            <w:pPr>
              <w:pStyle w:val="8"/>
              <w:spacing w:after="0" w:line="560" w:lineRule="exact"/>
              <w:ind w:left="0" w:leftChars="0" w:right="0" w:rightChars="0" w:firstLine="0" w:firstLineChars="0"/>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pStyle w:val="8"/>
              <w:keepNext w:val="0"/>
              <w:keepLines w:val="0"/>
              <w:pageBreakBefore w:val="0"/>
              <w:kinsoku/>
              <w:wordWrap/>
              <w:overflowPunct/>
              <w:topLinePunct w:val="0"/>
              <w:autoSpaceDE/>
              <w:autoSpaceDN/>
              <w:bidi w:val="0"/>
              <w:adjustRightInd/>
              <w:snapToGrid/>
              <w:spacing w:after="0" w:line="400" w:lineRule="exact"/>
              <w:ind w:left="0" w:leftChars="0" w:right="0" w:rightChars="0" w:firstLine="0" w:firstLineChars="0"/>
              <w:jc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w:t>
            </w:r>
          </w:p>
        </w:tc>
        <w:tc>
          <w:tcPr>
            <w:tcW w:w="1141" w:type="dxa"/>
            <w:noWrap w:val="0"/>
            <w:vAlign w:val="center"/>
          </w:tcPr>
          <w:p>
            <w:pPr>
              <w:pStyle w:val="8"/>
              <w:keepNext w:val="0"/>
              <w:keepLines w:val="0"/>
              <w:pageBreakBefore w:val="0"/>
              <w:kinsoku/>
              <w:wordWrap/>
              <w:overflowPunct/>
              <w:topLinePunct w:val="0"/>
              <w:autoSpaceDE/>
              <w:autoSpaceDN/>
              <w:bidi w:val="0"/>
              <w:adjustRightInd/>
              <w:snapToGrid/>
              <w:spacing w:after="0" w:line="400" w:lineRule="exact"/>
              <w:ind w:left="0" w:leftChars="0" w:right="0" w:rightChars="0" w:firstLine="0" w:firstLineChars="0"/>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eastAsia="zh-CN"/>
              </w:rPr>
              <w:t>走访督导</w:t>
            </w:r>
          </w:p>
        </w:tc>
        <w:tc>
          <w:tcPr>
            <w:tcW w:w="2176" w:type="dxa"/>
            <w:noWrap w:val="0"/>
            <w:vAlign w:val="center"/>
          </w:tcPr>
          <w:p>
            <w:pPr>
              <w:pStyle w:val="8"/>
              <w:keepNext w:val="0"/>
              <w:keepLines w:val="0"/>
              <w:pageBreakBefore w:val="0"/>
              <w:kinsoku/>
              <w:wordWrap/>
              <w:overflowPunct/>
              <w:topLinePunct w:val="0"/>
              <w:autoSpaceDE/>
              <w:autoSpaceDN/>
              <w:bidi w:val="0"/>
              <w:adjustRightInd/>
              <w:snapToGrid/>
              <w:spacing w:after="0" w:line="400" w:lineRule="exact"/>
              <w:ind w:left="0" w:leftChars="0" w:right="0" w:rightChars="0" w:firstLine="0" w:firstLineChars="0"/>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i w:val="0"/>
                <w:iCs w:val="0"/>
                <w:color w:val="000000"/>
                <w:kern w:val="0"/>
                <w:sz w:val="32"/>
                <w:szCs w:val="32"/>
                <w:u w:val="none"/>
                <w:lang w:val="en-US" w:eastAsia="zh-CN" w:bidi="ar"/>
              </w:rPr>
              <w:t>基层走访督导</w:t>
            </w:r>
          </w:p>
        </w:tc>
        <w:tc>
          <w:tcPr>
            <w:tcW w:w="887" w:type="dxa"/>
            <w:noWrap w:val="0"/>
            <w:vAlign w:val="center"/>
          </w:tcPr>
          <w:p>
            <w:pPr>
              <w:pStyle w:val="8"/>
              <w:keepNext w:val="0"/>
              <w:keepLines w:val="0"/>
              <w:pageBreakBefore w:val="0"/>
              <w:kinsoku/>
              <w:wordWrap/>
              <w:overflowPunct/>
              <w:topLinePunct w:val="0"/>
              <w:autoSpaceDE/>
              <w:autoSpaceDN/>
              <w:bidi w:val="0"/>
              <w:adjustRightInd/>
              <w:snapToGrid/>
              <w:spacing w:after="0" w:line="400" w:lineRule="exact"/>
              <w:ind w:left="0" w:leftChars="0" w:right="0" w:rightChars="0" w:firstLine="0" w:firstLineChars="0"/>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val="en-US" w:eastAsia="zh-CN"/>
              </w:rPr>
              <w:t>次</w:t>
            </w:r>
          </w:p>
        </w:tc>
        <w:tc>
          <w:tcPr>
            <w:tcW w:w="951" w:type="dxa"/>
            <w:noWrap w:val="0"/>
            <w:vAlign w:val="center"/>
          </w:tcPr>
          <w:p>
            <w:pPr>
              <w:pStyle w:val="8"/>
              <w:keepNext w:val="0"/>
              <w:keepLines w:val="0"/>
              <w:pageBreakBefore w:val="0"/>
              <w:kinsoku/>
              <w:wordWrap/>
              <w:overflowPunct/>
              <w:topLinePunct w:val="0"/>
              <w:autoSpaceDE/>
              <w:autoSpaceDN/>
              <w:bidi w:val="0"/>
              <w:adjustRightInd/>
              <w:snapToGrid/>
              <w:spacing w:after="0" w:line="400" w:lineRule="exact"/>
              <w:ind w:left="0" w:leftChars="0" w:right="0" w:rightChars="0" w:firstLine="0" w:firstLineChars="0"/>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val="en-US" w:eastAsia="zh-CN"/>
              </w:rPr>
              <w:t>6</w:t>
            </w:r>
          </w:p>
        </w:tc>
        <w:tc>
          <w:tcPr>
            <w:tcW w:w="2756" w:type="dxa"/>
            <w:noWrap w:val="0"/>
            <w:vAlign w:val="center"/>
          </w:tcPr>
          <w:p>
            <w:pPr>
              <w:pStyle w:val="8"/>
              <w:keepNext w:val="0"/>
              <w:keepLines w:val="0"/>
              <w:pageBreakBefore w:val="0"/>
              <w:kinsoku/>
              <w:wordWrap/>
              <w:overflowPunct/>
              <w:topLinePunct w:val="0"/>
              <w:autoSpaceDE/>
              <w:autoSpaceDN/>
              <w:bidi w:val="0"/>
              <w:adjustRightInd/>
              <w:snapToGrid/>
              <w:spacing w:after="0" w:line="400" w:lineRule="exact"/>
              <w:ind w:left="0" w:leftChars="0" w:right="0" w:rightChars="0" w:firstLine="0" w:firstLineChars="0"/>
              <w:jc w:val="both"/>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i w:val="0"/>
                <w:iCs w:val="0"/>
                <w:snapToGrid w:val="0"/>
                <w:color w:val="auto"/>
                <w:kern w:val="0"/>
                <w:sz w:val="32"/>
                <w:szCs w:val="32"/>
                <w:highlight w:val="none"/>
                <w:u w:val="none"/>
                <w:lang w:val="en-US" w:eastAsia="zh-CN" w:bidi="ar"/>
              </w:rPr>
              <w:t>对全区6个街道未保站开展走访督导，每街道不少于1次，每次督导时长不少于4学时。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76" w:type="dxa"/>
            <w:vMerge w:val="restar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i w:val="0"/>
                <w:iCs w:val="0"/>
                <w:color w:val="000000"/>
                <w:kern w:val="0"/>
                <w:sz w:val="32"/>
                <w:szCs w:val="32"/>
                <w:u w:val="none"/>
                <w:lang w:val="en-US" w:eastAsia="zh-CN" w:bidi="ar"/>
              </w:rPr>
              <w:t>2</w:t>
            </w:r>
          </w:p>
        </w:tc>
        <w:tc>
          <w:tcPr>
            <w:tcW w:w="114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i w:val="0"/>
                <w:iCs w:val="0"/>
                <w:caps w:val="0"/>
                <w:color w:val="0F1115"/>
                <w:spacing w:val="0"/>
                <w:kern w:val="0"/>
                <w:sz w:val="32"/>
                <w:szCs w:val="32"/>
                <w:shd w:val="clear" w:fill="FFFFFF"/>
                <w:lang w:val="en-US" w:eastAsia="zh-CN" w:bidi="ar"/>
              </w:rPr>
              <w:t>基础评估与建档</w:t>
            </w:r>
          </w:p>
        </w:tc>
        <w:tc>
          <w:tcPr>
            <w:tcW w:w="2176"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i w:val="0"/>
                <w:iCs w:val="0"/>
                <w:color w:val="000000"/>
                <w:kern w:val="0"/>
                <w:sz w:val="32"/>
                <w:szCs w:val="32"/>
                <w:u w:val="none"/>
                <w:lang w:val="en-US" w:eastAsia="zh-CN" w:bidi="ar"/>
              </w:rPr>
              <w:t>对辖区困境儿童分级分色情况进行抽样检测</w:t>
            </w:r>
          </w:p>
        </w:tc>
        <w:tc>
          <w:tcPr>
            <w:tcW w:w="887"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项</w:t>
            </w:r>
          </w:p>
        </w:tc>
        <w:tc>
          <w:tcPr>
            <w:tcW w:w="951"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w:t>
            </w:r>
          </w:p>
        </w:tc>
        <w:tc>
          <w:tcPr>
            <w:tcW w:w="2756" w:type="dxa"/>
            <w:vMerge w:val="restart"/>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both"/>
              <w:textAlignment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i w:val="0"/>
                <w:iCs w:val="0"/>
                <w:snapToGrid w:val="0"/>
                <w:color w:val="auto"/>
                <w:kern w:val="0"/>
                <w:sz w:val="32"/>
                <w:szCs w:val="32"/>
                <w:highlight w:val="none"/>
                <w:u w:val="none"/>
                <w:lang w:val="en-US" w:eastAsia="zh-CN" w:bidi="ar"/>
              </w:rPr>
              <w:t>对不少于10%的全区登记在册困境儿童进行抽样回访</w:t>
            </w:r>
            <w:r>
              <w:rPr>
                <w:rFonts w:hint="eastAsia" w:ascii="仿宋_GB2312" w:hAnsi="仿宋_GB2312" w:eastAsia="仿宋_GB2312" w:cs="仿宋_GB2312"/>
                <w:snapToGrid w:val="0"/>
                <w:color w:val="auto"/>
                <w:kern w:val="0"/>
                <w:sz w:val="32"/>
                <w:szCs w:val="32"/>
                <w:highlight w:val="none"/>
                <w:u w:val="none"/>
                <w:lang w:eastAsia="zh-CN" w:bidi="ar"/>
              </w:rPr>
              <w:t>，</w:t>
            </w:r>
            <w:r>
              <w:rPr>
                <w:rFonts w:hint="eastAsia" w:ascii="仿宋_GB2312" w:hAnsi="仿宋_GB2312" w:eastAsia="仿宋_GB2312" w:cs="仿宋_GB2312"/>
                <w:i w:val="0"/>
                <w:iCs w:val="0"/>
                <w:snapToGrid w:val="0"/>
                <w:color w:val="auto"/>
                <w:kern w:val="0"/>
                <w:sz w:val="32"/>
                <w:szCs w:val="32"/>
                <w:highlight w:val="none"/>
                <w:u w:val="none"/>
                <w:lang w:val="en-US" w:eastAsia="zh-CN" w:bidi="ar"/>
              </w:rPr>
              <w:t>核实信息，形成一人一档风险画像，并对有需要的儿童进行转介服务。</w:t>
            </w:r>
            <w:r>
              <w:rPr>
                <w:rFonts w:hint="eastAsia" w:ascii="仿宋_GB2312" w:hAnsi="仿宋_GB2312" w:eastAsia="仿宋_GB2312" w:cs="仿宋_GB2312"/>
                <w:snapToGrid w:val="0"/>
                <w:color w:val="auto"/>
                <w:kern w:val="0"/>
                <w:sz w:val="32"/>
                <w:szCs w:val="32"/>
                <w:highlight w:val="none"/>
                <w:u w:val="none"/>
                <w:lang w:bidi="ar"/>
              </w:rPr>
              <w:t>（抽样总人数供应商可向采购人电话咨询获取作为报价依据）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p>
        </w:tc>
        <w:tc>
          <w:tcPr>
            <w:tcW w:w="114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val="0"/>
                <w:iCs w:val="0"/>
                <w:caps w:val="0"/>
                <w:color w:val="0F1115"/>
                <w:spacing w:val="0"/>
                <w:kern w:val="0"/>
                <w:sz w:val="32"/>
                <w:szCs w:val="32"/>
                <w:shd w:val="clear" w:fill="FFFFFF"/>
                <w:lang w:val="en-US" w:eastAsia="zh-CN" w:bidi="ar"/>
              </w:rPr>
            </w:pPr>
          </w:p>
        </w:tc>
        <w:tc>
          <w:tcPr>
            <w:tcW w:w="2176"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对抽检儿童形成风险画像</w:t>
            </w:r>
          </w:p>
        </w:tc>
        <w:tc>
          <w:tcPr>
            <w:tcW w:w="887"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项</w:t>
            </w:r>
          </w:p>
        </w:tc>
        <w:tc>
          <w:tcPr>
            <w:tcW w:w="951"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w:t>
            </w:r>
          </w:p>
        </w:tc>
        <w:tc>
          <w:tcPr>
            <w:tcW w:w="2756"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both"/>
              <w:textAlignment w:val="center"/>
              <w:rPr>
                <w:rFonts w:hint="eastAsia" w:ascii="仿宋_GB2312" w:hAnsi="仿宋_GB2312" w:eastAsia="仿宋_GB2312" w:cs="仿宋_GB2312"/>
                <w:i w:val="0"/>
                <w:iCs w:val="0"/>
                <w:snapToGrid w:val="0"/>
                <w:color w:val="auto"/>
                <w:kern w:val="0"/>
                <w:sz w:val="32"/>
                <w:szCs w:val="3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continue"/>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b w:val="0"/>
                <w:bCs w:val="0"/>
                <w:sz w:val="32"/>
                <w:szCs w:val="32"/>
                <w:vertAlign w:val="baseline"/>
                <w:lang w:val="en-US" w:eastAsia="zh-CN"/>
              </w:rPr>
            </w:pPr>
          </w:p>
        </w:tc>
        <w:tc>
          <w:tcPr>
            <w:tcW w:w="1141" w:type="dxa"/>
            <w:vMerge w:val="continue"/>
            <w:noWrap w:val="0"/>
            <w:vAlign w:val="center"/>
          </w:tcPr>
          <w:p>
            <w:pPr>
              <w:keepNext w:val="0"/>
              <w:keepLines w:val="0"/>
              <w:pageBreakBefore w:val="0"/>
              <w:kinsoku/>
              <w:wordWrap/>
              <w:overflowPunct/>
              <w:topLinePunct w:val="0"/>
              <w:autoSpaceDE/>
              <w:autoSpaceDN/>
              <w:bidi w:val="0"/>
              <w:adjustRightInd/>
              <w:snapToGrid/>
              <w:spacing w:after="0" w:line="400" w:lineRule="exact"/>
              <w:ind w:right="0" w:rightChars="0"/>
              <w:jc w:val="center"/>
              <w:rPr>
                <w:rFonts w:hint="eastAsia" w:ascii="仿宋_GB2312" w:hAnsi="仿宋_GB2312" w:eastAsia="仿宋_GB2312" w:cs="仿宋_GB2312"/>
                <w:b w:val="0"/>
                <w:bCs w:val="0"/>
                <w:sz w:val="32"/>
                <w:szCs w:val="32"/>
                <w:vertAlign w:val="baseline"/>
                <w:lang w:eastAsia="zh-CN"/>
              </w:rPr>
            </w:pPr>
          </w:p>
        </w:tc>
        <w:tc>
          <w:tcPr>
            <w:tcW w:w="2176"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i w:val="0"/>
                <w:iCs w:val="0"/>
                <w:color w:val="000000"/>
                <w:kern w:val="0"/>
                <w:sz w:val="32"/>
                <w:szCs w:val="32"/>
                <w:u w:val="none"/>
                <w:lang w:val="en-US" w:eastAsia="zh-CN" w:bidi="ar"/>
              </w:rPr>
              <w:t>对龙华区困境儿童现状进行分析</w:t>
            </w:r>
          </w:p>
        </w:tc>
        <w:tc>
          <w:tcPr>
            <w:tcW w:w="887"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份</w:t>
            </w:r>
          </w:p>
        </w:tc>
        <w:tc>
          <w:tcPr>
            <w:tcW w:w="951"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i w:val="0"/>
                <w:iCs w:val="0"/>
                <w:color w:val="000000"/>
                <w:kern w:val="0"/>
                <w:sz w:val="32"/>
                <w:szCs w:val="32"/>
                <w:u w:val="none"/>
                <w:lang w:val="en-US" w:eastAsia="zh-CN" w:bidi="ar"/>
              </w:rPr>
              <w:t>1</w:t>
            </w:r>
          </w:p>
        </w:tc>
        <w:tc>
          <w:tcPr>
            <w:tcW w:w="2756"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both"/>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i w:val="0"/>
                <w:iCs w:val="0"/>
                <w:snapToGrid w:val="0"/>
                <w:color w:val="auto"/>
                <w:kern w:val="0"/>
                <w:sz w:val="32"/>
                <w:szCs w:val="32"/>
                <w:highlight w:val="none"/>
                <w:u w:val="none"/>
                <w:lang w:val="en-US" w:eastAsia="zh-CN" w:bidi="ar"/>
              </w:rPr>
              <w:t>对全区困境儿童情况进行分析，形成现状分析材料一份。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w:t>
            </w:r>
          </w:p>
        </w:tc>
        <w:tc>
          <w:tcPr>
            <w:tcW w:w="114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i w:val="0"/>
                <w:iCs w:val="0"/>
                <w:color w:val="000000"/>
                <w:kern w:val="0"/>
                <w:sz w:val="32"/>
                <w:szCs w:val="32"/>
                <w:u w:val="none"/>
                <w:lang w:val="en-US" w:eastAsia="zh-CN" w:bidi="ar"/>
              </w:rPr>
              <w:t>儿童工作与普法材料</w:t>
            </w:r>
          </w:p>
        </w:tc>
        <w:tc>
          <w:tcPr>
            <w:tcW w:w="21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sz w:val="32"/>
                <w:szCs w:val="32"/>
                <w:vertAlign w:val="baseline"/>
                <w:lang w:val="en-US" w:eastAsia="zh-CN"/>
              </w:rPr>
              <w:t>基层儿童工作人员专业指引</w:t>
            </w:r>
          </w:p>
        </w:tc>
        <w:tc>
          <w:tcPr>
            <w:tcW w:w="8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册</w:t>
            </w:r>
          </w:p>
        </w:tc>
        <w:tc>
          <w:tcPr>
            <w:tcW w:w="9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sz w:val="32"/>
                <w:szCs w:val="32"/>
                <w:vertAlign w:val="baseline"/>
                <w:lang w:val="en-US" w:eastAsia="zh-CN"/>
              </w:rPr>
              <w:t>300</w:t>
            </w:r>
          </w:p>
        </w:tc>
        <w:tc>
          <w:tcPr>
            <w:tcW w:w="27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sz w:val="32"/>
                <w:szCs w:val="32"/>
                <w:vertAlign w:val="baseline"/>
                <w:lang w:val="en-US" w:eastAsia="zh-CN"/>
              </w:rPr>
              <w:t>编撰、设计、印制供基层儿童工作人员使用的专业指引，内容包括且不限于政策依据、工作流程、转介资源等，A5尺寸，不少于30个印刷面。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sz w:val="32"/>
                <w:szCs w:val="32"/>
                <w:vertAlign w:val="baseline"/>
                <w:lang w:val="en-US" w:eastAsia="zh-CN"/>
              </w:rPr>
            </w:pPr>
          </w:p>
        </w:tc>
        <w:tc>
          <w:tcPr>
            <w:tcW w:w="114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sz w:val="32"/>
                <w:szCs w:val="32"/>
                <w:vertAlign w:val="baseline"/>
                <w:lang w:eastAsia="zh-CN"/>
              </w:rPr>
            </w:pPr>
          </w:p>
        </w:tc>
        <w:tc>
          <w:tcPr>
            <w:tcW w:w="21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sz w:val="32"/>
                <w:szCs w:val="32"/>
                <w:vertAlign w:val="baseline"/>
                <w:lang w:val="en-US" w:eastAsia="zh-CN"/>
              </w:rPr>
              <w:t>儿童关爱普法手册</w:t>
            </w:r>
          </w:p>
        </w:tc>
        <w:tc>
          <w:tcPr>
            <w:tcW w:w="8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册</w:t>
            </w:r>
          </w:p>
        </w:tc>
        <w:tc>
          <w:tcPr>
            <w:tcW w:w="9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4700</w:t>
            </w:r>
          </w:p>
        </w:tc>
        <w:tc>
          <w:tcPr>
            <w:tcW w:w="27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sz w:val="32"/>
                <w:szCs w:val="32"/>
                <w:vertAlign w:val="baseline"/>
                <w:lang w:val="en-US" w:eastAsia="zh-CN"/>
              </w:rPr>
              <w:t>编撰、设计、印制供居民使用的儿童关爱普法手册，内容包括且不限于法律条文、家庭教育规范、相关服务资源等，A5尺寸，不少于10个印刷面。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w:t>
            </w:r>
          </w:p>
        </w:tc>
        <w:tc>
          <w:tcPr>
            <w:tcW w:w="1141" w:type="dxa"/>
            <w:noWrap w:val="0"/>
            <w:vAlign w:val="center"/>
          </w:tcPr>
          <w:p>
            <w:pPr>
              <w:keepNext w:val="0"/>
              <w:keepLines w:val="0"/>
              <w:pageBreakBefore w:val="0"/>
              <w:kinsoku/>
              <w:wordWrap/>
              <w:overflowPunct/>
              <w:topLinePunct w:val="0"/>
              <w:autoSpaceDE/>
              <w:autoSpaceDN/>
              <w:bidi w:val="0"/>
              <w:adjustRightInd/>
              <w:snapToGrid/>
              <w:spacing w:after="0" w:line="400" w:lineRule="exact"/>
              <w:ind w:right="0" w:rightChars="0"/>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eastAsia="zh-CN"/>
              </w:rPr>
              <w:t>专业队伍建设</w:t>
            </w:r>
          </w:p>
        </w:tc>
        <w:tc>
          <w:tcPr>
            <w:tcW w:w="2176"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基层儿童工作队伍培训</w:t>
            </w:r>
          </w:p>
        </w:tc>
        <w:tc>
          <w:tcPr>
            <w:tcW w:w="887"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场</w:t>
            </w:r>
          </w:p>
        </w:tc>
        <w:tc>
          <w:tcPr>
            <w:tcW w:w="951"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3</w:t>
            </w:r>
          </w:p>
        </w:tc>
        <w:tc>
          <w:tcPr>
            <w:tcW w:w="2756"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both"/>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color w:val="auto"/>
                <w:kern w:val="2"/>
                <w:sz w:val="32"/>
                <w:szCs w:val="32"/>
                <w:highlight w:val="none"/>
                <w:lang w:val="en-US" w:eastAsia="zh-CN" w:bidi="ar-SA"/>
              </w:rPr>
              <w:t>面向全区</w:t>
            </w:r>
            <w:r>
              <w:rPr>
                <w:rFonts w:hint="default" w:ascii="仿宋_GB2312" w:hAnsi="仿宋_GB2312" w:eastAsia="仿宋_GB2312" w:cs="仿宋_GB2312"/>
                <w:b w:val="0"/>
                <w:bCs w:val="0"/>
                <w:color w:val="auto"/>
                <w:kern w:val="2"/>
                <w:sz w:val="32"/>
                <w:szCs w:val="32"/>
                <w:highlight w:val="none"/>
                <w:lang w:val="en-US" w:eastAsia="zh-CN" w:bidi="ar-SA"/>
              </w:rPr>
              <w:t>儿童督导员、儿童主任</w:t>
            </w:r>
            <w:r>
              <w:rPr>
                <w:rFonts w:hint="eastAsia" w:ascii="仿宋_GB2312" w:hAnsi="仿宋_GB2312" w:eastAsia="仿宋_GB2312" w:cs="仿宋_GB2312"/>
                <w:b w:val="0"/>
                <w:bCs w:val="0"/>
                <w:color w:val="auto"/>
                <w:kern w:val="2"/>
                <w:sz w:val="32"/>
                <w:szCs w:val="32"/>
                <w:highlight w:val="none"/>
                <w:lang w:val="en-US" w:eastAsia="zh-CN" w:bidi="ar-SA"/>
              </w:rPr>
              <w:t>、儿童</w:t>
            </w:r>
            <w:r>
              <w:rPr>
                <w:rFonts w:hint="default" w:ascii="仿宋_GB2312" w:hAnsi="仿宋_GB2312" w:eastAsia="仿宋_GB2312" w:cs="仿宋_GB2312"/>
                <w:b w:val="0"/>
                <w:bCs w:val="0"/>
                <w:color w:val="auto"/>
                <w:kern w:val="2"/>
                <w:sz w:val="32"/>
                <w:szCs w:val="32"/>
                <w:highlight w:val="none"/>
                <w:lang w:val="en-US" w:eastAsia="zh-CN" w:bidi="ar-SA"/>
              </w:rPr>
              <w:t>社工及教师</w:t>
            </w:r>
            <w:r>
              <w:rPr>
                <w:rFonts w:hint="eastAsia" w:ascii="仿宋_GB2312" w:hAnsi="仿宋_GB2312" w:eastAsia="仿宋_GB2312" w:cs="仿宋_GB2312"/>
                <w:b w:val="0"/>
                <w:bCs w:val="0"/>
                <w:color w:val="auto"/>
                <w:kern w:val="2"/>
                <w:sz w:val="32"/>
                <w:szCs w:val="32"/>
                <w:highlight w:val="none"/>
                <w:lang w:val="en-US" w:eastAsia="zh-CN" w:bidi="ar-SA"/>
              </w:rPr>
              <w:t>等相关专业人员开展专业培训，每场不少于4个学时，平均每场不少于50人参加</w:t>
            </w:r>
            <w:r>
              <w:rPr>
                <w:rFonts w:hint="default"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color w:val="auto"/>
                <w:kern w:val="2"/>
                <w:sz w:val="32"/>
                <w:szCs w:val="32"/>
                <w:highlight w:val="none"/>
                <w:lang w:val="en-US" w:eastAsia="zh-CN" w:bidi="ar-SA"/>
              </w:rPr>
              <w:t>其中</w:t>
            </w:r>
            <w:r>
              <w:rPr>
                <w:rFonts w:hint="default" w:ascii="仿宋_GB2312" w:hAnsi="仿宋_GB2312" w:eastAsia="仿宋_GB2312" w:cs="仿宋_GB2312"/>
                <w:b w:val="0"/>
                <w:bCs w:val="0"/>
                <w:color w:val="auto"/>
                <w:kern w:val="2"/>
                <w:sz w:val="32"/>
                <w:szCs w:val="32"/>
                <w:highlight w:val="none"/>
                <w:lang w:val="en-US" w:eastAsia="zh-CN" w:bidi="ar-SA"/>
              </w:rPr>
              <w:t>儿童督导员、儿童主任</w:t>
            </w:r>
            <w:r>
              <w:rPr>
                <w:rFonts w:hint="eastAsia" w:ascii="仿宋_GB2312" w:hAnsi="仿宋_GB2312" w:eastAsia="仿宋_GB2312" w:cs="仿宋_GB2312"/>
                <w:b w:val="0"/>
                <w:bCs w:val="0"/>
                <w:color w:val="auto"/>
                <w:kern w:val="2"/>
                <w:sz w:val="32"/>
                <w:szCs w:val="32"/>
                <w:highlight w:val="none"/>
                <w:lang w:val="en-US" w:eastAsia="zh-CN" w:bidi="ar-SA"/>
              </w:rPr>
              <w:t>参与培训率应达到100%全覆盖，满意度不低于90%。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w:t>
            </w:r>
          </w:p>
        </w:tc>
        <w:tc>
          <w:tcPr>
            <w:tcW w:w="11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i w:val="0"/>
                <w:iCs w:val="0"/>
                <w:caps w:val="0"/>
                <w:color w:val="0F1115"/>
                <w:spacing w:val="0"/>
                <w:kern w:val="0"/>
                <w:sz w:val="32"/>
                <w:szCs w:val="32"/>
                <w:shd w:val="clear" w:fill="FFFFFF"/>
                <w:lang w:val="en-US" w:eastAsia="zh-CN" w:bidi="ar"/>
              </w:rPr>
              <w:t>个案管理服务</w:t>
            </w:r>
          </w:p>
        </w:tc>
        <w:tc>
          <w:tcPr>
            <w:tcW w:w="2176"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重点个案干预</w:t>
            </w:r>
          </w:p>
        </w:tc>
        <w:tc>
          <w:tcPr>
            <w:tcW w:w="887"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宗</w:t>
            </w:r>
          </w:p>
        </w:tc>
        <w:tc>
          <w:tcPr>
            <w:tcW w:w="951"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center"/>
              <w:textAlignment w:val="center"/>
              <w:rPr>
                <w:rFonts w:hint="default"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3</w:t>
            </w:r>
          </w:p>
        </w:tc>
        <w:tc>
          <w:tcPr>
            <w:tcW w:w="2756" w:type="dxa"/>
            <w:noWrap w:val="0"/>
            <w:vAlign w:val="center"/>
          </w:tcPr>
          <w:p>
            <w:pPr>
              <w:keepNext w:val="0"/>
              <w:keepLines w:val="0"/>
              <w:pageBreakBefore w:val="0"/>
              <w:widowControl/>
              <w:kinsoku/>
              <w:wordWrap/>
              <w:overflowPunct/>
              <w:topLinePunct w:val="0"/>
              <w:autoSpaceDE/>
              <w:autoSpaceDN/>
              <w:bidi w:val="0"/>
              <w:adjustRightInd/>
              <w:snapToGrid/>
              <w:spacing w:after="0" w:line="400" w:lineRule="exact"/>
              <w:ind w:right="0" w:rightChars="0"/>
              <w:jc w:val="both"/>
              <w:textAlignment w:val="center"/>
              <w:rPr>
                <w:rFonts w:hint="default"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对于辖区风险程度达到或接近高危风险的个案开展包干式跟进服务，不少于3宗，每宗跟进次数不少于5次，每次不少于1学时。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jc w:val="center"/>
        </w:trPr>
        <w:tc>
          <w:tcPr>
            <w:tcW w:w="87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6</w:t>
            </w:r>
          </w:p>
        </w:tc>
        <w:tc>
          <w:tcPr>
            <w:tcW w:w="1141"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i w:val="0"/>
                <w:iCs w:val="0"/>
                <w:color w:val="000000"/>
                <w:kern w:val="0"/>
                <w:sz w:val="32"/>
                <w:szCs w:val="32"/>
                <w:u w:val="none"/>
                <w:lang w:val="en-US" w:eastAsia="zh-CN" w:bidi="ar"/>
              </w:rPr>
              <w:t>儿童关爱保护主题活动</w:t>
            </w:r>
          </w:p>
        </w:tc>
        <w:tc>
          <w:tcPr>
            <w:tcW w:w="21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普法教育主题活动</w:t>
            </w:r>
          </w:p>
        </w:tc>
        <w:tc>
          <w:tcPr>
            <w:tcW w:w="8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场</w:t>
            </w:r>
          </w:p>
        </w:tc>
        <w:tc>
          <w:tcPr>
            <w:tcW w:w="9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12</w:t>
            </w:r>
          </w:p>
        </w:tc>
        <w:tc>
          <w:tcPr>
            <w:tcW w:w="2756"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i w:val="0"/>
                <w:iCs w:val="0"/>
                <w:color w:val="000000"/>
                <w:kern w:val="0"/>
                <w:sz w:val="32"/>
                <w:szCs w:val="32"/>
                <w:u w:val="none"/>
                <w:lang w:val="en-US" w:eastAsia="zh-CN" w:bidi="ar"/>
              </w:rPr>
              <w:t>结合全区实际情况与真实案例，自主研发形式生动、互动性强的普法教育、心理关爱主题活动，形成具有创新性、可复制的活动工具包，平均每月开展不少于1场，全年不少于18场，平均每场不少于40名儿童参加，满意度不低于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p>
        </w:tc>
        <w:tc>
          <w:tcPr>
            <w:tcW w:w="1141"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p>
        </w:tc>
        <w:tc>
          <w:tcPr>
            <w:tcW w:w="21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心理关爱主题活动</w:t>
            </w:r>
          </w:p>
        </w:tc>
        <w:tc>
          <w:tcPr>
            <w:tcW w:w="8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场</w:t>
            </w:r>
          </w:p>
        </w:tc>
        <w:tc>
          <w:tcPr>
            <w:tcW w:w="9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w:t>
            </w:r>
          </w:p>
        </w:tc>
        <w:tc>
          <w:tcPr>
            <w:tcW w:w="2756"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7</w:t>
            </w:r>
          </w:p>
        </w:tc>
        <w:tc>
          <w:tcPr>
            <w:tcW w:w="11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其他</w:t>
            </w:r>
          </w:p>
        </w:tc>
        <w:tc>
          <w:tcPr>
            <w:tcW w:w="217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iCs w:val="0"/>
                <w:color w:val="000000"/>
                <w:kern w:val="0"/>
                <w:sz w:val="32"/>
                <w:szCs w:val="32"/>
                <w:u w:val="none"/>
                <w:lang w:val="en-US" w:eastAsia="zh-CN" w:bidi="ar"/>
              </w:rPr>
            </w:pPr>
            <w:r>
              <w:rPr>
                <w:rFonts w:hint="eastAsia" w:ascii="仿宋_GB2312" w:hAnsi="仿宋_GB2312" w:eastAsia="仿宋_GB2312" w:cs="仿宋_GB2312"/>
                <w:b w:val="0"/>
                <w:bCs w:val="0"/>
                <w:i w:val="0"/>
                <w:iCs w:val="0"/>
                <w:color w:val="000000"/>
                <w:kern w:val="0"/>
                <w:sz w:val="32"/>
                <w:szCs w:val="32"/>
                <w:u w:val="none"/>
                <w:lang w:val="en-US" w:eastAsia="zh-CN" w:bidi="ar"/>
              </w:rPr>
              <w:t>项目管理费</w:t>
            </w:r>
          </w:p>
        </w:tc>
        <w:tc>
          <w:tcPr>
            <w:tcW w:w="8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i w:val="0"/>
                <w:iCs w:val="0"/>
                <w:color w:val="000000"/>
                <w:kern w:val="0"/>
                <w:sz w:val="32"/>
                <w:szCs w:val="32"/>
                <w:u w:val="none"/>
                <w:lang w:val="en-US" w:eastAsia="zh-CN" w:bidi="ar"/>
              </w:rPr>
            </w:pPr>
          </w:p>
        </w:tc>
        <w:tc>
          <w:tcPr>
            <w:tcW w:w="95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sz w:val="32"/>
                <w:szCs w:val="32"/>
                <w:vertAlign w:val="baseline"/>
                <w:lang w:val="en-US" w:eastAsia="zh-CN"/>
              </w:rPr>
            </w:pPr>
          </w:p>
        </w:tc>
        <w:tc>
          <w:tcPr>
            <w:tcW w:w="275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i w:val="0"/>
                <w:iCs w:val="0"/>
                <w:color w:val="000000"/>
                <w:kern w:val="0"/>
                <w:sz w:val="32"/>
                <w:szCs w:val="32"/>
                <w:u w:val="none"/>
                <w:lang w:val="en-US" w:eastAsia="zh-CN" w:bidi="ar"/>
              </w:rPr>
              <w:t>项目实施必要的其他支出。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787" w:type="dxa"/>
            <w:gridSpan w:val="6"/>
            <w:noWrap w:val="0"/>
            <w:vAlign w:val="center"/>
          </w:tcPr>
          <w:p>
            <w:pPr>
              <w:pStyle w:val="8"/>
              <w:keepNext w:val="0"/>
              <w:keepLines w:val="0"/>
              <w:pageBreakBefore w:val="0"/>
              <w:kinsoku/>
              <w:wordWrap/>
              <w:overflowPunct/>
              <w:topLinePunct w:val="0"/>
              <w:autoSpaceDE/>
              <w:autoSpaceDN/>
              <w:bidi w:val="0"/>
              <w:adjustRightInd/>
              <w:snapToGrid/>
              <w:spacing w:after="0" w:line="400" w:lineRule="exact"/>
              <w:ind w:left="0" w:leftChars="0" w:right="0" w:rightChars="0" w:firstLine="0" w:firstLineChars="0"/>
              <w:jc w:val="left"/>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lang w:eastAsia="zh-CN"/>
              </w:rPr>
              <w:t>投标价格（万元）：</w:t>
            </w:r>
            <w:r>
              <w:rPr>
                <w:rFonts w:hint="eastAsia" w:ascii="仿宋_GB2312" w:hAnsi="仿宋_GB2312" w:eastAsia="仿宋_GB2312" w:cs="仿宋_GB2312"/>
                <w:b w:val="0"/>
                <w:bCs w:val="0"/>
                <w:sz w:val="32"/>
                <w:szCs w:val="32"/>
                <w:vertAlign w:val="baseline"/>
                <w:lang w:val="en-US" w:eastAsia="zh-CN"/>
              </w:rPr>
              <w:t xml:space="preserve">    （以万元为单位，最多保留两位小数）</w:t>
            </w:r>
          </w:p>
        </w:tc>
      </w:tr>
    </w:tbl>
    <w:p>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8"/>
        <w:spacing w:line="560" w:lineRule="exact"/>
        <w:ind w:firstLine="640"/>
        <w:jc w:val="both"/>
        <w:rPr>
          <w:rFonts w:ascii="仿宋_GB2312" w:hAnsi="仿宋" w:eastAsia="仿宋_GB2312" w:cs="仿宋"/>
          <w:sz w:val="32"/>
          <w:szCs w:val="32"/>
          <w:highlight w:val="yellow"/>
        </w:rPr>
      </w:pPr>
      <w:r>
        <w:rPr>
          <w:rFonts w:hint="eastAsia" w:ascii="仿宋_GB2312" w:hAnsi="仿宋" w:eastAsia="仿宋_GB2312" w:cs="仿宋"/>
          <w:sz w:val="32"/>
          <w:szCs w:val="32"/>
        </w:rPr>
        <w:t>（一）在中国境内注册的独立法人或其他组织（提供营业执照、事业法人证书、社会团体法人登记证书等扫描件）</w:t>
      </w:r>
      <w:r>
        <w:rPr>
          <w:rFonts w:hint="eastAsia" w:ascii="仿宋_GB2312" w:hAnsi="仿宋" w:cs="仿宋"/>
          <w:sz w:val="32"/>
          <w:szCs w:val="32"/>
          <w:lang w:eastAsia="zh-CN"/>
        </w:rPr>
        <w:t>，</w:t>
      </w:r>
      <w:r>
        <w:rPr>
          <w:rFonts w:hint="eastAsia" w:ascii="仿宋_GB2312" w:hAnsi="仿宋" w:eastAsia="仿宋_GB2312" w:cs="仿宋"/>
          <w:color w:val="auto"/>
          <w:sz w:val="32"/>
          <w:szCs w:val="32"/>
          <w:highlight w:val="none"/>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18"/>
        <w:spacing w:line="560" w:lineRule="exact"/>
        <w:ind w:firstLine="640"/>
        <w:jc w:val="both"/>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sz w:val="32"/>
          <w:szCs w:val="32"/>
          <w:lang w:eastAsia="zh-CN"/>
        </w:rPr>
        <w:t>；</w:t>
      </w:r>
    </w:p>
    <w:p>
      <w:pPr>
        <w:pStyle w:val="18"/>
        <w:spacing w:line="560" w:lineRule="exact"/>
        <w:ind w:firstLine="640"/>
        <w:jc w:val="both"/>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eastAsia="仿宋_GB2312" w:cs="仿宋"/>
          <w:sz w:val="32"/>
          <w:szCs w:val="32"/>
          <w:highlight w:val="none"/>
          <w:lang w:eastAsia="zh-CN"/>
        </w:rPr>
        <w:t>。</w:t>
      </w:r>
    </w:p>
    <w:p>
      <w:pPr>
        <w:pStyle w:val="18"/>
        <w:spacing w:line="560" w:lineRule="exact"/>
        <w:ind w:firstLine="640"/>
        <w:jc w:val="both"/>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lang w:eastAsia="zh-CN"/>
        </w:rPr>
        <w:t>（四）</w:t>
      </w:r>
      <w:r>
        <w:rPr>
          <w:rFonts w:hint="eastAsia" w:ascii="仿宋_GB2312" w:hAnsi="仿宋" w:eastAsia="仿宋_GB2312" w:cs="仿宋"/>
          <w:sz w:val="32"/>
          <w:szCs w:val="32"/>
          <w:highlight w:val="none"/>
          <w:lang w:val="en-US" w:eastAsia="zh-CN"/>
        </w:rPr>
        <w:t>供应商资格条件（经营范围要求）：供应商营业执照（或登记证书）的业务范围/经营范围内须包含以下内容之一：1.社会工作服务；2.儿童或青少年服务。</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jc w:val="left"/>
        <w:rPr>
          <w:rFonts w:hint="eastAsia" w:ascii="仿宋_GB2312" w:hAnsi="仿宋" w:eastAsia="仿宋_GB2312"/>
          <w:sz w:val="32"/>
          <w:highlight w:val="yellow"/>
          <w:lang w:val="en-US" w:eastAsia="zh-CN"/>
        </w:rPr>
      </w:pPr>
      <w:r>
        <w:rPr>
          <w:rFonts w:hint="eastAsia" w:ascii="仿宋_GB2312" w:hAnsi="仿宋" w:eastAsia="仿宋_GB2312"/>
          <w:sz w:val="32"/>
          <w:highlight w:val="none"/>
        </w:rPr>
        <w:t>综合评分法</w:t>
      </w:r>
    </w:p>
    <w:p>
      <w:pPr>
        <w:keepNext w:val="0"/>
        <w:keepLines w:val="0"/>
        <w:pageBreakBefore w:val="0"/>
        <w:widowControl w:val="0"/>
        <w:snapToGrid/>
        <w:spacing w:line="56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20"/>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jc w:val="left"/>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20"/>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（二）评分权重</w:t>
      </w:r>
    </w:p>
    <w:tbl>
      <w:tblPr>
        <w:tblStyle w:val="14"/>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6"/>
        <w:gridCol w:w="2197"/>
        <w:gridCol w:w="2197"/>
        <w:gridCol w:w="2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6"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评分内容</w:t>
            </w:r>
          </w:p>
        </w:tc>
        <w:tc>
          <w:tcPr>
            <w:tcW w:w="2197"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报价</w:t>
            </w:r>
          </w:p>
        </w:tc>
        <w:tc>
          <w:tcPr>
            <w:tcW w:w="2197"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商务部分</w:t>
            </w:r>
          </w:p>
        </w:tc>
        <w:tc>
          <w:tcPr>
            <w:tcW w:w="2197"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6"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分值</w:t>
            </w:r>
          </w:p>
        </w:tc>
        <w:tc>
          <w:tcPr>
            <w:tcW w:w="2197"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b w:val="0"/>
                <w:bCs/>
                <w:sz w:val="32"/>
                <w:szCs w:val="32"/>
              </w:rPr>
              <w:t>分</w:t>
            </w:r>
          </w:p>
        </w:tc>
        <w:tc>
          <w:tcPr>
            <w:tcW w:w="2197"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b w:val="0"/>
                <w:bCs/>
                <w:sz w:val="32"/>
                <w:szCs w:val="32"/>
              </w:rPr>
              <w:t>分</w:t>
            </w:r>
          </w:p>
        </w:tc>
        <w:tc>
          <w:tcPr>
            <w:tcW w:w="2197" w:type="dxa"/>
            <w:tcBorders>
              <w:top w:val="single" w:color="auto" w:sz="4" w:space="0"/>
              <w:left w:val="single" w:color="auto" w:sz="4" w:space="0"/>
              <w:bottom w:val="single" w:color="auto" w:sz="4" w:space="0"/>
              <w:right w:val="single" w:color="auto" w:sz="4" w:space="0"/>
            </w:tcBorders>
            <w:noWrap w:val="0"/>
            <w:vAlign w:val="top"/>
          </w:tcPr>
          <w:p>
            <w:pPr>
              <w:pStyle w:val="20"/>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val="0"/>
                <w:bCs/>
                <w:sz w:val="32"/>
                <w:szCs w:val="32"/>
              </w:rPr>
            </w:pP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b w:val="0"/>
                <w:bCs/>
                <w:sz w:val="32"/>
                <w:szCs w:val="32"/>
              </w:rPr>
              <w:t>分</w:t>
            </w:r>
          </w:p>
        </w:tc>
      </w:tr>
    </w:tbl>
    <w:p>
      <w:pPr>
        <w:pStyle w:val="20"/>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5"/>
        <w:tblW w:w="87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219"/>
        <w:gridCol w:w="6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restart"/>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报价</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vertAlign w:val="baseline"/>
                <w:lang w:val="en-US" w:eastAsia="zh-CN"/>
              </w:rPr>
              <w:t>10分</w:t>
            </w:r>
            <w:r>
              <w:rPr>
                <w:rFonts w:hint="eastAsia" w:ascii="仿宋_GB2312" w:hAnsi="仿宋_GB2312" w:eastAsia="仿宋_GB2312" w:cs="仿宋_GB2312"/>
                <w:sz w:val="32"/>
                <w:szCs w:val="32"/>
                <w:vertAlign w:val="baseline"/>
                <w:lang w:eastAsia="zh-CN"/>
              </w:rPr>
              <w:t>）</w:t>
            </w:r>
          </w:p>
        </w:tc>
        <w:tc>
          <w:tcPr>
            <w:tcW w:w="1219" w:type="dxa"/>
            <w:noWrap w:val="0"/>
            <w:vAlign w:val="top"/>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评分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因素</w:t>
            </w:r>
          </w:p>
        </w:tc>
        <w:tc>
          <w:tcPr>
            <w:tcW w:w="6403" w:type="dxa"/>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continue"/>
            <w:noWrap w:val="0"/>
            <w:vAlign w:val="top"/>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价格</w:t>
            </w:r>
          </w:p>
        </w:tc>
        <w:tc>
          <w:tcPr>
            <w:tcW w:w="6403" w:type="dxa"/>
            <w:noWrap w:val="0"/>
            <w:vAlign w:val="center"/>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以本次报价或投标人所报的有效报价中的最低价作为基准报价。投标人报价得分=（基准价/投标人报价）*</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0分，高于报价限额的不得分</w:t>
            </w:r>
            <w:r>
              <w:rPr>
                <w:rFonts w:hint="eastAsia" w:ascii="仿宋_GB2312" w:hAnsi="仿宋_GB2312" w:eastAsia="仿宋_GB2312" w:cs="仿宋_GB2312"/>
                <w:sz w:val="32"/>
                <w:szCs w:val="32"/>
                <w:lang w:val="en-US" w:eastAsia="zh-CN"/>
              </w:rPr>
              <w:t>，本项最高得10分</w:t>
            </w:r>
            <w:r>
              <w:rPr>
                <w:rFonts w:hint="eastAsia" w:ascii="仿宋_GB2312" w:hAnsi="仿宋_GB2312" w:eastAsia="仿宋_GB2312" w:cs="仿宋_GB2312"/>
                <w:sz w:val="32"/>
                <w:szCs w:val="3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restart"/>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商务</w:t>
            </w:r>
          </w:p>
          <w:p>
            <w:pPr>
              <w:pStyle w:val="7"/>
              <w:keepNext w:val="0"/>
              <w:keepLines w:val="0"/>
              <w:pageBreakBefore w:val="0"/>
              <w:widowControl w:val="0"/>
              <w:kinsoku/>
              <w:wordWrap/>
              <w:overflowPunct/>
              <w:autoSpaceDE/>
              <w:autoSpaceDN/>
              <w:bidi w:val="0"/>
              <w:adjustRightInd/>
              <w:spacing w:after="0" w:line="440" w:lineRule="exact"/>
              <w:ind w:left="0" w:leftChars="0" w:firstLine="0" w:firstLineChars="0"/>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部分</w:t>
            </w:r>
          </w:p>
          <w:p>
            <w:pPr>
              <w:pStyle w:val="7"/>
              <w:keepNext w:val="0"/>
              <w:keepLines w:val="0"/>
              <w:pageBreakBefore w:val="0"/>
              <w:widowControl w:val="0"/>
              <w:kinsoku/>
              <w:wordWrap/>
              <w:overflowPunct/>
              <w:autoSpaceDE/>
              <w:autoSpaceDN/>
              <w:bidi w:val="0"/>
              <w:adjustRightInd/>
              <w:spacing w:after="0" w:line="440" w:lineRule="exact"/>
              <w:ind w:left="0" w:leftChars="0" w:firstLine="0" w:firstLineChars="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color w:val="auto"/>
                <w:sz w:val="32"/>
                <w:szCs w:val="32"/>
                <w:highlight w:val="none"/>
                <w:lang w:val="en-US" w:eastAsia="zh-CN"/>
              </w:rPr>
              <w:t>40</w:t>
            </w:r>
            <w:r>
              <w:rPr>
                <w:rFonts w:hint="eastAsia" w:ascii="仿宋_GB2312" w:hAnsi="仿宋_GB2312" w:eastAsia="仿宋_GB2312" w:cs="仿宋_GB2312"/>
                <w:sz w:val="32"/>
                <w:szCs w:val="32"/>
                <w:vertAlign w:val="baseline"/>
                <w:lang w:val="en-US" w:eastAsia="zh-CN"/>
              </w:rPr>
              <w:t>分</w:t>
            </w:r>
            <w:r>
              <w:rPr>
                <w:rFonts w:hint="eastAsia" w:ascii="仿宋_GB2312" w:hAnsi="仿宋_GB2312" w:eastAsia="仿宋_GB2312" w:cs="仿宋_GB2312"/>
                <w:sz w:val="32"/>
                <w:szCs w:val="32"/>
                <w:vertAlign w:val="baseline"/>
                <w:lang w:eastAsia="zh-CN"/>
              </w:rPr>
              <w:t>）</w:t>
            </w:r>
          </w:p>
        </w:tc>
        <w:tc>
          <w:tcPr>
            <w:tcW w:w="1219" w:type="dxa"/>
            <w:noWrap w:val="0"/>
            <w:vAlign w:val="top"/>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评分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因素</w:t>
            </w:r>
          </w:p>
        </w:tc>
        <w:tc>
          <w:tcPr>
            <w:tcW w:w="6403" w:type="dxa"/>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continue"/>
            <w:noWrap w:val="0"/>
            <w:vAlign w:val="top"/>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lang w:eastAsia="zh-CN"/>
              </w:rPr>
              <w:t>同类项目经验（</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lang w:eastAsia="zh-CN"/>
              </w:rPr>
              <w:t>）</w:t>
            </w:r>
          </w:p>
        </w:tc>
        <w:tc>
          <w:tcPr>
            <w:tcW w:w="6403" w:type="dxa"/>
            <w:noWrap w:val="0"/>
            <w:vAlign w:val="top"/>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（一）评审内容：</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投标人自202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日至本项目采购公示截止日，</w:t>
            </w:r>
            <w:r>
              <w:rPr>
                <w:rFonts w:hint="eastAsia" w:ascii="仿宋_GB2312" w:hAnsi="仿宋_GB2312" w:eastAsia="仿宋_GB2312" w:cs="仿宋_GB2312"/>
                <w:sz w:val="32"/>
                <w:szCs w:val="32"/>
                <w:lang w:val="en-US" w:eastAsia="zh-CN"/>
              </w:rPr>
              <w:t>每提供一项困境儿童群体服务的</w:t>
            </w:r>
            <w:r>
              <w:rPr>
                <w:rFonts w:hint="eastAsia" w:ascii="仿宋_GB2312" w:hAnsi="仿宋_GB2312" w:eastAsia="仿宋_GB2312" w:cs="仿宋_GB2312"/>
                <w:sz w:val="32"/>
                <w:szCs w:val="32"/>
                <w:lang w:eastAsia="zh-CN"/>
              </w:rPr>
              <w:t>同类业绩得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分，最高得</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）评审依据：</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每项业绩按以下要求提供完整准确的证明文件，一个服务主体为困境儿童群体的服务合同或者机构</w:t>
            </w:r>
            <w:r>
              <w:rPr>
                <w:rFonts w:hint="eastAsia" w:ascii="仿宋_GB2312" w:hAnsi="仿宋_GB2312" w:eastAsia="仿宋_GB2312" w:cs="仿宋_GB2312"/>
                <w:sz w:val="32"/>
                <w:szCs w:val="32"/>
                <w:lang w:val="en-US" w:eastAsia="zh-CN"/>
              </w:rPr>
              <w:t>有其他履约能力证明的</w:t>
            </w:r>
            <w:r>
              <w:rPr>
                <w:rFonts w:hint="eastAsia" w:ascii="仿宋_GB2312" w:hAnsi="仿宋_GB2312" w:eastAsia="仿宋_GB2312" w:cs="仿宋_GB2312"/>
                <w:sz w:val="32"/>
                <w:szCs w:val="32"/>
                <w:lang w:eastAsia="zh-CN"/>
              </w:rPr>
              <w:t>计一个业绩；</w:t>
            </w:r>
          </w:p>
          <w:p>
            <w:pPr>
              <w:keepNext w:val="0"/>
              <w:keepLines w:val="0"/>
              <w:pageBreakBefore w:val="0"/>
              <w:widowControl w:val="0"/>
              <w:shd w:val="clear"/>
              <w:kinsoku/>
              <w:wordWrap/>
              <w:overflowPunct/>
              <w:topLinePunct/>
              <w:autoSpaceDE/>
              <w:autoSpaceDN/>
              <w:bidi w:val="0"/>
              <w:adjustRightInd/>
              <w:snapToGrid w:val="0"/>
              <w:spacing w:line="44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2.若以合同作为业绩证明：</w:t>
            </w:r>
            <w:r>
              <w:rPr>
                <w:rFonts w:hint="eastAsia" w:ascii="仿宋_GB2312" w:hAnsi="仿宋_GB2312" w:eastAsia="仿宋_GB2312" w:cs="仿宋_GB2312"/>
                <w:sz w:val="32"/>
                <w:szCs w:val="32"/>
                <w:lang w:eastAsia="zh-CN"/>
              </w:rPr>
              <w:t>一年一签的续签合同只计算一个业绩，</w:t>
            </w:r>
            <w:r>
              <w:rPr>
                <w:rFonts w:hint="eastAsia" w:ascii="仿宋_GB2312" w:hAnsi="仿宋_GB2312" w:eastAsia="仿宋_GB2312" w:cs="仿宋_GB2312"/>
                <w:sz w:val="32"/>
                <w:szCs w:val="32"/>
                <w:lang w:val="en-US" w:eastAsia="zh-CN"/>
              </w:rPr>
              <w:t>须</w:t>
            </w:r>
            <w:r>
              <w:rPr>
                <w:rFonts w:hint="eastAsia" w:ascii="仿宋_GB2312" w:hAnsi="仿宋_GB2312" w:eastAsia="仿宋_GB2312" w:cs="仿宋_GB2312"/>
                <w:sz w:val="32"/>
                <w:szCs w:val="32"/>
                <w:lang w:eastAsia="zh-CN"/>
              </w:rPr>
              <w:t>提供合同关键页（关键信息包括但不仅限于合同的项目名称、服务内容、合同服务的起止时间、合同双方的盖章、签订日期等）、合同甲方的履约评价；</w:t>
            </w:r>
          </w:p>
          <w:p>
            <w:pPr>
              <w:keepNext w:val="0"/>
              <w:keepLines w:val="0"/>
              <w:pageBreakBefore w:val="0"/>
              <w:widowControl w:val="0"/>
              <w:shd w:val="clear"/>
              <w:kinsoku/>
              <w:wordWrap/>
              <w:overflowPunct/>
              <w:topLinePunct/>
              <w:autoSpaceDE/>
              <w:autoSpaceDN/>
              <w:bidi w:val="0"/>
              <w:adjustRightInd/>
              <w:snapToGrid w:val="0"/>
              <w:spacing w:line="44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3.若以</w:t>
            </w:r>
            <w:r>
              <w:rPr>
                <w:rFonts w:hint="eastAsia" w:ascii="仿宋_GB2312" w:hAnsi="仿宋_GB2312" w:eastAsia="仿宋_GB2312" w:cs="仿宋_GB2312"/>
                <w:sz w:val="32"/>
                <w:szCs w:val="32"/>
              </w:rPr>
              <w:t>其他履约能力</w:t>
            </w:r>
            <w:r>
              <w:rPr>
                <w:rFonts w:hint="eastAsia" w:ascii="仿宋_GB2312" w:hAnsi="仿宋_GB2312" w:eastAsia="仿宋_GB2312" w:cs="仿宋_GB2312"/>
                <w:sz w:val="32"/>
                <w:szCs w:val="32"/>
                <w:lang w:val="en-US" w:eastAsia="zh-CN"/>
              </w:rPr>
              <w:t>作为业绩</w:t>
            </w:r>
            <w:r>
              <w:rPr>
                <w:rFonts w:hint="eastAsia" w:ascii="仿宋_GB2312" w:hAnsi="仿宋_GB2312" w:eastAsia="仿宋_GB2312" w:cs="仿宋_GB2312"/>
                <w:sz w:val="32"/>
                <w:szCs w:val="32"/>
              </w:rPr>
              <w:t>证明</w:t>
            </w:r>
            <w:r>
              <w:rPr>
                <w:rFonts w:hint="eastAsia" w:ascii="仿宋_GB2312" w:hAnsi="仿宋_GB2312" w:eastAsia="仿宋_GB2312" w:cs="仿宋_GB2312"/>
                <w:sz w:val="32"/>
                <w:szCs w:val="32"/>
                <w:lang w:eastAsia="zh-CN"/>
              </w:rPr>
              <w:t>：</w:t>
            </w:r>
          </w:p>
          <w:p>
            <w:pPr>
              <w:keepNext w:val="0"/>
              <w:keepLines w:val="0"/>
              <w:pageBreakBefore w:val="0"/>
              <w:widowControl w:val="0"/>
              <w:shd w:val="clear"/>
              <w:kinsoku/>
              <w:wordWrap/>
              <w:overflowPunct/>
              <w:topLinePunct/>
              <w:autoSpaceDE/>
              <w:autoSpaceDN/>
              <w:bidi w:val="0"/>
              <w:adjustRightInd/>
              <w:snapToGrid w:val="0"/>
              <w:spacing w:line="44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参与制定的困境儿童服务地方标准、</w:t>
            </w:r>
            <w:r>
              <w:rPr>
                <w:rFonts w:hint="eastAsia" w:ascii="仿宋_GB2312" w:hAnsi="仿宋_GB2312" w:eastAsia="仿宋_GB2312" w:cs="仿宋_GB2312"/>
                <w:sz w:val="32"/>
                <w:szCs w:val="32"/>
                <w:lang w:eastAsia="zh-CN"/>
              </w:rPr>
              <w:t>团体标准、</w:t>
            </w:r>
            <w:r>
              <w:rPr>
                <w:rFonts w:hint="eastAsia" w:ascii="仿宋_GB2312" w:hAnsi="仿宋_GB2312" w:eastAsia="仿宋_GB2312" w:cs="仿宋_GB2312"/>
                <w:sz w:val="32"/>
                <w:szCs w:val="32"/>
              </w:rPr>
              <w:t>技术规范或操作指引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须提供发布文件及编制单位证明</w:t>
            </w:r>
            <w:r>
              <w:rPr>
                <w:rFonts w:hint="eastAsia" w:ascii="仿宋_GB2312" w:hAnsi="仿宋_GB2312" w:eastAsia="仿宋_GB2312" w:cs="仿宋_GB2312"/>
                <w:sz w:val="32"/>
                <w:szCs w:val="32"/>
                <w:lang w:eastAsia="zh-CN"/>
              </w:rPr>
              <w:t>；</w:t>
            </w:r>
          </w:p>
          <w:p>
            <w:pPr>
              <w:keepNext w:val="0"/>
              <w:keepLines w:val="0"/>
              <w:pageBreakBefore w:val="0"/>
              <w:widowControl w:val="0"/>
              <w:shd w:val="clear"/>
              <w:kinsoku/>
              <w:wordWrap/>
              <w:overflowPunct/>
              <w:topLinePunct/>
              <w:autoSpaceDE/>
              <w:autoSpaceDN/>
              <w:bidi w:val="0"/>
              <w:adjustRightInd/>
              <w:snapToGrid w:val="0"/>
              <w:spacing w:line="44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奖项须为国家级、省级党政机关、事业单位颁发的，与困境儿童服务直接相关的荣誉或奖项。须提供获奖凭证（</w:t>
            </w:r>
            <w:r>
              <w:rPr>
                <w:rFonts w:hint="eastAsia" w:ascii="仿宋_GB2312" w:hAnsi="仿宋_GB2312" w:eastAsia="仿宋_GB2312" w:cs="仿宋_GB2312"/>
                <w:sz w:val="32"/>
                <w:szCs w:val="32"/>
                <w:lang w:eastAsia="zh-CN"/>
              </w:rPr>
              <w:t>包括但不仅限于获奖</w:t>
            </w:r>
            <w:r>
              <w:rPr>
                <w:rFonts w:hint="eastAsia" w:ascii="仿宋_GB2312" w:hAnsi="仿宋_GB2312" w:eastAsia="仿宋_GB2312" w:cs="仿宋_GB2312"/>
                <w:sz w:val="32"/>
                <w:szCs w:val="32"/>
                <w:lang w:val="en-US" w:eastAsia="zh-CN"/>
              </w:rPr>
              <w:t>证书、官方批复文件、颁奖单位发布的正式文件或官网公示截图等有效证明材料之一）。证明材料须能清晰体现获奖单位名称、获奖项目名称及颁奖单位等关键信息，如无法直接体现，须另附颁奖单位出具的相关证明；</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continue"/>
            <w:noWrap w:val="0"/>
            <w:vAlign w:val="top"/>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拟安排项目团队成员</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sz w:val="32"/>
                <w:szCs w:val="32"/>
                <w:lang w:val="en-US" w:eastAsia="zh-CN"/>
              </w:rPr>
              <w:t>分）</w:t>
            </w:r>
          </w:p>
        </w:tc>
        <w:tc>
          <w:tcPr>
            <w:tcW w:w="6403" w:type="dxa"/>
            <w:noWrap w:val="0"/>
            <w:vAlign w:val="center"/>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（一）评审内容</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具有</w:t>
            </w:r>
            <w:r>
              <w:rPr>
                <w:rFonts w:hint="eastAsia" w:ascii="仿宋_GB2312" w:hAnsi="仿宋_GB2312" w:eastAsia="仿宋_GB2312" w:cs="仿宋_GB2312"/>
                <w:sz w:val="32"/>
                <w:szCs w:val="32"/>
                <w:lang w:val="en-US" w:eastAsia="zh-CN"/>
              </w:rPr>
              <w:t>1名高级社会工作师</w:t>
            </w:r>
            <w:r>
              <w:rPr>
                <w:rFonts w:hint="eastAsia" w:ascii="仿宋_GB2312" w:hAnsi="仿宋_GB2312" w:eastAsia="仿宋_GB2312" w:cs="仿宋_GB2312"/>
                <w:sz w:val="32"/>
                <w:szCs w:val="32"/>
                <w:lang w:eastAsia="zh-CN"/>
              </w:rPr>
              <w:t>资质的专业人才，得</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分；</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具有</w:t>
            </w:r>
            <w:r>
              <w:rPr>
                <w:rFonts w:hint="eastAsia" w:ascii="仿宋_GB2312" w:hAnsi="仿宋_GB2312" w:eastAsia="仿宋_GB2312" w:cs="仿宋_GB2312"/>
                <w:sz w:val="32"/>
                <w:szCs w:val="32"/>
                <w:lang w:val="en-US" w:eastAsia="zh-CN"/>
              </w:rPr>
              <w:t>1名深圳市级注册社工督导资质的专业人才，得4分；</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3.具有1名社会工作专业全日制本科或以上学历的专业人才，得3分；</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4.投入本项目的团队成员（须为投标人正式员工）中，具有儿童福利、困境儿童服务工作经验的，人员累计服务年限每满1年得2分，本项最高得4分；</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同一人具备1、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项情况的不可</w:t>
            </w:r>
            <w:r>
              <w:rPr>
                <w:rFonts w:hint="eastAsia" w:ascii="仿宋_GB2312" w:hAnsi="仿宋_GB2312" w:eastAsia="仿宋_GB2312" w:cs="仿宋_GB2312"/>
                <w:sz w:val="32"/>
                <w:szCs w:val="32"/>
                <w:lang w:val="en-US" w:eastAsia="zh-CN"/>
              </w:rPr>
              <w:t>重复得</w:t>
            </w:r>
            <w:r>
              <w:rPr>
                <w:rFonts w:hint="eastAsia" w:ascii="仿宋_GB2312" w:hAnsi="仿宋_GB2312" w:eastAsia="仿宋_GB2312" w:cs="仿宋_GB2312"/>
                <w:sz w:val="32"/>
                <w:szCs w:val="32"/>
                <w:lang w:eastAsia="zh-CN"/>
              </w:rPr>
              <w:t>分，其他情况可重复得分，本项最高得</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lang w:eastAsia="zh-CN"/>
              </w:rPr>
              <w:t>分。</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）评审依据：</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提供学位或学历证书</w:t>
            </w:r>
            <w:r>
              <w:rPr>
                <w:rFonts w:hint="eastAsia" w:ascii="仿宋_GB2312" w:hAnsi="仿宋_GB2312" w:eastAsia="仿宋_GB2312" w:cs="仿宋_GB2312"/>
                <w:sz w:val="32"/>
                <w:szCs w:val="32"/>
                <w:lang w:eastAsia="zh-CN"/>
              </w:rPr>
              <w:t>，并提供</w:t>
            </w:r>
            <w:r>
              <w:rPr>
                <w:rFonts w:hint="eastAsia" w:ascii="仿宋_GB2312" w:hAnsi="仿宋_GB2312" w:eastAsia="仿宋_GB2312" w:cs="仿宋_GB2312"/>
                <w:sz w:val="32"/>
                <w:szCs w:val="32"/>
              </w:rPr>
              <w:t>学信网查询记录，原件备查</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提供相关证书证明材料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工作经验</w:t>
            </w:r>
            <w:r>
              <w:rPr>
                <w:rFonts w:hint="eastAsia" w:ascii="仿宋_GB2312" w:hAnsi="仿宋_GB2312" w:eastAsia="仿宋_GB2312" w:cs="仿宋_GB2312"/>
                <w:sz w:val="32"/>
                <w:szCs w:val="32"/>
              </w:rPr>
              <w:t>需提供合同关键页或其他可以证明的材料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合同关键</w:t>
            </w:r>
            <w:r>
              <w:rPr>
                <w:rFonts w:hint="eastAsia" w:ascii="仿宋_GB2312" w:hAnsi="仿宋_GB2312" w:eastAsia="仿宋_GB2312" w:cs="仿宋_GB2312"/>
                <w:sz w:val="32"/>
                <w:szCs w:val="32"/>
                <w:lang w:eastAsia="zh-CN"/>
              </w:rPr>
              <w:t>页</w:t>
            </w:r>
            <w:r>
              <w:rPr>
                <w:rFonts w:hint="eastAsia" w:ascii="仿宋_GB2312" w:hAnsi="仿宋_GB2312" w:eastAsia="仿宋_GB2312" w:cs="仿宋_GB2312"/>
                <w:sz w:val="32"/>
                <w:szCs w:val="32"/>
              </w:rPr>
              <w:t>（关键信息包括但不仅限于合同的项目名称、</w:t>
            </w:r>
            <w:r>
              <w:rPr>
                <w:rFonts w:hint="eastAsia" w:ascii="仿宋_GB2312" w:hAnsi="仿宋_GB2312" w:eastAsia="仿宋_GB2312" w:cs="仿宋_GB2312"/>
                <w:sz w:val="32"/>
                <w:szCs w:val="32"/>
                <w:lang w:val="en-US" w:eastAsia="zh-CN"/>
              </w:rPr>
              <w:t>项目负责人/团队成员名字、</w:t>
            </w:r>
            <w:r>
              <w:rPr>
                <w:rFonts w:hint="eastAsia" w:ascii="仿宋_GB2312" w:hAnsi="仿宋_GB2312" w:eastAsia="仿宋_GB2312" w:cs="仿宋_GB2312"/>
                <w:sz w:val="32"/>
                <w:szCs w:val="32"/>
              </w:rPr>
              <w:t>服务内容、</w:t>
            </w:r>
            <w:r>
              <w:rPr>
                <w:rFonts w:hint="eastAsia" w:ascii="仿宋_GB2312" w:hAnsi="仿宋_GB2312" w:eastAsia="仿宋_GB2312" w:cs="仿宋_GB2312"/>
                <w:sz w:val="32"/>
                <w:szCs w:val="32"/>
                <w:lang w:val="en-US" w:eastAsia="zh-CN"/>
              </w:rPr>
              <w:t>合同双方盖章页</w:t>
            </w:r>
            <w:r>
              <w:rPr>
                <w:rFonts w:hint="eastAsia" w:ascii="仿宋_GB2312" w:hAnsi="仿宋_GB2312" w:eastAsia="仿宋_GB2312" w:cs="仿宋_GB2312"/>
                <w:sz w:val="32"/>
                <w:szCs w:val="32"/>
              </w:rPr>
              <w:t>），以及满足评分要求的服务内容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4.以上人员近12月在本单位社保缴纳记录。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continue"/>
            <w:noWrap w:val="0"/>
            <w:vAlign w:val="top"/>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项目完成（服务期满）</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后的服务承诺（</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sz w:val="32"/>
                <w:szCs w:val="32"/>
                <w:lang w:val="en-US" w:eastAsia="zh-CN"/>
              </w:rPr>
              <w:t>分）</w:t>
            </w:r>
          </w:p>
        </w:tc>
        <w:tc>
          <w:tcPr>
            <w:tcW w:w="6403" w:type="dxa"/>
            <w:noWrap w:val="0"/>
            <w:vAlign w:val="center"/>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内容：</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根据针对本项目做出的服务承诺，考察包括但不限于以下内容：</w:t>
            </w:r>
            <w:r>
              <w:rPr>
                <w:rFonts w:hint="eastAsia" w:ascii="仿宋_GB2312" w:hAnsi="仿宋_GB2312" w:eastAsia="仿宋_GB2312" w:cs="仿宋_GB2312"/>
                <w:color w:val="auto"/>
                <w:sz w:val="32"/>
                <w:szCs w:val="32"/>
                <w:highlight w:val="none"/>
                <w:lang w:val="en-US" w:eastAsia="zh-CN"/>
              </w:rPr>
              <w:br w:type="textWrapping"/>
            </w:r>
            <w:r>
              <w:rPr>
                <w:rFonts w:hint="eastAsia" w:ascii="仿宋_GB2312" w:hAnsi="仿宋_GB2312" w:eastAsia="仿宋_GB2312" w:cs="仿宋_GB2312"/>
                <w:color w:val="auto"/>
                <w:sz w:val="32"/>
                <w:szCs w:val="32"/>
                <w:highlight w:val="none"/>
                <w:lang w:val="en-US" w:eastAsia="zh-CN"/>
              </w:rPr>
              <w:t>1.在服务期满后主动交接项目相关资料；</w:t>
            </w:r>
          </w:p>
          <w:p>
            <w:pPr>
              <w:keepNext w:val="0"/>
              <w:keepLines w:val="0"/>
              <w:pageBreakBefore w:val="0"/>
              <w:widowControl w:val="0"/>
              <w:numPr>
                <w:ilvl w:val="0"/>
                <w:numId w:val="0"/>
              </w:numPr>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2.配合项目检查审计等事项。</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（二）</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依据：</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rPr>
              <w:t>提供</w:t>
            </w:r>
            <w:r>
              <w:rPr>
                <w:rFonts w:hint="eastAsia" w:ascii="仿宋_GB2312" w:hAnsi="仿宋_GB2312" w:eastAsia="仿宋_GB2312" w:cs="仿宋_GB2312"/>
                <w:sz w:val="32"/>
                <w:szCs w:val="32"/>
                <w:highlight w:val="none"/>
                <w:lang w:eastAsia="zh-CN"/>
              </w:rPr>
              <w:t>服务</w:t>
            </w:r>
            <w:r>
              <w:rPr>
                <w:rFonts w:hint="eastAsia" w:ascii="仿宋_GB2312" w:hAnsi="仿宋_GB2312" w:eastAsia="仿宋_GB2312" w:cs="仿宋_GB2312"/>
                <w:sz w:val="32"/>
                <w:szCs w:val="32"/>
                <w:highlight w:val="none"/>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restart"/>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技术部分（</w:t>
            </w: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sz w:val="32"/>
                <w:szCs w:val="32"/>
                <w:vertAlign w:val="baseline"/>
                <w:lang w:val="en-US" w:eastAsia="zh-CN"/>
              </w:rPr>
              <w:t>分）</w:t>
            </w:r>
          </w:p>
        </w:tc>
        <w:tc>
          <w:tcPr>
            <w:tcW w:w="1219" w:type="dxa"/>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实</w:t>
            </w:r>
            <w:r>
              <w:rPr>
                <w:rFonts w:hint="eastAsia" w:ascii="仿宋_GB2312" w:hAnsi="仿宋_GB2312" w:eastAsia="仿宋_GB2312" w:cs="仿宋_GB2312"/>
                <w:sz w:val="32"/>
                <w:szCs w:val="32"/>
                <w:lang w:val="en-US" w:eastAsia="zh-CN"/>
              </w:rPr>
              <w:t>施</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方案</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sz w:val="32"/>
                <w:szCs w:val="32"/>
                <w:lang w:val="en-US" w:eastAsia="zh-CN"/>
              </w:rPr>
              <w:t>分）</w:t>
            </w:r>
          </w:p>
        </w:tc>
        <w:tc>
          <w:tcPr>
            <w:tcW w:w="6403" w:type="dxa"/>
            <w:noWrap w:val="0"/>
            <w:vAlign w:val="top"/>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内容：</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根据投标人提供的实施方案，考察包括但不限于：</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1.龙华区困境儿童群体特点和服务策略；</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2.项目执行方案；</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依据：</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满足以上任意一项要求8分，最高得16分，在此基础上，</w:t>
            </w:r>
            <w:r>
              <w:rPr>
                <w:rFonts w:hint="eastAsia" w:ascii="仿宋_GB2312" w:hAnsi="仿宋_GB2312" w:eastAsia="仿宋_GB2312" w:cs="仿宋_GB2312"/>
                <w:sz w:val="32"/>
                <w:szCs w:val="32"/>
              </w:rPr>
              <w:t>根据供应商的具体响应内容按照量化的评审因素指标进一步评审，设定优、良、中、差四个评分标准：</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1.优：项目实施方案内容全面、具体、针对性强、科学合理、具有创新性和实操性得14分；</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2.良：项目实施方案内容较完整、具有一定针对性、相对合理、可操作性较强得9分；</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3.中：项目实施方案内容、针对性、可操作性一般得4分；</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color w:val="auto"/>
                <w:sz w:val="32"/>
                <w:szCs w:val="32"/>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continue"/>
            <w:noWrap w:val="0"/>
            <w:vAlign w:val="top"/>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项目重点难点分析、应对措施及相关的合理化建议</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vertAlign w:val="baseline"/>
                <w:lang w:val="en-US" w:eastAsia="zh-CN"/>
              </w:rPr>
              <w:t>分）</w:t>
            </w:r>
          </w:p>
        </w:tc>
        <w:tc>
          <w:tcPr>
            <w:tcW w:w="6403" w:type="dxa"/>
            <w:noWrap w:val="0"/>
            <w:vAlign w:val="top"/>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内容：</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考察对项目工作量、可完成度等重点难点问题的识别和分析能力，并就识别出的重点难点提出可行的应对措施及合理化建议，包括但不限于以下内容：</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1.详细阐述本项目存在的重难点问题；</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2.根据项目重难点，详细阐述对应的应对措施及合理化建议。</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评审</w:t>
            </w:r>
            <w:r>
              <w:rPr>
                <w:rFonts w:hint="eastAsia" w:ascii="仿宋_GB2312" w:hAnsi="仿宋_GB2312" w:eastAsia="仿宋_GB2312" w:cs="仿宋_GB2312"/>
                <w:b/>
                <w:bCs/>
                <w:sz w:val="32"/>
                <w:szCs w:val="32"/>
              </w:rPr>
              <w:t>依据：</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满足以上任意一项要求得2.5分，最高得5分，在此基础上，</w:t>
            </w:r>
            <w:r>
              <w:rPr>
                <w:rFonts w:hint="eastAsia" w:ascii="仿宋_GB2312" w:hAnsi="仿宋_GB2312" w:eastAsia="仿宋_GB2312" w:cs="仿宋_GB2312"/>
                <w:sz w:val="32"/>
                <w:szCs w:val="32"/>
              </w:rPr>
              <w:t>根据供应商的具体响应内容按照量化的评审因素指标进一步评审，设定优、良、中、差四个评分标准：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优：</w:t>
            </w:r>
            <w:r>
              <w:rPr>
                <w:rFonts w:hint="eastAsia" w:ascii="仿宋_GB2312" w:hAnsi="仿宋_GB2312" w:eastAsia="仿宋_GB2312" w:cs="仿宋_GB2312"/>
                <w:sz w:val="32"/>
                <w:szCs w:val="32"/>
                <w:highlight w:val="none"/>
                <w:lang w:eastAsia="zh-CN"/>
              </w:rPr>
              <w:t>方案全面完善，对</w:t>
            </w:r>
            <w:r>
              <w:rPr>
                <w:rFonts w:hint="eastAsia" w:ascii="仿宋_GB2312" w:hAnsi="仿宋_GB2312" w:eastAsia="仿宋_GB2312" w:cs="仿宋_GB2312"/>
                <w:sz w:val="32"/>
                <w:szCs w:val="32"/>
                <w:highlight w:val="none"/>
              </w:rPr>
              <w:t>项目重难点分析</w:t>
            </w:r>
            <w:r>
              <w:rPr>
                <w:rFonts w:hint="eastAsia" w:ascii="仿宋_GB2312" w:hAnsi="仿宋_GB2312" w:eastAsia="仿宋_GB2312" w:cs="仿宋_GB2312"/>
                <w:sz w:val="32"/>
                <w:szCs w:val="32"/>
                <w:highlight w:val="none"/>
                <w:lang w:eastAsia="zh-CN"/>
              </w:rPr>
              <w:t>深入透彻</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逻辑严谨、层次清晰，贴合工作实际、</w:t>
            </w:r>
            <w:r>
              <w:rPr>
                <w:rFonts w:hint="eastAsia" w:ascii="仿宋_GB2312" w:hAnsi="仿宋_GB2312" w:eastAsia="仿宋_GB2312" w:cs="仿宋_GB2312"/>
                <w:sz w:val="32"/>
                <w:szCs w:val="32"/>
                <w:highlight w:val="none"/>
              </w:rPr>
              <w:t>应对措施针对性强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加</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良：</w:t>
            </w:r>
            <w:r>
              <w:rPr>
                <w:rFonts w:hint="eastAsia" w:ascii="仿宋_GB2312" w:hAnsi="仿宋_GB2312" w:eastAsia="仿宋_GB2312" w:cs="仿宋_GB2312"/>
                <w:sz w:val="32"/>
                <w:szCs w:val="32"/>
                <w:highlight w:val="none"/>
                <w:lang w:eastAsia="zh-CN"/>
              </w:rPr>
              <w:t>方案较完善，能识别</w:t>
            </w:r>
            <w:r>
              <w:rPr>
                <w:rFonts w:hint="eastAsia" w:ascii="仿宋_GB2312" w:hAnsi="仿宋_GB2312" w:eastAsia="仿宋_GB2312" w:cs="仿宋_GB2312"/>
                <w:sz w:val="32"/>
                <w:szCs w:val="32"/>
                <w:highlight w:val="none"/>
              </w:rPr>
              <w:t>项目重难点</w:t>
            </w:r>
            <w:r>
              <w:rPr>
                <w:rFonts w:hint="eastAsia" w:ascii="仿宋_GB2312" w:hAnsi="仿宋_GB2312" w:eastAsia="仿宋_GB2312" w:cs="仿宋_GB2312"/>
                <w:sz w:val="32"/>
                <w:szCs w:val="32"/>
                <w:highlight w:val="none"/>
                <w:lang w:eastAsia="zh-CN"/>
              </w:rPr>
              <w:t>与关键风险，</w:t>
            </w:r>
            <w:r>
              <w:rPr>
                <w:rFonts w:hint="eastAsia" w:ascii="仿宋_GB2312" w:hAnsi="仿宋_GB2312" w:eastAsia="仿宋_GB2312" w:cs="仿宋_GB2312"/>
                <w:sz w:val="32"/>
                <w:szCs w:val="32"/>
                <w:highlight w:val="none"/>
              </w:rPr>
              <w:t>应对措施</w:t>
            </w:r>
            <w:r>
              <w:rPr>
                <w:rFonts w:hint="eastAsia" w:ascii="仿宋_GB2312" w:hAnsi="仿宋_GB2312" w:eastAsia="仿宋_GB2312" w:cs="仿宋_GB2312"/>
                <w:sz w:val="32"/>
                <w:szCs w:val="32"/>
                <w:highlight w:val="none"/>
                <w:lang w:eastAsia="zh-CN"/>
              </w:rPr>
              <w:t>针对性较强，</w:t>
            </w:r>
            <w:r>
              <w:rPr>
                <w:rFonts w:hint="eastAsia" w:ascii="仿宋_GB2312" w:hAnsi="仿宋_GB2312" w:eastAsia="仿宋_GB2312" w:cs="仿宋_GB2312"/>
                <w:sz w:val="32"/>
                <w:szCs w:val="32"/>
                <w:highlight w:val="none"/>
              </w:rPr>
              <w:t>加</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sz w:val="32"/>
                <w:szCs w:val="32"/>
              </w:rPr>
              <w:t>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中：项目重点难点分析、应对措施及相关的合理化建议的三点内容完整性、针对性、可操作性均一般，加</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分；</w:t>
            </w:r>
          </w:p>
          <w:p>
            <w:pPr>
              <w:keepNext w:val="0"/>
              <w:keepLines w:val="0"/>
              <w:pageBreakBefore w:val="0"/>
              <w:widowControl w:val="0"/>
              <w:kinsoku/>
              <w:wordWrap/>
              <w:overflowPunct/>
              <w:autoSpaceDE/>
              <w:autoSpaceDN/>
              <w:bidi w:val="0"/>
              <w:adjustRightInd/>
              <w:snapToGrid/>
              <w:spacing w:line="440" w:lineRule="exact"/>
              <w:ind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差：</w:t>
            </w:r>
            <w:r>
              <w:rPr>
                <w:rFonts w:hint="eastAsia" w:ascii="仿宋_GB2312" w:hAnsi="仿宋_GB2312" w:eastAsia="仿宋_GB2312" w:cs="仿宋_GB2312"/>
                <w:color w:val="auto"/>
                <w:sz w:val="32"/>
                <w:szCs w:val="32"/>
                <w:highlight w:val="none"/>
                <w:lang w:val="en-US" w:eastAsia="zh-CN"/>
              </w:rPr>
              <w:t>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65" w:type="dxa"/>
            <w:vMerge w:val="continue"/>
            <w:noWrap w:val="0"/>
            <w:vAlign w:val="top"/>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vertAlign w:val="baseline"/>
                <w:lang w:val="en-US" w:eastAsia="zh-CN"/>
              </w:rPr>
            </w:pPr>
          </w:p>
        </w:tc>
        <w:tc>
          <w:tcPr>
            <w:tcW w:w="1219" w:type="dxa"/>
            <w:noWrap w:val="0"/>
            <w:vAlign w:val="center"/>
          </w:tcPr>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vertAlign w:val="baseline"/>
                <w:lang w:eastAsia="zh-CN"/>
              </w:rPr>
            </w:pPr>
            <w:r>
              <w:rPr>
                <w:rFonts w:hint="eastAsia" w:ascii="仿宋_GB2312" w:hAnsi="仿宋_GB2312" w:eastAsia="仿宋_GB2312" w:cs="仿宋_GB2312"/>
                <w:sz w:val="32"/>
                <w:szCs w:val="32"/>
                <w:highlight w:val="none"/>
                <w:vertAlign w:val="baseline"/>
                <w:lang w:eastAsia="zh-CN"/>
              </w:rPr>
              <w:t>质量保障措施及方案</w:t>
            </w:r>
          </w:p>
          <w:p>
            <w:pPr>
              <w:pStyle w:val="7"/>
              <w:keepNext w:val="0"/>
              <w:keepLines w:val="0"/>
              <w:pageBreakBefore w:val="0"/>
              <w:widowControl w:val="0"/>
              <w:kinsoku/>
              <w:wordWrap/>
              <w:overflowPunct/>
              <w:autoSpaceDE/>
              <w:autoSpaceDN/>
              <w:bidi w:val="0"/>
              <w:adjustRightInd/>
              <w:spacing w:after="0" w:line="440" w:lineRule="exact"/>
              <w:ind w:left="0" w:leftChars="0" w:firstLine="0" w:firstLineChars="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vertAlign w:val="baseline"/>
                <w:lang w:eastAsia="zh-CN"/>
              </w:rPr>
              <w:t>（</w:t>
            </w:r>
            <w:r>
              <w:rPr>
                <w:rFonts w:hint="eastAsia" w:ascii="仿宋_GB2312" w:hAnsi="仿宋_GB2312" w:eastAsia="仿宋_GB2312" w:cs="仿宋_GB2312"/>
                <w:sz w:val="32"/>
                <w:szCs w:val="32"/>
                <w:highlight w:val="none"/>
                <w:vertAlign w:val="baseline"/>
                <w:lang w:val="en-US" w:eastAsia="zh-CN"/>
              </w:rPr>
              <w:t>10分</w:t>
            </w:r>
            <w:r>
              <w:rPr>
                <w:rFonts w:hint="eastAsia" w:ascii="仿宋_GB2312" w:hAnsi="仿宋_GB2312" w:eastAsia="仿宋_GB2312" w:cs="仿宋_GB2312"/>
                <w:sz w:val="32"/>
                <w:szCs w:val="32"/>
                <w:highlight w:val="none"/>
                <w:vertAlign w:val="baseline"/>
                <w:lang w:eastAsia="zh-CN"/>
              </w:rPr>
              <w:t>）</w:t>
            </w:r>
          </w:p>
        </w:tc>
        <w:tc>
          <w:tcPr>
            <w:tcW w:w="6403" w:type="dxa"/>
            <w:noWrap w:val="0"/>
            <w:vAlign w:val="top"/>
          </w:tcPr>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b/>
                <w:bCs/>
                <w:sz w:val="32"/>
                <w:szCs w:val="32"/>
                <w:highlight w:val="none"/>
                <w:lang w:eastAsia="zh-CN"/>
              </w:rPr>
              <w:t>评审</w:t>
            </w:r>
            <w:r>
              <w:rPr>
                <w:rFonts w:hint="eastAsia" w:ascii="仿宋_GB2312" w:hAnsi="仿宋_GB2312" w:eastAsia="仿宋_GB2312" w:cs="仿宋_GB2312"/>
                <w:b/>
                <w:bCs/>
                <w:sz w:val="32"/>
                <w:szCs w:val="32"/>
                <w:highlight w:val="none"/>
              </w:rPr>
              <w:t>内容：</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根据对项目的理解及自身管理经验，针对本项目提出质量（完成时间、安全）保障措施及方案。包括但不限于以下内容：</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1.具备详细的完成时间保障措施；</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2.详细阐述项目人员保障措施；</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3.详细阐述项目质量保障措施。</w:t>
            </w:r>
          </w:p>
          <w:p>
            <w:pPr>
              <w:keepNext w:val="0"/>
              <w:keepLines w:val="0"/>
              <w:pageBreakBefore w:val="0"/>
              <w:widowControl w:val="0"/>
              <w:kinsoku/>
              <w:wordWrap/>
              <w:overflowPunct/>
              <w:topLinePunct/>
              <w:autoSpaceDE/>
              <w:autoSpaceDN/>
              <w:bidi w:val="0"/>
              <w:adjustRightInd/>
              <w:snapToGrid w:val="0"/>
              <w:spacing w:line="440" w:lineRule="exact"/>
              <w:jc w:val="left"/>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val="en-US" w:eastAsia="zh-CN"/>
              </w:rPr>
              <w:t>（二）评分标准：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满足以上任意一项要求得2分，最高得6分，在此基础上，</w:t>
            </w:r>
            <w:r>
              <w:rPr>
                <w:rFonts w:hint="eastAsia" w:ascii="仿宋_GB2312" w:hAnsi="仿宋_GB2312" w:eastAsia="仿宋_GB2312" w:cs="仿宋_GB2312"/>
                <w:sz w:val="32"/>
                <w:szCs w:val="32"/>
                <w:highlight w:val="none"/>
                <w:lang w:eastAsia="zh-CN"/>
              </w:rPr>
              <w:t>根据供应商的具体响应内容按照量化的评审因素指标进一步评审，设定优、良、中、差四个评分标准</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优：以上项目质量保障措施及方案内容全面具体、针对性强、可操作性强，保障措施丰富，加</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良：以上项目质量保障措施及方案内容较丰富、针对性较强、可操作性较强，加</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eastAsia="zh-CN"/>
              </w:rPr>
              <w:t>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中：以上项目质量保障措施及方案内容完整性、针对性、可操作性均一般，加</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分；</w:t>
            </w:r>
          </w:p>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highlight w:val="none"/>
                <w:vertAlign w:val="baseline"/>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差：</w:t>
            </w:r>
            <w:r>
              <w:rPr>
                <w:rFonts w:hint="eastAsia" w:ascii="仿宋_GB2312" w:hAnsi="仿宋_GB2312" w:eastAsia="仿宋_GB2312" w:cs="仿宋_GB2312"/>
                <w:sz w:val="32"/>
                <w:szCs w:val="32"/>
                <w:highlight w:val="none"/>
                <w:lang w:val="en-US" w:eastAsia="zh-CN"/>
              </w:rPr>
              <w:t>其它情况不得分。</w:t>
            </w:r>
          </w:p>
        </w:tc>
      </w:tr>
    </w:tbl>
    <w:p>
      <w:pPr>
        <w:keepNext w:val="0"/>
        <w:keepLines w:val="0"/>
        <w:pageBreakBefore w:val="0"/>
        <w:widowControl w:val="0"/>
        <w:kinsoku/>
        <w:wordWrap/>
        <w:overflowPunct/>
        <w:autoSpaceDE/>
        <w:autoSpaceDN/>
        <w:bidi w:val="0"/>
        <w:adjustRightInd/>
        <w:spacing w:line="440" w:lineRule="exact"/>
        <w:jc w:val="left"/>
        <w:textAlignment w:val="auto"/>
        <w:rPr>
          <w:rFonts w:hint="eastAsia" w:ascii="仿宋_GB2312" w:hAnsi="仿宋_GB2312" w:eastAsia="仿宋_GB2312" w:cs="仿宋_GB2312"/>
          <w:sz w:val="32"/>
          <w:szCs w:val="32"/>
        </w:rPr>
      </w:pPr>
    </w:p>
    <w:p>
      <w:pPr>
        <w:pStyle w:val="20"/>
        <w:spacing w:line="560" w:lineRule="exact"/>
        <w:ind w:firstLine="640" w:firstLineChars="200"/>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r>
        <w:rPr>
          <w:rFonts w:hint="eastAsia" w:ascii="方正黑体_GBK" w:hAnsi="方正黑体_GBK" w:eastAsia="方正黑体_GBK" w:cs="方正黑体_GBK"/>
          <w:b w:val="0"/>
          <w:bCs/>
          <w:color w:val="000000" w:themeColor="text1"/>
          <w:sz w:val="32"/>
          <w:szCs w:val="32"/>
          <w:lang w:eastAsia="zh-CN"/>
          <w14:textFill>
            <w14:solidFill>
              <w14:schemeClr w14:val="tx1"/>
            </w14:solidFill>
          </w14:textFill>
        </w:rPr>
        <w:t>（每页均需加盖公章）</w:t>
      </w:r>
    </w:p>
    <w:p>
      <w:pPr>
        <w:spacing w:line="560" w:lineRule="exact"/>
        <w:ind w:firstLine="640" w:firstLineChars="200"/>
        <w:jc w:val="left"/>
        <w:rPr>
          <w:rFonts w:ascii="仿宋_GB2312" w:hAnsi="仿宋" w:eastAsia="仿宋_GB2312" w:cs="Times New Roman"/>
          <w:sz w:val="32"/>
        </w:rPr>
      </w:pPr>
      <w:r>
        <w:rPr>
          <w:rFonts w:hint="eastAsia" w:ascii="仿宋_GB2312" w:hAnsi="仿宋" w:eastAsia="仿宋_GB2312" w:cs="Times New Roman"/>
          <w:sz w:val="32"/>
        </w:rPr>
        <w:t>1.营业执照、事业</w:t>
      </w:r>
      <w:r>
        <w:rPr>
          <w:rFonts w:hint="eastAsia" w:ascii="仿宋_GB2312" w:hAnsi="仿宋" w:eastAsia="仿宋_GB2312" w:cs="Times New Roman"/>
          <w:sz w:val="32"/>
          <w:lang w:eastAsia="zh-CN"/>
        </w:rPr>
        <w:t>单位</w:t>
      </w:r>
      <w:r>
        <w:rPr>
          <w:rFonts w:hint="eastAsia" w:ascii="仿宋_GB2312" w:hAnsi="仿宋" w:eastAsia="仿宋_GB2312" w:cs="Times New Roman"/>
          <w:sz w:val="32"/>
        </w:rPr>
        <w:t>法人证书、社会团体法人登记证书</w:t>
      </w:r>
      <w:r>
        <w:rPr>
          <w:rFonts w:hint="eastAsia" w:ascii="仿宋_GB2312" w:hAnsi="仿宋" w:eastAsia="仿宋_GB2312" w:cs="Times New Roman"/>
          <w:sz w:val="32"/>
          <w:lang w:eastAsia="zh-CN"/>
        </w:rPr>
        <w:t>、民办非企业单位登记证书</w:t>
      </w:r>
      <w:r>
        <w:rPr>
          <w:rFonts w:hint="eastAsia" w:ascii="仿宋_GB2312" w:hAnsi="仿宋" w:eastAsia="仿宋_GB2312" w:cs="Times New Roman"/>
          <w:sz w:val="32"/>
          <w:highlight w:val="none"/>
        </w:rPr>
        <w:t>；</w:t>
      </w:r>
    </w:p>
    <w:p>
      <w:pPr>
        <w:spacing w:line="560" w:lineRule="exact"/>
        <w:ind w:firstLine="640" w:firstLineChars="200"/>
        <w:jc w:val="left"/>
        <w:rPr>
          <w:sz w:val="32"/>
          <w:szCs w:val="32"/>
        </w:rPr>
      </w:pPr>
      <w:r>
        <w:rPr>
          <w:rFonts w:hint="eastAsia" w:ascii="仿宋_GB2312" w:hAnsi="仿宋" w:eastAsia="仿宋_GB2312" w:cs="Times New Roman"/>
          <w:sz w:val="32"/>
          <w:szCs w:val="32"/>
        </w:rPr>
        <w:t>2.法定代表人身份证复印件；</w:t>
      </w:r>
    </w:p>
    <w:p>
      <w:pPr>
        <w:pStyle w:val="8"/>
        <w:spacing w:after="0" w:line="560" w:lineRule="exact"/>
        <w:ind w:left="0" w:leftChars="0" w:right="0" w:rightChars="0" w:firstLine="640"/>
        <w:jc w:val="left"/>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8"/>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8"/>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5.诚信承诺书（详见附件1）；</w:t>
      </w:r>
    </w:p>
    <w:p>
      <w:pPr>
        <w:pStyle w:val="8"/>
        <w:spacing w:after="0" w:line="560" w:lineRule="exact"/>
        <w:ind w:left="0" w:leftChars="0" w:right="0" w:rightChars="0" w:firstLine="640"/>
        <w:jc w:val="both"/>
        <w:rPr>
          <w:rFonts w:hint="eastAsia" w:ascii="仿宋_GB2312" w:hAnsi="仿宋" w:eastAsia="仿宋_GB2312" w:cs="Times New Roman"/>
          <w:sz w:val="32"/>
          <w:highlight w:val="none"/>
          <w:lang w:eastAsia="zh-CN"/>
        </w:rPr>
      </w:pPr>
      <w:r>
        <w:rPr>
          <w:rFonts w:hint="eastAsia" w:ascii="仿宋_GB2312" w:hAnsi="仿宋" w:eastAsia="仿宋_GB2312" w:cs="Times New Roman"/>
          <w:sz w:val="32"/>
          <w:highlight w:val="none"/>
          <w:lang w:val="en-US" w:eastAsia="zh-CN"/>
        </w:rPr>
        <w:t>6</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深圳市龙华区民政局</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），鼓励提供表中投标（响应）供应商相关人员的近</w:t>
      </w:r>
      <w:r>
        <w:rPr>
          <w:rFonts w:hint="eastAsia" w:ascii="仿宋_GB2312" w:hAnsi="仿宋" w:eastAsia="仿宋_GB2312" w:cs="Times New Roman"/>
          <w:sz w:val="32"/>
          <w:highlight w:val="none"/>
          <w:lang w:val="en-US" w:eastAsia="zh-CN"/>
        </w:rPr>
        <w:t>1</w:t>
      </w:r>
      <w:r>
        <w:rPr>
          <w:rFonts w:hint="eastAsia" w:ascii="仿宋_GB2312" w:hAnsi="仿宋" w:eastAsia="仿宋_GB2312" w:cs="Times New Roman"/>
          <w:sz w:val="32"/>
          <w:highlight w:val="none"/>
          <w:lang w:eastAsia="zh-CN"/>
        </w:rPr>
        <w:t>个月社保缴纳情况，如未在投标（响应）供应商缴纳社保的人员，需提供加盖公章的情况说明或其他相关证明材料。</w:t>
      </w:r>
    </w:p>
    <w:p>
      <w:pPr>
        <w:pStyle w:val="8"/>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1.供应商需在</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w:t>
      </w:r>
      <w:bookmarkStart w:id="1" w:name="_GoBack"/>
      <w:bookmarkEnd w:id="1"/>
      <w:r>
        <w:rPr>
          <w:rFonts w:hint="eastAsia" w:ascii="仿宋_GB2312" w:hAnsi="仿宋" w:eastAsia="仿宋_GB2312" w:cs="Times New Roman"/>
          <w:kern w:val="2"/>
          <w:sz w:val="32"/>
          <w:szCs w:val="24"/>
          <w:lang w:val="en-US" w:eastAsia="zh-CN" w:bidi="ar-SA"/>
        </w:rPr>
        <w:t>注册（网址：</w:t>
      </w:r>
      <w:r>
        <w:rPr>
          <w:rFonts w:hint="eastAsia" w:ascii="仿宋_GB2312" w:hAnsi="仿宋" w:eastAsia="仿宋_GB2312" w:cs="Times New Roman"/>
          <w:color w:val="auto"/>
          <w:kern w:val="2"/>
          <w:sz w:val="32"/>
          <w:szCs w:val="24"/>
          <w:u w:val="none"/>
          <w:lang w:val="en-US" w:eastAsia="zh-CN" w:bidi="ar-SA"/>
        </w:rPr>
        <w:t>https://zxcg.szggzy.com/home/index.html</w:t>
      </w:r>
      <w:r>
        <w:rPr>
          <w:rFonts w:hint="eastAsia" w:ascii="仿宋_GB2312" w:hAnsi="仿宋" w:eastAsia="仿宋_GB2312" w:cs="Times New Roman"/>
          <w:color w:val="auto"/>
          <w:kern w:val="2"/>
          <w:sz w:val="32"/>
          <w:szCs w:val="24"/>
          <w:u w:val="none"/>
          <w:lang w:val="en-US" w:eastAsia="zh-CN" w:bidi="ar-SA"/>
        </w:rPr>
        <w:t>），请于本项目投标截止时间前完成注册，否则如中标/成交，可能影响采购结果的发布。</w:t>
      </w:r>
    </w:p>
    <w:p>
      <w:pPr>
        <w:keepNext w:val="0"/>
        <w:keepLines w:val="0"/>
        <w:widowControl/>
        <w:suppressLineNumbers w:val="0"/>
        <w:spacing w:line="560" w:lineRule="exact"/>
        <w:ind w:firstLine="640" w:firstLineChars="200"/>
        <w:jc w:val="left"/>
        <w:rPr>
          <w:rFonts w:hint="default" w:ascii="仿宋_GB2312" w:hAnsi="仿宋" w:eastAsia="仿宋_GB2312" w:cs="Times New Roman"/>
          <w:kern w:val="2"/>
          <w:sz w:val="32"/>
          <w:szCs w:val="24"/>
          <w:highlight w:val="none"/>
          <w:lang w:val="en-US" w:eastAsia="zh-CN" w:bidi="ar-SA"/>
        </w:rPr>
      </w:pPr>
      <w:r>
        <w:rPr>
          <w:rFonts w:hint="eastAsia" w:ascii="仿宋_GB2312" w:hAnsi="仿宋" w:eastAsia="仿宋_GB2312" w:cs="Times New Roman"/>
          <w:kern w:val="2"/>
          <w:sz w:val="32"/>
          <w:szCs w:val="24"/>
          <w:highlight w:val="none"/>
          <w:lang w:val="en-US" w:eastAsia="zh-CN" w:bidi="ar-SA"/>
        </w:rPr>
        <w:t>2.采购人将通过</w:t>
      </w:r>
      <w:r>
        <w:rPr>
          <w:rFonts w:hint="eastAsia" w:ascii="仿宋_GB2312" w:hAnsi="仿宋" w:eastAsia="仿宋_GB2312" w:cs="Times New Roman"/>
          <w:color w:val="auto"/>
          <w:kern w:val="2"/>
          <w:sz w:val="32"/>
          <w:szCs w:val="24"/>
          <w:highlight w:val="none"/>
          <w:lang w:val="en-US" w:eastAsia="zh-CN" w:bidi="ar-SA"/>
        </w:rPr>
        <w:t>国家企业信用信息公示系统</w:t>
      </w:r>
      <w:r>
        <w:rPr>
          <w:rFonts w:hint="eastAsia" w:ascii="仿宋_GB2312" w:hAnsi="仿宋" w:eastAsia="仿宋_GB2312" w:cs="Times New Roman"/>
          <w:kern w:val="2"/>
          <w:sz w:val="32"/>
          <w:szCs w:val="24"/>
          <w:highlight w:val="none"/>
          <w:lang w:val="en-US" w:eastAsia="zh-CN" w:bidi="ar-SA"/>
        </w:rPr>
        <w:t>、机关赋码和事业单位登记管理网、全国社会组织信用信息公示平台、中国政府采购网等渠道查询供应商信用记录，对列入失信被执行人名单等的供应商拒绝其参与采购活动。</w:t>
      </w:r>
    </w:p>
    <w:p>
      <w:pPr>
        <w:keepNext w:val="0"/>
        <w:keepLines w:val="0"/>
        <w:widowControl/>
        <w:suppressLineNumbers w:val="0"/>
        <w:spacing w:line="560" w:lineRule="exact"/>
        <w:ind w:firstLine="640" w:firstLineChars="200"/>
        <w:jc w:val="both"/>
        <w:rPr>
          <w:rFonts w:hint="default" w:ascii="黑体" w:hAnsi="黑体" w:eastAsia="黑体" w:cs="黑体"/>
          <w:color w:val="000000"/>
          <w:sz w:val="32"/>
          <w:szCs w:val="32"/>
          <w:lang w:val="en-US" w:eastAsia="zh-CN"/>
        </w:rPr>
      </w:pP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rPr>
        <w:t>供应商</w:t>
      </w:r>
      <w:r>
        <w:rPr>
          <w:rFonts w:hint="eastAsia" w:ascii="仿宋_GB2312" w:hAnsi="仿宋" w:eastAsia="仿宋_GB2312" w:cs="Times New Roman"/>
          <w:sz w:val="32"/>
          <w:highlight w:val="none"/>
          <w:lang w:eastAsia="zh-CN"/>
        </w:rPr>
        <w:t>采用电子邮箱投递</w:t>
      </w:r>
      <w:r>
        <w:rPr>
          <w:rFonts w:hint="eastAsia" w:ascii="仿宋_GB2312" w:hAnsi="仿宋" w:eastAsia="仿宋_GB2312" w:cs="Times New Roman"/>
          <w:sz w:val="32"/>
          <w:highlight w:val="none"/>
          <w:lang w:val="en-US" w:eastAsia="zh-CN"/>
        </w:rPr>
        <w:t>方式，将</w:t>
      </w:r>
      <w:r>
        <w:rPr>
          <w:rFonts w:hint="eastAsia" w:ascii="仿宋_GB2312" w:hAnsi="仿宋" w:eastAsia="仿宋_GB2312" w:cs="Times New Roman"/>
          <w:sz w:val="32"/>
          <w:highlight w:val="none"/>
        </w:rPr>
        <w:t>投标资料</w:t>
      </w:r>
      <w:r>
        <w:rPr>
          <w:rFonts w:hint="eastAsia" w:ascii="仿宋_GB2312" w:hAnsi="仿宋" w:eastAsia="仿宋_GB2312" w:cs="Times New Roman"/>
          <w:sz w:val="32"/>
          <w:highlight w:val="none"/>
          <w:lang w:eastAsia="zh-CN"/>
        </w:rPr>
        <w:t>发至：szlhmzj@szlhq.gov.cn，文件夹命名方式为</w:t>
      </w:r>
      <w:r>
        <w:rPr>
          <w:rFonts w:hint="eastAsia" w:ascii="仿宋_GB2312" w:hAnsi="仿宋" w:eastAsia="仿宋_GB2312" w:cs="Times New Roman"/>
          <w:sz w:val="32"/>
          <w:highlight w:val="none"/>
          <w:lang w:val="en-US" w:eastAsia="zh-CN"/>
        </w:rPr>
        <w:t>“龙华区困境儿童服务提质</w:t>
      </w:r>
      <w:r>
        <w:rPr>
          <w:rFonts w:hint="eastAsia" w:ascii="仿宋_GB2312" w:hAnsi="仿宋" w:eastAsia="仿宋_GB2312" w:cs="Times New Roman"/>
          <w:color w:val="000000"/>
          <w:kern w:val="2"/>
          <w:sz w:val="32"/>
          <w:szCs w:val="24"/>
          <w:highlight w:val="none"/>
          <w:lang w:val="en-US" w:eastAsia="zh-CN"/>
        </w:rPr>
        <w:t>项目+公司全称+日期+联系人+联系方式”。</w:t>
      </w:r>
      <w:r>
        <w:rPr>
          <w:rFonts w:ascii="仿宋_GB2312" w:hAnsi="仿宋" w:eastAsia="仿宋_GB2312" w:cs="Times New Roman"/>
          <w:sz w:val="3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w:t>
      </w:r>
      <w:r>
        <w:rPr>
          <w:rFonts w:hint="eastAsia" w:ascii="宋体" w:hAnsi="宋体"/>
          <w:color w:val="auto"/>
          <w:sz w:val="21"/>
          <w:szCs w:val="21"/>
          <w:highlight w:val="none"/>
          <w:u w:val="single"/>
          <w:lang w:eastAsia="zh-CN"/>
        </w:rPr>
        <w:t>民政</w:t>
      </w:r>
      <w:r>
        <w:rPr>
          <w:rFonts w:hint="eastAsia" w:ascii="宋体" w:hAnsi="宋体"/>
          <w:color w:val="auto"/>
          <w:sz w:val="21"/>
          <w:szCs w:val="21"/>
          <w:highlight w:val="none"/>
          <w:u w:val="single"/>
        </w:rPr>
        <w:t>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7"/>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21"/>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3"/>
        <w:snapToGrid w:val="0"/>
        <w:spacing w:before="0" w:after="0" w:line="560" w:lineRule="exact"/>
        <w:rPr>
          <w:rFonts w:hint="eastAsia" w:ascii="方正小标宋简体" w:hAnsi="方正小标宋简体" w:eastAsia="方正小标宋简体" w:cs="方正小标宋简体"/>
          <w:b w:val="0"/>
          <w:bCs w:val="0"/>
          <w:sz w:val="44"/>
          <w:szCs w:val="44"/>
          <w:lang w:eastAsia="zh-CN"/>
        </w:rPr>
      </w:pPr>
    </w:p>
    <w:p>
      <w:pPr>
        <w:pStyle w:val="13"/>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深圳市龙华区民政局</w:t>
      </w: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5"/>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5"/>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default" w:ascii="方正仿宋_GBK" w:hAnsi="方正仿宋_GBK" w:eastAsia="方正仿宋_GBK" w:cs="方正仿宋_GBK"/>
                <w:b/>
                <w:bCs/>
                <w:sz w:val="24"/>
                <w:lang w:val="en-US"/>
              </w:rPr>
              <w:t>0</w:t>
            </w: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OpenSymbol"/>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FEB204"/>
    <w:multiLevelType w:val="singleLevel"/>
    <w:tmpl w:val="40FEB20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2820350"/>
    <w:rsid w:val="0AE487AD"/>
    <w:rsid w:val="16EB8C75"/>
    <w:rsid w:val="1A78700C"/>
    <w:rsid w:val="1CF724D9"/>
    <w:rsid w:val="26CC7C68"/>
    <w:rsid w:val="3315093A"/>
    <w:rsid w:val="3935B585"/>
    <w:rsid w:val="3C7BDDE2"/>
    <w:rsid w:val="3D5FDCFC"/>
    <w:rsid w:val="3DEE5819"/>
    <w:rsid w:val="3F5B5B47"/>
    <w:rsid w:val="42156510"/>
    <w:rsid w:val="53DE98CD"/>
    <w:rsid w:val="557F3B28"/>
    <w:rsid w:val="5BEB5DAF"/>
    <w:rsid w:val="5F2BE56A"/>
    <w:rsid w:val="5F3F3D63"/>
    <w:rsid w:val="5FF2F23F"/>
    <w:rsid w:val="67938A2B"/>
    <w:rsid w:val="67BADCD1"/>
    <w:rsid w:val="6853623F"/>
    <w:rsid w:val="6CFFD566"/>
    <w:rsid w:val="6EAC5256"/>
    <w:rsid w:val="6EAE22C4"/>
    <w:rsid w:val="6FC72380"/>
    <w:rsid w:val="6FFD5E60"/>
    <w:rsid w:val="73FB884D"/>
    <w:rsid w:val="77EF2C1A"/>
    <w:rsid w:val="79DEE360"/>
    <w:rsid w:val="7B2F2850"/>
    <w:rsid w:val="7BF7E217"/>
    <w:rsid w:val="7D9F3A20"/>
    <w:rsid w:val="7DD39989"/>
    <w:rsid w:val="7DDD57CD"/>
    <w:rsid w:val="7DE9CA57"/>
    <w:rsid w:val="7E9F479A"/>
    <w:rsid w:val="7EC7A5AA"/>
    <w:rsid w:val="7FA997A4"/>
    <w:rsid w:val="7FBD2D39"/>
    <w:rsid w:val="7FFDB0D1"/>
    <w:rsid w:val="995F0FBB"/>
    <w:rsid w:val="9EFFBBA7"/>
    <w:rsid w:val="9FD9C14C"/>
    <w:rsid w:val="9FF753B3"/>
    <w:rsid w:val="ACFF9C02"/>
    <w:rsid w:val="AFAF3132"/>
    <w:rsid w:val="BBFF548B"/>
    <w:rsid w:val="BDBC8FF5"/>
    <w:rsid w:val="BDDEB8D7"/>
    <w:rsid w:val="BEBBE67F"/>
    <w:rsid w:val="BEBE3887"/>
    <w:rsid w:val="BF5EBD87"/>
    <w:rsid w:val="BFD70B2B"/>
    <w:rsid w:val="C7FFEB54"/>
    <w:rsid w:val="CEAEA899"/>
    <w:rsid w:val="D77F94FC"/>
    <w:rsid w:val="DEB7FE68"/>
    <w:rsid w:val="DF9F634A"/>
    <w:rsid w:val="DFFF69F1"/>
    <w:rsid w:val="E1CF8320"/>
    <w:rsid w:val="E376E1AF"/>
    <w:rsid w:val="E76E496D"/>
    <w:rsid w:val="E77E6E49"/>
    <w:rsid w:val="EFCE6E40"/>
    <w:rsid w:val="EFF64497"/>
    <w:rsid w:val="F5939A89"/>
    <w:rsid w:val="F5FAD71A"/>
    <w:rsid w:val="F5FD9CF5"/>
    <w:rsid w:val="F67B46B6"/>
    <w:rsid w:val="F6E6CB06"/>
    <w:rsid w:val="F82BA885"/>
    <w:rsid w:val="FB4D790E"/>
    <w:rsid w:val="FC76EA8B"/>
    <w:rsid w:val="FCFF185E"/>
    <w:rsid w:val="FDFFA232"/>
    <w:rsid w:val="FDFFDEC4"/>
    <w:rsid w:val="FE5F7A6B"/>
    <w:rsid w:val="FFBFB86A"/>
    <w:rsid w:val="FFEF2FC6"/>
    <w:rsid w:val="FFFB3524"/>
    <w:rsid w:val="FFFD4C43"/>
    <w:rsid w:val="FFFF6BBE"/>
    <w:rsid w:val="FFFF74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160" w:beforeLines="0" w:beforeAutospacing="0" w:after="160" w:afterLines="0" w:afterAutospacing="0" w:line="560" w:lineRule="exact"/>
      <w:ind w:leftChars="0"/>
      <w:outlineLvl w:val="0"/>
    </w:pPr>
    <w:rPr>
      <w:rFonts w:eastAsia="楷体" w:cs="黑体"/>
      <w:b/>
      <w:kern w:val="44"/>
      <w:sz w:val="36"/>
      <w:szCs w:val="32"/>
    </w:rPr>
  </w:style>
  <w:style w:type="paragraph" w:styleId="3">
    <w:name w:val="heading 3"/>
    <w:basedOn w:val="4"/>
    <w:next w:val="1"/>
    <w:qFormat/>
    <w:uiPriority w:val="9"/>
    <w:pPr>
      <w:spacing w:before="260" w:after="260" w:line="240" w:lineRule="auto"/>
      <w:outlineLvl w:val="2"/>
    </w:pPr>
    <w:rPr>
      <w:rFonts w:ascii="宋体" w:hAnsi="宋体" w:eastAsia="宋体"/>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7">
    <w:name w:val="Body Text"/>
    <w:basedOn w:val="1"/>
    <w:next w:val="1"/>
    <w:qFormat/>
    <w:uiPriority w:val="0"/>
    <w:pPr>
      <w:spacing w:after="120"/>
    </w:pPr>
  </w:style>
  <w:style w:type="paragraph" w:styleId="8">
    <w:name w:val="Block Text"/>
    <w:basedOn w:val="1"/>
    <w:qFormat/>
    <w:uiPriority w:val="0"/>
    <w:pPr>
      <w:tabs>
        <w:tab w:val="left" w:pos="426"/>
      </w:tabs>
      <w:spacing w:after="120"/>
      <w:ind w:left="1440" w:leftChars="700" w:right="1440" w:rightChars="700"/>
    </w:pPr>
  </w:style>
  <w:style w:type="paragraph" w:styleId="9">
    <w:name w:val="Plain Text"/>
    <w:basedOn w:val="1"/>
    <w:unhideWhenUsed/>
    <w:qFormat/>
    <w:uiPriority w:val="99"/>
    <w:rPr>
      <w:rFonts w:ascii="宋体" w:hAnsi="Calibri" w:cs="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qFormat/>
    <w:uiPriority w:val="0"/>
    <w:pPr>
      <w:spacing w:line="360" w:lineRule="auto"/>
    </w:pPr>
    <w:rPr>
      <w:sz w:val="24"/>
    </w:rPr>
  </w:style>
  <w:style w:type="paragraph" w:styleId="13">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paragraph" w:styleId="18">
    <w:name w:val="List Paragraph"/>
    <w:basedOn w:val="1"/>
    <w:qFormat/>
    <w:uiPriority w:val="34"/>
    <w:pPr>
      <w:ind w:firstLine="420" w:firstLineChars="200"/>
    </w:pPr>
  </w:style>
  <w:style w:type="paragraph" w:customStyle="1" w:styleId="19">
    <w:name w:val="星耀正文"/>
    <w:basedOn w:val="1"/>
    <w:qFormat/>
    <w:uiPriority w:val="3"/>
    <w:pPr>
      <w:ind w:firstLine="422" w:firstLineChars="200"/>
    </w:pPr>
    <w:rPr>
      <w:rFonts w:ascii="宋体" w:hAnsi="宋体" w:eastAsia="仿宋_GB2312"/>
      <w:bCs/>
    </w:rPr>
  </w:style>
  <w:style w:type="paragraph" w:customStyle="1" w:styleId="20">
    <w:name w:val="USE 1"/>
    <w:basedOn w:val="1"/>
    <w:qFormat/>
    <w:uiPriority w:val="0"/>
    <w:pPr>
      <w:spacing w:line="200" w:lineRule="atLeast"/>
      <w:jc w:val="left"/>
    </w:pPr>
    <w:rPr>
      <w:rFonts w:ascii="宋体" w:hAnsi="宋体"/>
      <w:b/>
      <w:sz w:val="24"/>
      <w:szCs w:val="28"/>
    </w:rPr>
  </w:style>
  <w:style w:type="paragraph" w:customStyle="1" w:styleId="21">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22">
    <w:name w:val="_Style 3"/>
    <w:basedOn w:val="1"/>
    <w:next w:val="1"/>
    <w:qFormat/>
    <w:uiPriority w:val="99"/>
    <w:pPr>
      <w:spacing w:line="360" w:lineRule="auto"/>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1671</Words>
  <Characters>1715</Characters>
  <Lines>0</Lines>
  <Paragraphs>0</Paragraphs>
  <TotalTime>1</TotalTime>
  <ScaleCrop>false</ScaleCrop>
  <LinksUpToDate>false</LinksUpToDate>
  <CharactersWithSpaces>1719</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2025-04-25T17:16:00Z</dcterms:created>
  <dc:creator>yang</dc:creator>
  <cp:lastModifiedBy>微信用户</cp:lastModifiedBy>
  <cp:lastPrinted>2026-04-14T01:40:00Z</cp:lastPrinted>
  <dcterms:modified xsi:type="dcterms:W3CDTF">2026-06-11T17:19:37Z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7299108AFC688817CC89D76945028AC8</vt:lpwstr>
  </property>
  <property fmtid="{D5CDD505-2E9C-101B-9397-08002B2CF9AE}" pid="4" name="KSOTemplateDocerSaveRecord">
    <vt:lpwstr>eyJoZGlkIjoiMWRkMTk2MWM4YWY5ZDQ4ZmYyMzY4MzAwMDdiNWJhOTIiLCJ1c2VySWQiOiIyOTUyNjUzMzUifQ==</vt:lpwstr>
  </property>
</Properties>
</file>