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580" w:lineRule="exact"/>
        <w:rPr>
          <w:rFonts w:hint="eastAsia" w:ascii="黑体" w:hAnsi="黑体" w:eastAsia="黑体"/>
          <w:sz w:val="32"/>
          <w:szCs w:val="32"/>
          <w:lang w:eastAsia="zh-CN"/>
        </w:rPr>
      </w:pPr>
      <w:r>
        <w:rPr>
          <w:rFonts w:hint="eastAsia" w:ascii="黑体" w:hAnsi="黑体" w:eastAsia="黑体"/>
          <w:sz w:val="32"/>
          <w:szCs w:val="32"/>
        </w:rPr>
        <w:t>附件</w:t>
      </w:r>
      <w:r>
        <w:rPr>
          <w:rFonts w:hint="eastAsia" w:ascii="黑体" w:hAnsi="黑体" w:eastAsia="黑体"/>
          <w:sz w:val="32"/>
          <w:szCs w:val="32"/>
          <w:lang w:val="en-US" w:eastAsia="zh-CN"/>
        </w:rPr>
        <w:t>3</w:t>
      </w:r>
    </w:p>
    <w:p>
      <w:pPr>
        <w:widowControl/>
        <w:spacing w:before="0" w:beforeAutospacing="0" w:after="0" w:afterAutospacing="0" w:line="560" w:lineRule="exact"/>
        <w:jc w:val="center"/>
        <w:rPr>
          <w:rFonts w:hint="eastAsia"/>
        </w:rPr>
      </w:pPr>
      <w:bookmarkStart w:id="1" w:name="_GoBack"/>
      <w:r>
        <w:rPr>
          <w:rFonts w:hint="eastAsia" w:ascii="方正小标宋简体" w:hAnsi="方正小标宋简体" w:eastAsia="方正小标宋简体" w:cs="方正小标宋简体"/>
          <w:kern w:val="0"/>
          <w:sz w:val="44"/>
          <w:szCs w:val="44"/>
        </w:rPr>
        <w:t>普通话水平测试、体检、学历认证等有关信息</w:t>
      </w:r>
    </w:p>
    <w:bookmarkEnd w:id="1"/>
    <w:tbl>
      <w:tblPr>
        <w:tblStyle w:val="3"/>
        <w:tblpPr w:leftFromText="180" w:rightFromText="180" w:vertAnchor="text" w:horzAnchor="page" w:tblpX="1170" w:tblpY="5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6184"/>
        <w:gridCol w:w="1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dxa"/>
            <w:noWrap w:val="0"/>
            <w:vAlign w:val="center"/>
          </w:tcPr>
          <w:p>
            <w:pPr>
              <w:spacing w:line="58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项目</w:t>
            </w:r>
          </w:p>
        </w:tc>
        <w:tc>
          <w:tcPr>
            <w:tcW w:w="6184" w:type="dxa"/>
            <w:noWrap w:val="0"/>
            <w:vAlign w:val="top"/>
          </w:tcPr>
          <w:p>
            <w:pPr>
              <w:spacing w:line="58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联系单位及方式</w:t>
            </w:r>
          </w:p>
        </w:tc>
        <w:tc>
          <w:tcPr>
            <w:tcW w:w="1967" w:type="dxa"/>
            <w:noWrap w:val="0"/>
            <w:vAlign w:val="top"/>
          </w:tcPr>
          <w:p>
            <w:pPr>
              <w:spacing w:line="58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trPr>
        <w:tc>
          <w:tcPr>
            <w:tcW w:w="1218"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普通话</w:t>
            </w:r>
          </w:p>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水平测试</w:t>
            </w:r>
          </w:p>
        </w:tc>
        <w:tc>
          <w:tcPr>
            <w:tcW w:w="6184" w:type="dxa"/>
            <w:noWrap w:val="0"/>
            <w:vAlign w:val="center"/>
          </w:tcPr>
          <w:p>
            <w:pPr>
              <w:spacing w:line="36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深圳市语委办普通话测试中心</w:t>
            </w:r>
          </w:p>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深圳市</w:t>
            </w:r>
            <w:r>
              <w:rPr>
                <w:rFonts w:hint="eastAsia" w:ascii="仿宋_GB2312" w:hAnsi="仿宋_GB2312" w:eastAsia="仿宋_GB2312" w:cs="仿宋_GB2312"/>
                <w:sz w:val="24"/>
                <w:szCs w:val="24"/>
              </w:rPr>
              <w:t>福田区振华路21号</w:t>
            </w:r>
            <w:r>
              <w:rPr>
                <w:rFonts w:hint="eastAsia" w:ascii="仿宋_GB2312" w:hAnsi="仿宋_GB2312" w:eastAsia="仿宋_GB2312" w:cs="仿宋_GB2312"/>
                <w:sz w:val="24"/>
                <w:szCs w:val="24"/>
                <w:lang w:eastAsia="zh-CN"/>
              </w:rPr>
              <w:t>航天立业华庭</w:t>
            </w:r>
            <w:r>
              <w:rPr>
                <w:rFonts w:hint="eastAsia" w:ascii="仿宋_GB2312" w:hAnsi="仿宋_GB2312" w:eastAsia="仿宋_GB2312" w:cs="仿宋_GB2312"/>
                <w:sz w:val="24"/>
                <w:szCs w:val="24"/>
              </w:rPr>
              <w:t>10楼）</w:t>
            </w:r>
          </w:p>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r>
              <w:rPr>
                <w:rFonts w:hint="eastAsia" w:ascii="仿宋_GB2312" w:hAnsi="仿宋_GB2312" w:eastAsia="仿宋_GB2312" w:cs="仿宋_GB2312"/>
                <w:sz w:val="24"/>
                <w:szCs w:val="24"/>
                <w:lang w:val="en-US" w:eastAsia="zh-CN"/>
              </w:rPr>
              <w:t>0755-</w:t>
            </w:r>
            <w:r>
              <w:rPr>
                <w:rFonts w:hint="eastAsia" w:ascii="仿宋_GB2312" w:hAnsi="仿宋_GB2312" w:eastAsia="仿宋_GB2312" w:cs="仿宋_GB2312"/>
                <w:sz w:val="24"/>
                <w:szCs w:val="24"/>
              </w:rPr>
              <w:t>83749280</w:t>
            </w:r>
          </w:p>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报名微信公众号：深圳市普通话测试服务号</w:t>
            </w:r>
          </w:p>
        </w:tc>
        <w:tc>
          <w:tcPr>
            <w:tcW w:w="1967" w:type="dxa"/>
            <w:noWrap w:val="0"/>
            <w:vAlign w:val="center"/>
          </w:tcPr>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申请人在认定前自行报名参加测试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0" w:hRule="atLeast"/>
        </w:trPr>
        <w:tc>
          <w:tcPr>
            <w:tcW w:w="1218"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体格检查</w:t>
            </w:r>
          </w:p>
        </w:tc>
        <w:tc>
          <w:tcPr>
            <w:tcW w:w="6184" w:type="dxa"/>
            <w:noWrap w:val="0"/>
            <w:vAlign w:val="center"/>
          </w:tcPr>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深圳市教师资格体格检查指定医院为：</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1.深圳市人民医院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2.深圳市第二人民医院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3.中山大学附属第八医院（福田区人民医院）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4.深圳市罗湖区人民医院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en-US" w:eastAsia="zh-CN"/>
              </w:rPr>
              <w:t>深圳市</w:t>
            </w:r>
            <w:r>
              <w:rPr>
                <w:rFonts w:hint="eastAsia" w:ascii="仿宋_GB2312" w:hAnsi="仿宋_GB2312" w:eastAsia="仿宋_GB2312" w:cs="仿宋_GB2312"/>
                <w:sz w:val="24"/>
                <w:szCs w:val="24"/>
              </w:rPr>
              <w:t>南山区人民医院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6.深圳市盐田区人民医院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7.深圳市宝安区人民医院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8.深圳市龙岗区人民医院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9.深圳市龙华区人民医院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10.深圳市坪山区人民医院</w:t>
            </w:r>
          </w:p>
          <w:p>
            <w:pPr>
              <w:spacing w:line="36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11.</w:t>
            </w:r>
            <w:r>
              <w:rPr>
                <w:rFonts w:hint="eastAsia" w:ascii="仿宋_GB2312" w:hAnsi="仿宋_GB2312" w:eastAsia="仿宋_GB2312" w:cs="仿宋_GB2312"/>
                <w:sz w:val="24"/>
                <w:szCs w:val="24"/>
                <w:lang w:val="en-US" w:eastAsia="zh-CN"/>
              </w:rPr>
              <w:t>深圳理工大学总医院（总院区）</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原</w:t>
            </w:r>
            <w:r>
              <w:rPr>
                <w:rFonts w:hint="eastAsia" w:ascii="仿宋_GB2312" w:hAnsi="仿宋_GB2312" w:eastAsia="仿宋_GB2312" w:cs="仿宋_GB2312"/>
                <w:sz w:val="24"/>
                <w:szCs w:val="24"/>
              </w:rPr>
              <w:t>光明区人民医院</w:t>
            </w:r>
            <w:r>
              <w:rPr>
                <w:rFonts w:hint="eastAsia" w:ascii="仿宋_GB2312" w:hAnsi="仿宋_GB2312" w:eastAsia="仿宋_GB2312" w:cs="仿宋_GB2312"/>
                <w:sz w:val="24"/>
                <w:szCs w:val="24"/>
                <w:lang w:val="en-US" w:eastAsia="zh-CN"/>
              </w:rPr>
              <w:t>西院区</w:t>
            </w:r>
            <w:r>
              <w:rPr>
                <w:rFonts w:hint="eastAsia" w:ascii="仿宋_GB2312" w:hAnsi="仿宋_GB2312" w:eastAsia="仿宋_GB2312" w:cs="仿宋_GB2312"/>
                <w:sz w:val="24"/>
                <w:szCs w:val="24"/>
                <w:lang w:eastAsia="zh-CN"/>
              </w:rPr>
              <w:t>）</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12.南方医科大学深圳医院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13.中山大学附属第七医院</w:t>
            </w:r>
          </w:p>
          <w:p>
            <w:pPr>
              <w:spacing w:line="3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14.</w:t>
            </w:r>
            <w:r>
              <w:rPr>
                <w:rFonts w:hint="eastAsia" w:ascii="仿宋_GB2312" w:hAnsi="仿宋_GB2312" w:eastAsia="仿宋_GB2312" w:cs="仿宋_GB2312"/>
                <w:sz w:val="24"/>
                <w:szCs w:val="24"/>
                <w:lang w:val="en-US" w:eastAsia="zh-CN"/>
              </w:rPr>
              <w:t>深圳市第四人民医院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深圳市萨米医疗中心</w:t>
            </w:r>
            <w:r>
              <w:rPr>
                <w:rFonts w:hint="eastAsia" w:ascii="仿宋_GB2312" w:hAnsi="仿宋_GB2312" w:eastAsia="仿宋_GB2312" w:cs="仿宋_GB2312"/>
                <w:sz w:val="24"/>
                <w:szCs w:val="24"/>
                <w:lang w:val="en-US" w:eastAsia="zh-CN"/>
              </w:rPr>
              <w:t>）</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15.南方科技大学医院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16.深圳市宝安区中心医院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17.深圳市中西医结合医院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18.深圳市宝安区松岗人民医院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19.深圳市宝安区石岩人民医院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20.深圳市龙岗区中心医院</w:t>
            </w:r>
          </w:p>
          <w:p>
            <w:pPr>
              <w:spacing w:line="36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21.北京中医药大学深圳医院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龙岗区中医院</w:t>
            </w:r>
            <w:r>
              <w:rPr>
                <w:rFonts w:hint="eastAsia" w:ascii="仿宋_GB2312" w:hAnsi="仿宋_GB2312" w:eastAsia="仿宋_GB2312" w:cs="仿宋_GB2312"/>
                <w:sz w:val="24"/>
                <w:szCs w:val="24"/>
                <w:lang w:eastAsia="zh-CN"/>
              </w:rPr>
              <w:t>）</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22.深圳市龙华区中心医院</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23.深圳市前海蛇口自贸区医院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南山区蛇口人民医院</w:t>
            </w:r>
            <w:r>
              <w:rPr>
                <w:rFonts w:hint="eastAsia" w:ascii="仿宋_GB2312" w:hAnsi="仿宋_GB2312" w:eastAsia="仿宋_GB2312" w:cs="仿宋_GB2312"/>
                <w:sz w:val="24"/>
                <w:szCs w:val="24"/>
                <w:lang w:eastAsia="zh-CN"/>
              </w:rPr>
              <w:t>）</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（以上排名不分先后</w:t>
            </w:r>
            <w:r>
              <w:rPr>
                <w:rFonts w:hint="eastAsia" w:ascii="仿宋_GB2312" w:hAnsi="仿宋_GB2312" w:eastAsia="仿宋_GB2312" w:cs="仿宋_GB2312"/>
                <w:sz w:val="24"/>
                <w:szCs w:val="24"/>
                <w:lang w:eastAsia="zh-CN"/>
              </w:rPr>
              <w:t>，可跨区体检</w:t>
            </w:r>
            <w:r>
              <w:rPr>
                <w:rFonts w:hint="eastAsia" w:ascii="仿宋_GB2312" w:hAnsi="仿宋_GB2312" w:eastAsia="仿宋_GB2312" w:cs="仿宋_GB2312"/>
                <w:sz w:val="24"/>
                <w:szCs w:val="24"/>
              </w:rPr>
              <w:t>）</w:t>
            </w:r>
          </w:p>
        </w:tc>
        <w:tc>
          <w:tcPr>
            <w:tcW w:w="1967" w:type="dxa"/>
            <w:noWrap w:val="0"/>
            <w:vAlign w:val="center"/>
          </w:tcPr>
          <w:p>
            <w:pPr>
              <w:numPr>
                <w:ilvl w:val="0"/>
                <w:numId w:val="0"/>
              </w:numPr>
              <w:jc w:val="left"/>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rPr>
              <w:t>申请认定教师资格者必须统一使用《广东省教师资格申请人员体格检查表》（2013年修订版），</w:t>
            </w:r>
            <w:r>
              <w:rPr>
                <w:rFonts w:hint="eastAsia" w:ascii="仿宋_GB2312" w:hAnsi="仿宋_GB2312" w:eastAsia="仿宋_GB2312" w:cs="仿宋_GB2312"/>
                <w:b w:val="0"/>
                <w:bCs w:val="0"/>
                <w:color w:val="auto"/>
                <w:sz w:val="24"/>
                <w:szCs w:val="24"/>
              </w:rPr>
              <w:t>幼儿园教师资格申请人</w:t>
            </w:r>
            <w:r>
              <w:rPr>
                <w:rFonts w:hint="eastAsia" w:ascii="仿宋_GB2312" w:hAnsi="仿宋_GB2312" w:eastAsia="仿宋_GB2312" w:cs="仿宋_GB2312"/>
                <w:b w:val="0"/>
                <w:bCs w:val="0"/>
                <w:sz w:val="24"/>
                <w:szCs w:val="24"/>
              </w:rPr>
              <w:t>需提前向体检医院了解是否可做淋球菌等妇科检查项目，</w:t>
            </w:r>
            <w:r>
              <w:rPr>
                <w:rFonts w:hint="eastAsia" w:ascii="仿宋_GB2312" w:hAnsi="仿宋_GB2312" w:eastAsia="仿宋_GB2312" w:cs="仿宋_GB2312"/>
                <w:b w:val="0"/>
                <w:bCs w:val="0"/>
                <w:color w:val="auto"/>
                <w:sz w:val="24"/>
                <w:szCs w:val="24"/>
                <w:lang w:val="en-US" w:eastAsia="zh-CN"/>
              </w:rPr>
              <w:t>孕妇申请人因缓做胸透请提前了解体检医院在此情况下是否可盖体检合格章和符合教资认定条件章，</w:t>
            </w:r>
            <w:r>
              <w:rPr>
                <w:rFonts w:hint="eastAsia" w:ascii="仿宋_GB2312" w:hAnsi="仿宋_GB2312" w:eastAsia="仿宋_GB2312" w:cs="仿宋_GB2312"/>
                <w:b w:val="0"/>
                <w:bCs w:val="0"/>
                <w:sz w:val="24"/>
                <w:szCs w:val="24"/>
              </w:rPr>
              <w:t>如无法提供请</w:t>
            </w:r>
            <w:r>
              <w:rPr>
                <w:rFonts w:hint="eastAsia" w:ascii="仿宋_GB2312" w:hAnsi="仿宋_GB2312" w:eastAsia="仿宋_GB2312" w:cs="仿宋_GB2312"/>
                <w:b w:val="0"/>
                <w:bCs w:val="0"/>
                <w:sz w:val="24"/>
                <w:szCs w:val="24"/>
                <w:lang w:val="en-US" w:eastAsia="zh-CN"/>
              </w:rPr>
              <w:t>自行</w:t>
            </w:r>
            <w:r>
              <w:rPr>
                <w:rFonts w:hint="eastAsia" w:ascii="仿宋_GB2312" w:hAnsi="仿宋_GB2312" w:eastAsia="仿宋_GB2312" w:cs="仿宋_GB2312"/>
                <w:b w:val="0"/>
                <w:bCs w:val="0"/>
                <w:sz w:val="24"/>
                <w:szCs w:val="24"/>
              </w:rPr>
              <w:t>选择</w:t>
            </w:r>
            <w:r>
              <w:rPr>
                <w:rFonts w:hint="eastAsia" w:ascii="仿宋_GB2312" w:hAnsi="仿宋_GB2312" w:eastAsia="仿宋_GB2312" w:cs="仿宋_GB2312"/>
                <w:b w:val="0"/>
                <w:bCs w:val="0"/>
                <w:sz w:val="24"/>
                <w:szCs w:val="24"/>
                <w:lang w:val="en-US" w:eastAsia="zh-CN"/>
              </w:rPr>
              <w:t>其他指定</w:t>
            </w:r>
            <w:r>
              <w:rPr>
                <w:rFonts w:hint="eastAsia" w:ascii="仿宋_GB2312" w:hAnsi="仿宋_GB2312" w:eastAsia="仿宋_GB2312" w:cs="仿宋_GB2312"/>
                <w:b w:val="0"/>
                <w:bCs w:val="0"/>
                <w:sz w:val="24"/>
                <w:szCs w:val="24"/>
              </w:rPr>
              <w:t>体检医院。</w:t>
            </w:r>
          </w:p>
          <w:p>
            <w:pPr>
              <w:spacing w:line="360" w:lineRule="exact"/>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2" w:hRule="atLeast"/>
        </w:trPr>
        <w:tc>
          <w:tcPr>
            <w:tcW w:w="1218"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学历认证</w:t>
            </w:r>
          </w:p>
        </w:tc>
        <w:tc>
          <w:tcPr>
            <w:tcW w:w="6184" w:type="dxa"/>
            <w:noWrap w:val="0"/>
            <w:vAlign w:val="center"/>
          </w:tcPr>
          <w:p>
            <w:pPr>
              <w:numPr>
                <w:ilvl w:val="0"/>
                <w:numId w:val="1"/>
              </w:num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2001年以前毕业的教师资格认定申请人</w:t>
            </w:r>
            <w:r>
              <w:rPr>
                <w:rFonts w:hint="eastAsia" w:ascii="仿宋_GB2312" w:hAnsi="仿宋_GB2312" w:eastAsia="仿宋_GB2312" w:cs="仿宋_GB2312"/>
                <w:sz w:val="24"/>
                <w:szCs w:val="24"/>
                <w:lang w:eastAsia="zh-CN"/>
              </w:rPr>
              <w:t>学信网</w:t>
            </w:r>
            <w:r>
              <w:rPr>
                <w:rFonts w:hint="eastAsia" w:ascii="仿宋_GB2312" w:hAnsi="仿宋_GB2312" w:eastAsia="仿宋_GB2312" w:cs="仿宋_GB2312"/>
                <w:sz w:val="24"/>
                <w:szCs w:val="24"/>
              </w:rPr>
              <w:t>进行学历认证，</w:t>
            </w:r>
            <w:r>
              <w:rPr>
                <w:rFonts w:hint="eastAsia" w:ascii="仿宋_GB2312" w:hAnsi="仿宋_GB2312" w:eastAsia="仿宋_GB2312" w:cs="仿宋_GB2312"/>
                <w:sz w:val="24"/>
                <w:szCs w:val="24"/>
                <w:lang w:eastAsia="zh-CN"/>
              </w:rPr>
              <w:t>获取</w:t>
            </w:r>
            <w:r>
              <w:rPr>
                <w:rFonts w:hint="eastAsia" w:ascii="仿宋_GB2312" w:hAnsi="仿宋_GB2312" w:eastAsia="仿宋_GB2312" w:cs="仿宋_GB2312"/>
                <w:sz w:val="24"/>
                <w:szCs w:val="24"/>
              </w:rPr>
              <w:t>《中国高等教育学历认证报告》</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要求加盖“全国高等学校学生信息咨询与就业指导中心”章</w:t>
            </w:r>
            <w:r>
              <w:rPr>
                <w:rFonts w:hint="eastAsia" w:ascii="仿宋_GB2312" w:hAnsi="仿宋_GB2312" w:eastAsia="仿宋_GB2312" w:cs="仿宋_GB2312"/>
                <w:sz w:val="24"/>
                <w:szCs w:val="24"/>
                <w:lang w:eastAsia="zh-CN"/>
              </w:rPr>
              <w:t>或“</w:t>
            </w:r>
            <w:r>
              <w:rPr>
                <w:rFonts w:hint="eastAsia" w:ascii="仿宋_GB2312" w:hAnsi="仿宋_GB2312" w:eastAsia="仿宋_GB2312" w:cs="仿宋_GB2312"/>
                <w:sz w:val="24"/>
                <w:szCs w:val="24"/>
              </w:rPr>
              <w:t>教育部</w:t>
            </w:r>
            <w:r>
              <w:rPr>
                <w:rFonts w:hint="eastAsia" w:ascii="仿宋_GB2312" w:hAnsi="仿宋_GB2312" w:eastAsia="仿宋_GB2312" w:cs="仿宋_GB2312"/>
                <w:sz w:val="24"/>
                <w:szCs w:val="24"/>
                <w:lang w:eastAsia="zh-CN"/>
              </w:rPr>
              <w:t>学生服务与素质发展中心”章）</w:t>
            </w:r>
            <w:r>
              <w:rPr>
                <w:rFonts w:hint="eastAsia" w:ascii="仿宋_GB2312" w:hAnsi="仿宋_GB2312" w:eastAsia="仿宋_GB2312" w:cs="仿宋_GB2312"/>
                <w:sz w:val="24"/>
                <w:szCs w:val="24"/>
              </w:rPr>
              <w:t>；</w:t>
            </w:r>
          </w:p>
          <w:p>
            <w:pPr>
              <w:numPr>
                <w:ilvl w:val="0"/>
                <w:numId w:val="1"/>
              </w:num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2001年及以后毕业的教师资格认定申请人可提交学信网上《教育部学历证书电子注册备案表》，有效期须达到</w:t>
            </w:r>
            <w:bookmarkStart w:id="0" w:name="OLE_LINK1"/>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月3</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日</w:t>
            </w:r>
            <w:bookmarkEnd w:id="0"/>
            <w:r>
              <w:rPr>
                <w:rFonts w:hint="eastAsia" w:ascii="仿宋_GB2312" w:hAnsi="仿宋_GB2312" w:eastAsia="仿宋_GB2312" w:cs="仿宋_GB2312"/>
                <w:sz w:val="24"/>
                <w:szCs w:val="24"/>
              </w:rPr>
              <w:t>之后；</w:t>
            </w:r>
          </w:p>
          <w:p>
            <w:pPr>
              <w:numPr>
                <w:ilvl w:val="0"/>
                <w:numId w:val="1"/>
              </w:num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国（境）外学历和学位认证报告必须由教育部留学服务中心出具</w:t>
            </w:r>
            <w:r>
              <w:rPr>
                <w:rFonts w:hint="eastAsia" w:ascii="仿宋_GB2312" w:hAnsi="仿宋_GB2312" w:eastAsia="仿宋_GB2312" w:cs="仿宋_GB2312"/>
                <w:sz w:val="24"/>
                <w:szCs w:val="24"/>
                <w:lang w:eastAsia="zh-CN"/>
              </w:rPr>
              <w:t>的</w:t>
            </w:r>
            <w:r>
              <w:rPr>
                <w:rFonts w:hint="eastAsia" w:ascii="仿宋_GB2312" w:hAnsi="仿宋_GB2312" w:eastAsia="仿宋_GB2312" w:cs="仿宋_GB2312"/>
                <w:sz w:val="24"/>
                <w:szCs w:val="24"/>
              </w:rPr>
              <w:t>“港澳台地区学历学位认证书”</w:t>
            </w:r>
            <w:r>
              <w:rPr>
                <w:rFonts w:hint="eastAsia" w:ascii="仿宋_GB2312" w:hAnsi="仿宋_GB2312" w:eastAsia="仿宋_GB2312" w:cs="仿宋_GB2312"/>
                <w:sz w:val="24"/>
                <w:szCs w:val="24"/>
                <w:lang w:eastAsia="zh-CN"/>
              </w:rPr>
              <w:t>或</w:t>
            </w:r>
            <w:r>
              <w:rPr>
                <w:rFonts w:hint="eastAsia" w:ascii="仿宋_GB2312" w:hAnsi="仿宋_GB2312" w:eastAsia="仿宋_GB2312" w:cs="仿宋_GB2312"/>
                <w:sz w:val="24"/>
                <w:szCs w:val="24"/>
              </w:rPr>
              <w:t>“国外学历学位认证书”。</w:t>
            </w:r>
          </w:p>
          <w:p>
            <w:pPr>
              <w:numPr>
                <w:ilvl w:val="0"/>
                <w:numId w:val="0"/>
              </w:num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注：申请人如无法在报名系统内核验学历的，请在右侧栏对应网址内提前进行毕业证书认证，如仅提供毕业证且没有毕业证书认证的，将无法认定教师资格。</w:t>
            </w:r>
          </w:p>
        </w:tc>
        <w:tc>
          <w:tcPr>
            <w:tcW w:w="1967" w:type="dxa"/>
            <w:noWrap w:val="0"/>
            <w:vAlign w:val="center"/>
          </w:tcPr>
          <w:p>
            <w:pPr>
              <w:numPr>
                <w:ilvl w:val="0"/>
                <w:numId w:val="2"/>
              </w:num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学信网申请认证学历网址：</w:t>
            </w:r>
            <w:r>
              <w:rPr>
                <w:rFonts w:hint="eastAsia" w:ascii="仿宋_GB2312" w:hAnsi="仿宋_GB2312" w:eastAsia="仿宋_GB2312" w:cs="仿宋_GB2312"/>
                <w:color w:val="auto"/>
                <w:sz w:val="24"/>
                <w:szCs w:val="24"/>
                <w:u w:val="none"/>
              </w:rPr>
              <w:t>https://www.chsi.com.cn/xlcx/index.jsp</w:t>
            </w:r>
          </w:p>
          <w:p>
            <w:pPr>
              <w:numPr>
                <w:ilvl w:val="0"/>
                <w:numId w:val="0"/>
              </w:numPr>
              <w:spacing w:line="360" w:lineRule="exact"/>
              <w:rPr>
                <w:rFonts w:hint="eastAsia" w:ascii="仿宋_GB2312" w:hAnsi="仿宋_GB2312" w:eastAsia="仿宋_GB2312" w:cs="仿宋_GB2312"/>
                <w:sz w:val="24"/>
                <w:szCs w:val="24"/>
              </w:rPr>
            </w:pPr>
          </w:p>
          <w:p>
            <w:pPr>
              <w:numPr>
                <w:ilvl w:val="0"/>
                <w:numId w:val="2"/>
              </w:numPr>
              <w:spacing w:line="360" w:lineRule="exact"/>
              <w:ind w:left="0" w:leftChars="0" w:firstLine="0" w:firstLineChar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国（境）外学历和学位认证</w:t>
            </w:r>
            <w:r>
              <w:rPr>
                <w:rFonts w:hint="eastAsia" w:ascii="仿宋_GB2312" w:hAnsi="仿宋_GB2312" w:eastAsia="仿宋_GB2312" w:cs="仿宋_GB2312"/>
                <w:sz w:val="24"/>
                <w:szCs w:val="24"/>
                <w:lang w:eastAsia="zh-CN"/>
              </w:rPr>
              <w:t>网址：</w:t>
            </w:r>
          </w:p>
          <w:p>
            <w:pPr>
              <w:numPr>
                <w:ilvl w:val="0"/>
                <w:numId w:val="0"/>
              </w:numPr>
              <w:spacing w:line="360" w:lineRule="exact"/>
              <w:ind w:leftChars="0"/>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http://zwfw.cscse.edu.cn/</w:t>
            </w:r>
          </w:p>
        </w:tc>
      </w:tr>
    </w:tbl>
    <w:p>
      <w:pPr>
        <w:spacing w:before="0" w:after="0" w:line="580" w:lineRule="exact"/>
        <w:rPr>
          <w:rFonts w:hint="eastAsia" w:ascii="黑体" w:hAnsi="黑体" w:eastAsia="黑体"/>
          <w:bCs/>
          <w:sz w:val="32"/>
          <w:szCs w:val="32"/>
        </w:rPr>
      </w:pPr>
    </w:p>
    <w:p>
      <w:pPr>
        <w:spacing w:before="0" w:after="0" w:line="580" w:lineRule="exact"/>
        <w:rPr>
          <w:rFonts w:hint="eastAsia" w:ascii="黑体" w:hAnsi="黑体" w:eastAsia="黑体"/>
          <w:bCs/>
          <w:sz w:val="32"/>
          <w:szCs w:val="32"/>
        </w:rPr>
      </w:pPr>
    </w:p>
    <w:p>
      <w:pPr>
        <w:spacing w:before="0" w:after="0" w:line="580" w:lineRule="exact"/>
        <w:rPr>
          <w:rFonts w:hint="eastAsia" w:ascii="黑体" w:hAnsi="黑体" w:eastAsia="黑体"/>
          <w:bCs/>
          <w:sz w:val="32"/>
          <w:szCs w:val="32"/>
        </w:rPr>
      </w:pPr>
    </w:p>
    <w:p>
      <w:pPr>
        <w:spacing w:before="0" w:after="0" w:line="580" w:lineRule="exact"/>
        <w:rPr>
          <w:rFonts w:hint="eastAsia" w:ascii="黑体" w:hAnsi="黑体" w:eastAsia="黑体"/>
          <w:bCs/>
          <w:sz w:val="32"/>
          <w:szCs w:val="32"/>
        </w:rPr>
      </w:pPr>
    </w:p>
    <w:p>
      <w:pPr>
        <w:spacing w:before="0" w:after="0" w:line="580" w:lineRule="exact"/>
        <w:rPr>
          <w:rFonts w:hint="eastAsia" w:ascii="黑体" w:hAnsi="黑体" w:eastAsia="黑体"/>
          <w:bCs/>
          <w:sz w:val="32"/>
          <w:szCs w:val="32"/>
        </w:rPr>
      </w:pPr>
    </w:p>
    <w:p>
      <w:pPr>
        <w:spacing w:before="0" w:after="0" w:line="580" w:lineRule="exact"/>
        <w:rPr>
          <w:rFonts w:hint="eastAsia" w:ascii="黑体" w:hAnsi="黑体" w:eastAsia="黑体"/>
          <w:bCs/>
          <w:sz w:val="32"/>
          <w:szCs w:val="32"/>
        </w:rPr>
      </w:pPr>
    </w:p>
    <w:p>
      <w:pPr>
        <w:spacing w:before="0" w:after="0" w:line="580" w:lineRule="exact"/>
        <w:rPr>
          <w:rFonts w:hint="eastAsia" w:ascii="黑体" w:hAnsi="黑体" w:eastAsia="黑体"/>
          <w:bCs/>
          <w:sz w:val="32"/>
          <w:szCs w:val="32"/>
        </w:rPr>
      </w:pPr>
    </w:p>
    <w:p>
      <w:pPr>
        <w:spacing w:before="0" w:after="0" w:line="580" w:lineRule="exact"/>
        <w:rPr>
          <w:rFonts w:hint="eastAsia" w:ascii="黑体" w:hAnsi="黑体" w:eastAsia="黑体"/>
          <w:bCs/>
          <w:sz w:val="32"/>
          <w:szCs w:val="32"/>
        </w:rPr>
      </w:pPr>
    </w:p>
    <w:p>
      <w:pPr>
        <w:spacing w:before="0" w:after="0" w:line="580" w:lineRule="exact"/>
        <w:rPr>
          <w:rFonts w:hint="eastAsia" w:ascii="黑体" w:hAnsi="黑体" w:eastAsia="黑体"/>
          <w:bCs/>
          <w:sz w:val="32"/>
          <w:szCs w:val="32"/>
        </w:rPr>
      </w:pPr>
    </w:p>
    <w:p>
      <w:pPr>
        <w:spacing w:before="0" w:after="0" w:line="580" w:lineRule="exact"/>
        <w:rPr>
          <w:rFonts w:hint="eastAsia" w:ascii="黑体" w:hAnsi="黑体" w:eastAsia="黑体"/>
          <w:bCs/>
          <w:sz w:val="32"/>
          <w:szCs w:val="32"/>
        </w:rPr>
      </w:pPr>
    </w:p>
    <w:p>
      <w:pPr>
        <w:spacing w:before="0" w:after="0" w:line="580" w:lineRule="exact"/>
        <w:rPr>
          <w:rFonts w:hint="eastAsia" w:ascii="黑体" w:hAnsi="黑体" w:eastAsia="黑体"/>
          <w:bCs/>
          <w:sz w:val="32"/>
          <w:szCs w:val="32"/>
        </w:rPr>
      </w:pPr>
    </w:p>
    <w:p>
      <w:pPr>
        <w:spacing w:before="0" w:after="0" w:line="580" w:lineRule="exact"/>
        <w:rPr>
          <w:rFonts w:hint="eastAsia" w:ascii="黑体" w:hAnsi="黑体" w:eastAsia="黑体"/>
          <w:bCs/>
          <w:sz w:val="32"/>
          <w:szCs w:val="32"/>
        </w:rPr>
      </w:pPr>
    </w:p>
    <w:p>
      <w:pPr>
        <w:spacing w:before="0" w:after="0" w:line="580" w:lineRule="exact"/>
        <w:rPr>
          <w:rFonts w:hint="eastAsia" w:ascii="黑体" w:hAnsi="黑体" w:eastAsia="黑体"/>
          <w:bCs/>
          <w:sz w:val="32"/>
          <w:szCs w:val="32"/>
        </w:rPr>
      </w:pPr>
    </w:p>
    <w:p>
      <w:pPr>
        <w:spacing w:before="0" w:after="0" w:line="580" w:lineRule="exact"/>
        <w:rPr>
          <w:rFonts w:hint="eastAsia" w:ascii="黑体" w:hAnsi="黑体" w:eastAsia="黑体"/>
          <w:bCs/>
          <w:sz w:val="32"/>
          <w:szCs w:val="32"/>
        </w:rPr>
      </w:pPr>
    </w:p>
    <w:p>
      <w:pPr>
        <w:spacing w:before="0" w:after="0" w:line="580" w:lineRule="exact"/>
        <w:rPr>
          <w:rFonts w:hint="eastAsia" w:ascii="黑体" w:hAnsi="黑体" w:eastAsia="黑体"/>
          <w:bCs/>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decimal"/>
      <w:lvlText w:val="%1."/>
      <w:lvlJc w:val="left"/>
      <w:pPr>
        <w:tabs>
          <w:tab w:val="left" w:pos="312"/>
        </w:tabs>
      </w:pPr>
    </w:lvl>
  </w:abstractNum>
  <w:abstractNum w:abstractNumId="1">
    <w:nsid w:val="3A271A65"/>
    <w:multiLevelType w:val="singleLevel"/>
    <w:tmpl w:val="3A271A65"/>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762DD2"/>
    <w:rsid w:val="076E28A3"/>
    <w:rsid w:val="52D771E4"/>
    <w:rsid w:val="73762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3056</Words>
  <Characters>3378</Characters>
  <Lines>0</Lines>
  <Paragraphs>0</Paragraphs>
  <TotalTime>1</TotalTime>
  <ScaleCrop>false</ScaleCrop>
  <LinksUpToDate>false</LinksUpToDate>
  <CharactersWithSpaces>3805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2026-03-31T04:43:00Z</dcterms:created>
  <dc:creator>火龙果</dc:creator>
  <cp:lastModifiedBy>NTKO</cp:lastModifiedBy>
  <dcterms:modified xsi:type="dcterms:W3CDTF">2026-04-03T02:26:29Z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9607D2FD16CA45AB866BD4D2DC94568B_11</vt:lpwstr>
  </property>
  <property fmtid="{D5CDD505-2E9C-101B-9397-08002B2CF9AE}" pid="4" name="KSOTemplateDocerSaveRecord">
    <vt:lpwstr>eyJoZGlkIjoiZmJlMTJhOWEzYWNiMDBlY2ZmNmViNzJjOTY2YWMyYWQiLCJ1c2VySWQiOiI2NDYzMTI5NTIifQ==</vt:lpwstr>
  </property>
</Properties>
</file>