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 w:cs="Times New Roman"/>
          <w:b/>
          <w:sz w:val="48"/>
          <w:szCs w:val="48"/>
        </w:rPr>
      </w:pPr>
      <w:r>
        <w:rPr>
          <w:rFonts w:hint="eastAsia" w:ascii="Times New Roman" w:hAnsi="Times New Roman" w:eastAsia="黑体" w:cs="Times New Roman"/>
          <w:b/>
          <w:sz w:val="48"/>
          <w:szCs w:val="48"/>
        </w:rPr>
        <w:t>深圳市公共住房信息平台项目</w:t>
      </w:r>
    </w:p>
    <w:p>
      <w:pPr>
        <w:pStyle w:val="2"/>
        <w:jc w:val="center"/>
      </w:pPr>
      <w:bookmarkStart w:id="0" w:name="_Toc48557366"/>
      <w:r>
        <w:rPr>
          <w:rFonts w:hint="eastAsia"/>
        </w:rPr>
        <w:t>深圳市人才住房定向配租手册</w:t>
      </w:r>
      <w:bookmarkEnd w:id="0"/>
    </w:p>
    <w:p>
      <w:pPr>
        <w:jc w:val="center"/>
      </w:pPr>
    </w:p>
    <w:p>
      <w:pPr>
        <w:jc w:val="center"/>
      </w:pPr>
      <w:bookmarkStart w:id="28" w:name="_GoBack"/>
      <w:bookmarkEnd w:id="28"/>
    </w:p>
    <w:p>
      <w:pPr>
        <w:jc w:val="center"/>
      </w:pPr>
    </w:p>
    <w:p>
      <w:pPr>
        <w:pStyle w:val="4"/>
        <w:numPr>
          <w:ilvl w:val="0"/>
          <w:numId w:val="0"/>
        </w:numPr>
        <w:ind w:leftChars="0"/>
      </w:pPr>
      <w:bookmarkStart w:id="1" w:name="_Toc48557375"/>
      <w:r>
        <w:rPr>
          <w:rFonts w:hint="eastAsia"/>
          <w:lang w:val="en-US" w:eastAsia="zh-CN"/>
        </w:rPr>
        <w:t>1.1.1</w:t>
      </w:r>
      <w:r>
        <w:rPr>
          <w:rFonts w:hint="eastAsia"/>
        </w:rPr>
        <w:t>企业门户签约入住申报（外网）：</w:t>
      </w:r>
      <w:bookmarkEnd w:id="1"/>
    </w:p>
    <w:p>
      <w:r>
        <w:rPr>
          <w:rFonts w:hint="eastAsia"/>
          <w:b/>
          <w:bCs/>
        </w:rPr>
        <w:t>企业门户地址：</w:t>
      </w:r>
      <w:r>
        <w:rPr>
          <w:rFonts w:hint="eastAsia"/>
        </w:rPr>
        <w:t>https://zjj.sz.gov.cn/zfxx/ggfw/enterprise.html</w:t>
      </w:r>
    </w:p>
    <w:p/>
    <w:p>
      <w:pPr>
        <w:numPr>
          <w:ilvl w:val="0"/>
          <w:numId w:val="1"/>
        </w:numPr>
      </w:pPr>
      <w:r>
        <w:rPr>
          <w:rFonts w:hint="eastAsia"/>
        </w:rPr>
        <w:t>注册账户：选中法人登录，点击“立即注册”</w:t>
      </w:r>
    </w:p>
    <w:p>
      <w:r>
        <w:drawing>
          <wp:inline distT="0" distB="0" distL="0" distR="0">
            <wp:extent cx="5269865" cy="2378075"/>
            <wp:effectExtent l="0" t="0" r="6985" b="3175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填写注册信息，其中“</w:t>
      </w:r>
      <w:r>
        <w:rPr>
          <w:rFonts w:hint="eastAsia"/>
          <w:color w:val="FF0000"/>
        </w:rPr>
        <w:t>*</w:t>
      </w:r>
      <w:r>
        <w:rPr>
          <w:rFonts w:hint="eastAsia"/>
        </w:rPr>
        <w:t>”部分为必填项，扫描小程序二维码完成实名认证后，点击“下一步”</w:t>
      </w:r>
    </w:p>
    <w:p/>
    <w:p>
      <w:r>
        <w:drawing>
          <wp:inline distT="0" distB="0" distL="0" distR="0">
            <wp:extent cx="5273675" cy="2414270"/>
            <wp:effectExtent l="0" t="0" r="3175" b="508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3675" cy="2081530"/>
            <wp:effectExtent l="0" t="0" r="3175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rFonts w:hint="eastAsia"/>
        </w:rPr>
        <w:t>实名核验，可以选择“暂不核验”，点击后提示注册成功</w:t>
      </w:r>
    </w:p>
    <w:p/>
    <w:p>
      <w:r>
        <w:drawing>
          <wp:inline distT="0" distB="0" distL="0" distR="0">
            <wp:extent cx="5266055" cy="147193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9865" cy="2386330"/>
            <wp:effectExtent l="0" t="0" r="6985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69865" cy="1913255"/>
            <wp:effectExtent l="0" t="0" r="6985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numPr>
          <w:ilvl w:val="0"/>
          <w:numId w:val="1"/>
        </w:numPr>
      </w:pPr>
      <w:r>
        <w:rPr>
          <w:rFonts w:hint="eastAsia"/>
        </w:rPr>
        <w:t>添加经办人（住房专员）：</w:t>
      </w:r>
    </w:p>
    <w:p>
      <w:r>
        <w:rPr>
          <w:rFonts w:hint="eastAsia"/>
        </w:rPr>
        <w:t>根据注册的账户选择法人</w:t>
      </w:r>
      <w:r>
        <w:rPr>
          <w:rFonts w:hint="eastAsia"/>
          <w:lang w:eastAsia="zh-CN"/>
        </w:rPr>
        <w:t>登录</w:t>
      </w:r>
      <w:r>
        <w:rPr>
          <w:rFonts w:hint="eastAsia"/>
        </w:rPr>
        <w:t>进行登录。</w:t>
      </w:r>
    </w:p>
    <w:p/>
    <w:p>
      <w:r>
        <w:drawing>
          <wp:inline distT="0" distB="0" distL="0" distR="0">
            <wp:extent cx="5269865" cy="4916805"/>
            <wp:effectExtent l="0" t="0" r="6985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  <w:r>
        <w:rPr>
          <w:rFonts w:hint="eastAsia"/>
        </w:rPr>
        <w:t>选择我的经办人，点击“添加经办人”</w:t>
      </w:r>
    </w:p>
    <w:p/>
    <w:p>
      <w:r>
        <w:drawing>
          <wp:inline distT="0" distB="0" distL="0" distR="0">
            <wp:extent cx="5269865" cy="2310130"/>
            <wp:effectExtent l="0" t="0" r="6985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录入经办人名称、账户和授权时间后点击“立即添加”，提示申请成功后，由经办人去操作</w:t>
      </w:r>
    </w:p>
    <w:p>
      <w:pPr>
        <w:rPr>
          <w:rFonts w:eastAsia="宋体"/>
        </w:rPr>
      </w:pPr>
      <w:r>
        <w:rPr>
          <w:rFonts w:hint="eastAsia"/>
        </w:rPr>
        <w:t>完成绑定。</w:t>
      </w:r>
    </w:p>
    <w:p>
      <w:r>
        <w:drawing>
          <wp:inline distT="0" distB="0" distL="0" distR="0">
            <wp:extent cx="5269865" cy="3020060"/>
            <wp:effectExtent l="0" t="0" r="6985" b="889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9865" cy="3396615"/>
            <wp:effectExtent l="0" t="0" r="6985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rPr>
          <w:rFonts w:eastAsia="宋体"/>
        </w:rPr>
      </w:pPr>
      <w:r>
        <w:rPr>
          <w:rFonts w:hint="eastAsia"/>
        </w:rPr>
        <w:t>经办人登录后，选择“我经办的法人”，在操作栏中点击“绑定”</w:t>
      </w:r>
    </w:p>
    <w:p>
      <w:r>
        <w:drawing>
          <wp:inline distT="0" distB="0" distL="0" distR="0">
            <wp:extent cx="5261610" cy="2398395"/>
            <wp:effectExtent l="0" t="0" r="0" b="1905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  <w:lang w:eastAsia="zh-CN"/>
        </w:rPr>
        <w:t>绑定完成，</w:t>
      </w:r>
      <w:r>
        <w:rPr>
          <w:rFonts w:hint="eastAsia"/>
          <w:b/>
          <w:bCs/>
        </w:rPr>
        <w:t>关掉浏览器重新打开再进入https://zjj.sz.gov.cn/zfxx/ggfw/enterprise.html</w:t>
      </w:r>
    </w:p>
    <w:p>
      <w:pPr>
        <w:numPr>
          <w:ilvl w:val="0"/>
          <w:numId w:val="1"/>
        </w:numPr>
      </w:pPr>
      <w:r>
        <w:rPr>
          <w:rFonts w:hint="eastAsia"/>
        </w:rPr>
        <w:t>签约入住申报：经办人登录后选中经办企业，弹出提示框后点击“确定”</w:t>
      </w:r>
    </w:p>
    <w:p>
      <w:r>
        <w:drawing>
          <wp:inline distT="0" distB="0" distL="0" distR="0">
            <wp:extent cx="5261610" cy="2670810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668520" cy="2181860"/>
            <wp:effectExtent l="0" t="0" r="0" b="889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</w:pPr>
      <w:r>
        <w:rPr>
          <w:rFonts w:hint="eastAsia"/>
        </w:rPr>
        <w:t>签约入住申报：</w:t>
      </w:r>
    </w:p>
    <w:p>
      <w:r>
        <w:rPr>
          <w:rFonts w:hint="eastAsia"/>
        </w:rPr>
        <w:t>点击“签约入住申报”</w:t>
      </w:r>
    </w:p>
    <w:p/>
    <w:p>
      <w:r>
        <w:drawing>
          <wp:inline distT="0" distB="0" distL="0" distR="0">
            <wp:extent cx="5273675" cy="1584325"/>
            <wp:effectExtent l="0" t="0" r="3175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点击“入住申报”操作按钮，进入入住申报浏览页面。</w:t>
      </w:r>
    </w:p>
    <w:p>
      <w:r>
        <w:drawing>
          <wp:inline distT="0" distB="0" distL="0" distR="0">
            <wp:extent cx="5266055" cy="2041525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在入住申报页面点击“新增入住人”操作按钮，进入入住人填写页面。</w:t>
      </w:r>
    </w:p>
    <w:p>
      <w:r>
        <w:drawing>
          <wp:inline distT="0" distB="0" distL="0" distR="0">
            <wp:extent cx="5266055" cy="2205990"/>
            <wp:effectExtent l="0" t="0" r="0" b="381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在入住人填写页面，填写相关信息，其中标了“</w:t>
      </w:r>
      <w:r>
        <w:rPr>
          <w:rFonts w:hint="eastAsia"/>
          <w:color w:val="FF0000"/>
        </w:rPr>
        <w:t>*</w:t>
      </w:r>
      <w:r>
        <w:rPr>
          <w:rFonts w:hint="eastAsia"/>
        </w:rPr>
        <w:t>”必填项，婚姻状况中若选择了已婚则必须填写配偶信息。填写完成后点击“确定”返回入住备案浏览页面，点击“确定”按钮返回入住申报列表页面进行提交操作。</w:t>
      </w:r>
    </w:p>
    <w:p>
      <w:r>
        <w:drawing>
          <wp:inline distT="0" distB="0" distL="0" distR="0">
            <wp:extent cx="5266055" cy="2261870"/>
            <wp:effectExtent l="0" t="0" r="0" b="508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9865" cy="2338070"/>
            <wp:effectExtent l="0" t="0" r="6985" b="508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</w:pPr>
      <w:r>
        <w:rPr>
          <w:rFonts w:hint="eastAsia"/>
        </w:rPr>
        <w:t>提交审核：申报入住人后，在入住申报列表页面点击“下一步”操作按钮，进入提交房源确认页面。</w:t>
      </w:r>
    </w:p>
    <w:p>
      <w:r>
        <w:drawing>
          <wp:inline distT="0" distB="0" distL="0" distR="0">
            <wp:extent cx="5269865" cy="2109470"/>
            <wp:effectExtent l="0" t="0" r="6985" b="508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在操作栏中点击了“暂不提交”的记录，会标记红色。点击“确认提交”操作按钮，暂不提交的记录不会被提交，弹出确定提示后点击“确定”</w:t>
      </w:r>
    </w:p>
    <w:p>
      <w:r>
        <w:drawing>
          <wp:inline distT="0" distB="0" distL="0" distR="0">
            <wp:extent cx="5266055" cy="141160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9865" cy="1764665"/>
            <wp:effectExtent l="0" t="0" r="6985" b="6985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进入申报记录页面，可以查看审核中、审核通过、审核不通过的记录。</w:t>
      </w:r>
    </w:p>
    <w:p>
      <w:r>
        <w:drawing>
          <wp:inline distT="0" distB="0" distL="0" distR="0">
            <wp:extent cx="5269865" cy="1351280"/>
            <wp:effectExtent l="0" t="0" r="6985" b="127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*审核通过提交后，进入单位入住申报登记完成签约流程。</w:t>
      </w:r>
    </w:p>
    <w:p>
      <w:pPr>
        <w:pStyle w:val="4"/>
        <w:numPr>
          <w:ilvl w:val="2"/>
          <w:numId w:val="2"/>
        </w:numPr>
      </w:pPr>
      <w:bookmarkStart w:id="2" w:name="_Toc48557377"/>
      <w:r>
        <w:rPr>
          <w:rFonts w:hint="eastAsia"/>
        </w:rPr>
        <w:t>企业门户租后入住申报（外网）：</w:t>
      </w:r>
      <w:bookmarkEnd w:id="2"/>
    </w:p>
    <w:p>
      <w:r>
        <w:rPr>
          <w:rFonts w:hint="eastAsia"/>
          <w:b/>
          <w:bCs/>
        </w:rPr>
        <w:t>企业门户地址：</w:t>
      </w:r>
      <w:r>
        <w:rPr>
          <w:rFonts w:hint="eastAsia"/>
        </w:rPr>
        <w:t>https://zjj.sz.gov.cn/zfxx/ggfw/enterprise.html</w:t>
      </w:r>
    </w:p>
    <w:p/>
    <w:p>
      <w:pPr>
        <w:numPr>
          <w:ilvl w:val="0"/>
          <w:numId w:val="3"/>
        </w:numPr>
      </w:pPr>
      <w:r>
        <w:rPr>
          <w:rFonts w:hint="eastAsia"/>
        </w:rPr>
        <w:t>外网变更新增入住人：</w:t>
      </w:r>
    </w:p>
    <w:p>
      <w:pPr>
        <w:rPr>
          <w:rFonts w:eastAsia="宋体"/>
        </w:rPr>
      </w:pPr>
      <w:r>
        <w:rPr>
          <w:rFonts w:hint="eastAsia"/>
        </w:rPr>
        <w:t>专员登录广东政务网，选择企业身份进入后，点击“签约入住申报”。</w:t>
      </w:r>
    </w:p>
    <w:p>
      <w:r>
        <w:drawing>
          <wp:inline distT="0" distB="0" distL="0" distR="0">
            <wp:extent cx="5263515" cy="1725295"/>
            <wp:effectExtent l="0" t="0" r="0" b="8255"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  <w:r>
        <w:rPr>
          <w:rFonts w:hint="eastAsia"/>
        </w:rPr>
        <w:t>点击“变更入住人”可以变更已申报入住人的房源进行变更，点击“入住申报”可以对未申报入住人的房源新增入住人。</w:t>
      </w:r>
    </w:p>
    <w:p/>
    <w:p>
      <w:r>
        <w:drawing>
          <wp:inline distT="0" distB="0" distL="0" distR="0">
            <wp:extent cx="5274310" cy="2063115"/>
            <wp:effectExtent l="0" t="0" r="2540" b="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3515" cy="2427605"/>
            <wp:effectExtent l="0" t="0" r="0" b="0"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</w:pPr>
      <w:r>
        <w:rPr>
          <w:rFonts w:hint="eastAsia"/>
        </w:rPr>
        <w:t>空置报备：</w:t>
      </w:r>
    </w:p>
    <w:p>
      <w:r>
        <w:rPr>
          <w:rFonts w:hint="eastAsia"/>
        </w:rPr>
        <w:t>在房源列表页点击“空置报备”，选择截止日期、录入未入住申报说明、上传附件后点击“保存”</w:t>
      </w:r>
    </w:p>
    <w:p>
      <w:r>
        <w:drawing>
          <wp:inline distT="0" distB="0" distL="0" distR="0">
            <wp:extent cx="5268595" cy="2307590"/>
            <wp:effectExtent l="0" t="0" r="8255" b="0"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8595" cy="2427605"/>
            <wp:effectExtent l="0" t="0" r="8255" b="0"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</w:pPr>
      <w:r>
        <w:rPr>
          <w:rFonts w:hint="eastAsia"/>
        </w:rPr>
        <w:t>提交审核：</w:t>
      </w:r>
    </w:p>
    <w:p>
      <w:r>
        <w:rPr>
          <w:rFonts w:hint="eastAsia"/>
        </w:rPr>
        <w:t>在房源列表页中，点击下一步，进入提交房源确认页面，可以将申报了入住人或进行了空置报备的房源提交审核。</w:t>
      </w:r>
    </w:p>
    <w:p>
      <w:r>
        <w:drawing>
          <wp:inline distT="0" distB="0" distL="0" distR="0">
            <wp:extent cx="5268595" cy="2068195"/>
            <wp:effectExtent l="0" t="0" r="8255" b="8255"/>
            <wp:docPr id="464" name="图片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提交房源确认页中，在操作栏中点击了“暂不提交”的记录，会标记红色。点击“提交”操作按钮，暂不提交的记录不会被提交，弹出确定提示框后点击“确定”。</w:t>
      </w:r>
    </w:p>
    <w:p>
      <w:r>
        <w:drawing>
          <wp:inline distT="0" distB="0" distL="0" distR="0">
            <wp:extent cx="5268595" cy="1741805"/>
            <wp:effectExtent l="0" t="0" r="8255" b="0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rFonts w:hint="eastAsia"/>
        </w:rPr>
        <w:t>3.新增栋信息</w:t>
      </w:r>
    </w:p>
    <w:p>
      <w:pPr>
        <w:jc w:val="left"/>
      </w:pPr>
    </w:p>
    <w:p>
      <w:pPr>
        <w:jc w:val="left"/>
      </w:pPr>
      <w:r>
        <w:rPr>
          <w:rFonts w:hint="eastAsia"/>
        </w:rPr>
        <w:t>4.填写信息后点击保存</w:t>
      </w:r>
    </w:p>
    <w:p>
      <w:pPr>
        <w:pStyle w:val="3"/>
        <w:numPr>
          <w:ilvl w:val="1"/>
          <w:numId w:val="4"/>
        </w:numPr>
      </w:pPr>
      <w:bookmarkStart w:id="3" w:name="_录入单位信息"/>
      <w:bookmarkEnd w:id="3"/>
      <w:bookmarkStart w:id="4" w:name="_手动录入家庭信息"/>
      <w:bookmarkEnd w:id="4"/>
      <w:bookmarkStart w:id="5" w:name="_手动选择房源"/>
      <w:bookmarkEnd w:id="5"/>
      <w:bookmarkStart w:id="6" w:name="_Toc48557410"/>
      <w:r>
        <w:rPr>
          <w:rFonts w:hint="eastAsia"/>
        </w:rPr>
        <w:t>单位信息（外网）</w:t>
      </w:r>
      <w:bookmarkEnd w:id="6"/>
    </w:p>
    <w:p>
      <w:r>
        <w:rPr>
          <w:rFonts w:hint="eastAsia"/>
        </w:rPr>
        <w:t>点击“单位信息”图标按钮进入单位信息页面，可以查看单位基本信息和单位专员信息</w:t>
      </w:r>
    </w:p>
    <w:p>
      <w:r>
        <w:drawing>
          <wp:inline distT="0" distB="0" distL="0" distR="0">
            <wp:extent cx="5273675" cy="2282190"/>
            <wp:effectExtent l="0" t="0" r="3175" b="381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6055" cy="2715260"/>
            <wp:effectExtent l="0" t="0" r="0" b="889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4"/>
        </w:numPr>
      </w:pPr>
      <w:bookmarkStart w:id="7" w:name="_Toc48557411"/>
      <w:r>
        <w:rPr>
          <w:rFonts w:hint="eastAsia"/>
        </w:rPr>
        <w:t>承租房源信息（外网）</w:t>
      </w:r>
      <w:bookmarkEnd w:id="7"/>
    </w:p>
    <w:p>
      <w:r>
        <w:rPr>
          <w:rFonts w:hint="eastAsia"/>
        </w:rPr>
        <w:t>点击“承租房源信息”图标按钮进入承租房源信息页面，可以根据房屋位置、入住人、入住状态、户型等查询条件查询相关的房源信息记录，点击操作栏中“查看”操作按钮，可以查看该房源的入住申报信息。</w:t>
      </w:r>
    </w:p>
    <w:p>
      <w:r>
        <w:drawing>
          <wp:inline distT="0" distB="0" distL="0" distR="0">
            <wp:extent cx="5269865" cy="2530475"/>
            <wp:effectExtent l="0" t="0" r="6985" b="3175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6055" cy="1576070"/>
            <wp:effectExtent l="0" t="0" r="0" b="508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9865" cy="1880870"/>
            <wp:effectExtent l="0" t="0" r="6985" b="508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29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4"/>
        </w:numPr>
      </w:pPr>
      <w:bookmarkStart w:id="8" w:name="_Toc48557412"/>
      <w:r>
        <w:rPr>
          <w:rFonts w:hint="eastAsia"/>
        </w:rPr>
        <w:t>承租合同信息（外网）</w:t>
      </w:r>
      <w:bookmarkEnd w:id="8"/>
    </w:p>
    <w:p>
      <w:r>
        <w:rPr>
          <w:rFonts w:hint="eastAsia"/>
        </w:rPr>
        <w:t>点击“承租合同信息”图标按钮进入承租合同信息页面，可以根据合同编号、入住人和房屋位置查询条件查询相关合同信息。</w:t>
      </w:r>
    </w:p>
    <w:p>
      <w:r>
        <w:drawing>
          <wp:inline distT="0" distB="0" distL="0" distR="0">
            <wp:extent cx="5269865" cy="2402205"/>
            <wp:effectExtent l="0" t="0" r="6985" b="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2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点击操作栏中“查看详情”操作按钮可以进入合同信息详情页面查看签约信息和房源信息。</w:t>
      </w:r>
      <w:r>
        <w:drawing>
          <wp:inline distT="0" distB="0" distL="0" distR="0">
            <wp:extent cx="5273675" cy="1475740"/>
            <wp:effectExtent l="0" t="0" r="3175" b="0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  <w:r>
        <w:rPr>
          <w:rFonts w:hint="eastAsia"/>
        </w:rPr>
        <w:t>点击签约房源信息操作栏中“查看”操作按钮进入房源详情查看页面，可以查看该房源入住信息</w:t>
      </w:r>
    </w:p>
    <w:p>
      <w:r>
        <w:drawing>
          <wp:inline distT="0" distB="0" distL="0" distR="0">
            <wp:extent cx="5269865" cy="2538730"/>
            <wp:effectExtent l="0" t="0" r="6985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9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6055" cy="1920875"/>
            <wp:effectExtent l="0" t="0" r="0" b="3175"/>
            <wp:docPr id="293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4"/>
        </w:numPr>
      </w:pPr>
      <w:bookmarkStart w:id="9" w:name="_Toc48557413"/>
      <w:r>
        <w:rPr>
          <w:rFonts w:hint="eastAsia"/>
        </w:rPr>
        <w:t>签约入住备案（外网）</w:t>
      </w:r>
      <w:bookmarkEnd w:id="9"/>
    </w:p>
    <w:p>
      <w:pPr>
        <w:pStyle w:val="4"/>
        <w:numPr>
          <w:ilvl w:val="2"/>
          <w:numId w:val="4"/>
        </w:numPr>
      </w:pPr>
      <w:bookmarkStart w:id="10" w:name="_Toc48557414"/>
      <w:r>
        <w:rPr>
          <w:rFonts w:hint="eastAsia"/>
        </w:rPr>
        <w:t>入住申报录入入住人</w:t>
      </w:r>
      <w:bookmarkEnd w:id="10"/>
    </w:p>
    <w:p>
      <w:r>
        <w:rPr>
          <w:rFonts w:hint="eastAsia"/>
        </w:rPr>
        <w:t>1.进入签约入住备案申报页面，可以根据房屋位置、户型、入住状态和申报状态查询条件查询相关数据，点击“入住申报”操作按钮，进入入住申报浏览页面。</w:t>
      </w:r>
    </w:p>
    <w:p>
      <w:r>
        <w:drawing>
          <wp:inline distT="0" distB="0" distL="0" distR="0">
            <wp:extent cx="5269865" cy="2863215"/>
            <wp:effectExtent l="0" t="0" r="6985" b="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2.在入住申报页面点击“新增入住人”操作按钮，进入入住人填写页面。</w:t>
      </w:r>
    </w:p>
    <w:p>
      <w:r>
        <w:drawing>
          <wp:inline distT="0" distB="0" distL="0" distR="0">
            <wp:extent cx="5273675" cy="2318385"/>
            <wp:effectExtent l="0" t="0" r="3175" b="5715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>
      <w:r>
        <w:rPr>
          <w:rFonts w:hint="eastAsia"/>
        </w:rPr>
        <w:t>3.在入住人填写页面，填写相关信息，其中标了红色星号为必填项，婚姻状况中若选择了已婚则必须填写配偶信息。填写完成后点击“确定”返回入住备案浏览页面，点击“确定”按钮返回入住申报列表页面进行提交操作。</w:t>
      </w:r>
    </w:p>
    <w:p>
      <w:r>
        <w:drawing>
          <wp:inline distT="0" distB="0" distL="0" distR="0">
            <wp:extent cx="5266055" cy="2839720"/>
            <wp:effectExtent l="0" t="0" r="0" b="0"/>
            <wp:docPr id="290" name="图片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9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9865" cy="2398395"/>
            <wp:effectExtent l="0" t="0" r="6985" b="1905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pStyle w:val="4"/>
        <w:numPr>
          <w:ilvl w:val="2"/>
          <w:numId w:val="4"/>
        </w:numPr>
      </w:pPr>
      <w:bookmarkStart w:id="11" w:name="_Toc48557415"/>
      <w:r>
        <w:rPr>
          <w:rFonts w:hint="eastAsia"/>
        </w:rPr>
        <w:t>提交审核</w:t>
      </w:r>
      <w:bookmarkEnd w:id="11"/>
    </w:p>
    <w:p/>
    <w:p/>
    <w:p/>
    <w:p>
      <w:pPr>
        <w:numPr>
          <w:ilvl w:val="0"/>
          <w:numId w:val="5"/>
        </w:numPr>
      </w:pPr>
      <w:r>
        <w:rPr>
          <w:rFonts w:hint="eastAsia"/>
        </w:rPr>
        <w:t>申报入住人后，在入住申报列表页面点击“下一步”操作按钮，进入提交房源确认页面。</w:t>
      </w:r>
    </w:p>
    <w:p>
      <w:r>
        <w:drawing>
          <wp:inline distT="0" distB="0" distL="0" distR="0">
            <wp:extent cx="5266055" cy="2245995"/>
            <wp:effectExtent l="0" t="0" r="0" b="1905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在提交房源确认页面，在操作栏中点击了“暂不提交”的记录，会标记红色。点击“确认提交”操作按钮，暂不提交的记录不会被提交，弹出确定提示后点击“确定”</w:t>
      </w:r>
    </w:p>
    <w:p>
      <w:r>
        <w:drawing>
          <wp:inline distT="0" distB="0" distL="0" distR="0">
            <wp:extent cx="5269865" cy="1824990"/>
            <wp:effectExtent l="0" t="0" r="6985" b="381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9865" cy="1768475"/>
            <wp:effectExtent l="0" t="0" r="6985" b="3175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4"/>
        <w:numPr>
          <w:ilvl w:val="2"/>
          <w:numId w:val="4"/>
        </w:numPr>
      </w:pPr>
      <w:bookmarkStart w:id="12" w:name="_Toc48557416"/>
      <w:r>
        <w:rPr>
          <w:rFonts w:hint="eastAsia"/>
        </w:rPr>
        <w:t>审核不通过</w:t>
      </w:r>
      <w:bookmarkEnd w:id="12"/>
    </w:p>
    <w:p>
      <w:pPr>
        <w:numPr>
          <w:ilvl w:val="0"/>
          <w:numId w:val="6"/>
        </w:numPr>
      </w:pPr>
      <w:r>
        <w:rPr>
          <w:rFonts w:hint="eastAsia"/>
        </w:rPr>
        <w:t>入住备案审核不通过的记录，会回到入住申报页面，点击操作栏中“不通过原因”可查看审批记录。</w:t>
      </w:r>
    </w:p>
    <w:p>
      <w:r>
        <w:drawing>
          <wp:inline distT="0" distB="0" distL="0" distR="0">
            <wp:extent cx="5269865" cy="2177415"/>
            <wp:effectExtent l="0" t="0" r="6985" b="0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3675" cy="1567815"/>
            <wp:effectExtent l="0" t="0" r="3175" b="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rPr>
          <w:rFonts w:hint="eastAsia"/>
        </w:rPr>
        <w:t>根据审批不通过的原因，点击“入住申报”修改入住人信息后重新提交。</w:t>
      </w:r>
    </w:p>
    <w:p/>
    <w:p/>
    <w:p/>
    <w:p/>
    <w:p/>
    <w:p/>
    <w:p/>
    <w:p/>
    <w:p/>
    <w:p/>
    <w:p/>
    <w:p/>
    <w:p/>
    <w:p/>
    <w:p/>
    <w:p/>
    <w:p/>
    <w:p>
      <w:pPr>
        <w:pStyle w:val="4"/>
        <w:numPr>
          <w:ilvl w:val="2"/>
          <w:numId w:val="4"/>
        </w:numPr>
      </w:pPr>
      <w:bookmarkStart w:id="13" w:name="_Toc48557417"/>
      <w:r>
        <w:rPr>
          <w:rFonts w:hint="eastAsia"/>
        </w:rPr>
        <w:t>申报记录</w:t>
      </w:r>
      <w:bookmarkEnd w:id="13"/>
    </w:p>
    <w:p>
      <w:pPr>
        <w:numPr>
          <w:ilvl w:val="0"/>
          <w:numId w:val="7"/>
        </w:numPr>
      </w:pPr>
      <w:r>
        <w:rPr>
          <w:rFonts w:hint="eastAsia"/>
        </w:rPr>
        <w:t>进入申报记录页面，可以查看审核中、审核通过、审核不通过的记录。根据批次号、房屋状态、申报时间、入住人等查询条件，找到相关申报记录后点击操作栏中“查看”操作按钮，可以查看该记录的入住申报信息。</w:t>
      </w:r>
    </w:p>
    <w:p/>
    <w:p>
      <w:r>
        <w:drawing>
          <wp:inline distT="0" distB="0" distL="0" distR="0">
            <wp:extent cx="5266055" cy="2983865"/>
            <wp:effectExtent l="0" t="0" r="0" b="6985"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28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4"/>
        </w:numPr>
      </w:pPr>
      <w:bookmarkStart w:id="14" w:name="_Toc48557418"/>
      <w:r>
        <w:rPr>
          <w:rFonts w:hint="eastAsia"/>
        </w:rPr>
        <w:t>租后入住备案（外网）</w:t>
      </w:r>
      <w:bookmarkEnd w:id="14"/>
    </w:p>
    <w:p>
      <w:pPr>
        <w:pStyle w:val="4"/>
        <w:numPr>
          <w:ilvl w:val="2"/>
          <w:numId w:val="4"/>
        </w:numPr>
      </w:pPr>
      <w:bookmarkStart w:id="15" w:name="_Toc48557419"/>
      <w:r>
        <w:rPr>
          <w:rFonts w:hint="eastAsia"/>
        </w:rPr>
        <w:t>入住申报</w:t>
      </w:r>
      <w:bookmarkEnd w:id="15"/>
    </w:p>
    <w:p>
      <w:pPr>
        <w:numPr>
          <w:ilvl w:val="0"/>
          <w:numId w:val="8"/>
        </w:numPr>
      </w:pPr>
      <w:r>
        <w:rPr>
          <w:rFonts w:hint="eastAsia"/>
        </w:rPr>
        <w:t>进入租后入住备案-房源列表页面，可以根据房屋位置、户型、入住状态、申报状态查询条件查询相关房源信息，点击操作栏中“入住申报”，进入该房源的入住申报页面。</w:t>
      </w:r>
    </w:p>
    <w:p>
      <w:r>
        <w:drawing>
          <wp:inline distT="0" distB="0" distL="0" distR="0">
            <wp:extent cx="5266055" cy="3124200"/>
            <wp:effectExtent l="0" t="0" r="0" b="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</w:pPr>
      <w:r>
        <w:rPr>
          <w:rFonts w:hint="eastAsia"/>
        </w:rPr>
        <w:t>在申报页面点击“新增”操作按钮添加家庭，进入入住人信息后填写相关信息，其中标了红色星号为必填项，婚姻状况中若选择了已婚则必须填写配偶信息。填写完成后点击“确定”返回申报浏览页面。</w:t>
      </w:r>
    </w:p>
    <w:p>
      <w:r>
        <w:drawing>
          <wp:inline distT="0" distB="0" distL="0" distR="0">
            <wp:extent cx="5273675" cy="2534920"/>
            <wp:effectExtent l="0" t="0" r="3175" b="0"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6055" cy="1816735"/>
            <wp:effectExtent l="0" t="0" r="0" b="0"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6055" cy="3011805"/>
            <wp:effectExtent l="0" t="0" r="0" b="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4"/>
        </w:numPr>
      </w:pPr>
      <w:bookmarkStart w:id="16" w:name="_Toc48557420"/>
      <w:r>
        <w:rPr>
          <w:rFonts w:hint="eastAsia"/>
        </w:rPr>
        <w:t>空置报备</w:t>
      </w:r>
      <w:bookmarkEnd w:id="16"/>
    </w:p>
    <w:p>
      <w:pPr>
        <w:numPr>
          <w:ilvl w:val="0"/>
          <w:numId w:val="9"/>
        </w:numPr>
      </w:pPr>
      <w:r>
        <w:rPr>
          <w:rFonts w:hint="eastAsia"/>
        </w:rPr>
        <w:t>在房源列表页查询到相关信息后，在操作栏中点击“空置报备”。</w:t>
      </w:r>
    </w:p>
    <w:p>
      <w:r>
        <w:drawing>
          <wp:inline distT="0" distB="0" distL="0" distR="0">
            <wp:extent cx="5269865" cy="2065655"/>
            <wp:effectExtent l="0" t="0" r="6985" b="0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7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9"/>
        </w:numPr>
      </w:pPr>
      <w:r>
        <w:rPr>
          <w:rFonts w:hint="eastAsia"/>
        </w:rPr>
        <w:t>弹出空置报备说明框后，选择截止日期、录入未入住申报说明、上传附件后点击“保存”操作按钮，返回房源列表页面。</w:t>
      </w:r>
    </w:p>
    <w:p>
      <w:r>
        <w:drawing>
          <wp:inline distT="0" distB="0" distL="0" distR="0">
            <wp:extent cx="5269865" cy="2366010"/>
            <wp:effectExtent l="0" t="0" r="6985" b="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2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</w:pPr>
      <w:r>
        <w:rPr>
          <w:rFonts w:hint="eastAsia"/>
        </w:rPr>
        <w:t>在房源列表页面，可以将入住状态为“暂时空置”的房源取消空置报备，点击操作栏中“取消空置”操作按钮对该房源进行取消空置操作。</w:t>
      </w:r>
    </w:p>
    <w:p>
      <w:r>
        <w:drawing>
          <wp:inline distT="0" distB="0" distL="0" distR="0">
            <wp:extent cx="5266055" cy="2454275"/>
            <wp:effectExtent l="0" t="0" r="0" b="3175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27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2"/>
          <w:numId w:val="4"/>
        </w:numPr>
      </w:pPr>
      <w:bookmarkStart w:id="17" w:name="_Toc48557421"/>
      <w:r>
        <w:rPr>
          <w:rFonts w:hint="eastAsia"/>
        </w:rPr>
        <w:t>提交审核</w:t>
      </w:r>
      <w:bookmarkEnd w:id="17"/>
    </w:p>
    <w:p>
      <w:pPr>
        <w:numPr>
          <w:ilvl w:val="0"/>
          <w:numId w:val="10"/>
        </w:numPr>
      </w:pPr>
      <w:r>
        <w:rPr>
          <w:rFonts w:hint="eastAsia"/>
        </w:rPr>
        <w:t>在房源列表页中，点击下一步，进入提交房源确认页面，可以将申报了入住人或进行了空置报备的房源提交审核。</w:t>
      </w:r>
    </w:p>
    <w:p>
      <w:r>
        <w:drawing>
          <wp:inline distT="0" distB="0" distL="0" distR="0">
            <wp:extent cx="5269865" cy="3208655"/>
            <wp:effectExtent l="0" t="0" r="6985" b="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</w:pPr>
      <w:r>
        <w:rPr>
          <w:rFonts w:hint="eastAsia"/>
        </w:rPr>
        <w:t>提交房源确认页中，在操作栏中点击了“暂不提交”的记录，会标记红色。点击“提交”操作按钮，暂不提交的记录不会被提交，弹出确定提示框后点击“确定”。</w:t>
      </w:r>
    </w:p>
    <w:p>
      <w:r>
        <w:drawing>
          <wp:inline distT="0" distB="0" distL="0" distR="0">
            <wp:extent cx="5269865" cy="2273935"/>
            <wp:effectExtent l="0" t="0" r="6985" b="0"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944745" cy="2021205"/>
            <wp:effectExtent l="0" t="0" r="8255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474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pPr>
        <w:pStyle w:val="4"/>
        <w:numPr>
          <w:ilvl w:val="2"/>
          <w:numId w:val="4"/>
        </w:numPr>
      </w:pPr>
      <w:bookmarkStart w:id="18" w:name="_Toc48557422"/>
      <w:r>
        <w:rPr>
          <w:rFonts w:hint="eastAsia"/>
        </w:rPr>
        <w:t>审核退回</w:t>
      </w:r>
      <w:bookmarkEnd w:id="18"/>
    </w:p>
    <w:p>
      <w:pPr>
        <w:numPr>
          <w:ilvl w:val="0"/>
          <w:numId w:val="11"/>
        </w:numPr>
      </w:pPr>
      <w:r>
        <w:rPr>
          <w:rFonts w:hint="eastAsia"/>
        </w:rPr>
        <w:t>入住备案被退回的记录，可以回到房源列表页面，根据申报状态、房屋位置等查询条件找到被退回的记录，点击“审批记录”按钮，查看被退回的原因。</w:t>
      </w:r>
    </w:p>
    <w:p>
      <w:r>
        <w:drawing>
          <wp:inline distT="0" distB="0" distL="0" distR="0">
            <wp:extent cx="5269865" cy="2759075"/>
            <wp:effectExtent l="0" t="0" r="6985" b="3175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9865" cy="1087120"/>
            <wp:effectExtent l="0" t="0" r="6985" b="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1"/>
        </w:numPr>
      </w:pPr>
      <w:r>
        <w:rPr>
          <w:rFonts w:hint="eastAsia"/>
        </w:rPr>
        <w:t>退回件中，入住状态为“暂时空置”的，点击操作栏中“取消空置”按钮进行取消空置操作。</w:t>
      </w:r>
    </w:p>
    <w:p>
      <w:r>
        <w:drawing>
          <wp:inline distT="0" distB="0" distL="0" distR="0">
            <wp:extent cx="5269865" cy="1022985"/>
            <wp:effectExtent l="0" t="0" r="6985" b="5715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1"/>
        </w:numPr>
      </w:pPr>
      <w:r>
        <w:rPr>
          <w:rFonts w:hint="eastAsia"/>
        </w:rPr>
        <w:t>退回件中，入住状态为“已申报入住人”的，点击操作栏中“搬离报备”可以搬离该房源所有入住人，弹出提示框后点击“确定”按钮</w:t>
      </w:r>
    </w:p>
    <w:p>
      <w:r>
        <w:drawing>
          <wp:inline distT="0" distB="0" distL="0" distR="0">
            <wp:extent cx="5269865" cy="2386330"/>
            <wp:effectExtent l="0" t="0" r="6985" b="0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191000" cy="1371600"/>
            <wp:effectExtent l="0" t="0" r="0" b="0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26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点击确定后，在搬离报备页面填写截止日期、未入住申报说明、上传附件后点击“保存”操作按钮</w:t>
      </w:r>
    </w:p>
    <w:p>
      <w:r>
        <w:drawing>
          <wp:inline distT="0" distB="0" distL="0" distR="0">
            <wp:extent cx="5269865" cy="2642870"/>
            <wp:effectExtent l="0" t="0" r="6985" b="508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6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  <w:r>
        <w:rPr>
          <w:rFonts w:hint="eastAsia"/>
        </w:rPr>
        <w:t>保存后点击下一步进行提交审核操作</w:t>
      </w:r>
    </w:p>
    <w:p>
      <w:pPr>
        <w:numPr>
          <w:ilvl w:val="0"/>
          <w:numId w:val="11"/>
        </w:numPr>
      </w:pPr>
      <w:r>
        <w:rPr>
          <w:rFonts w:hint="eastAsia"/>
        </w:rPr>
        <w:t>退回件中，入住状态为“已申报入住人”的，点击操作栏中“变更入住”操作按钮，修改入住家庭信息，修改完成后，点击“返回”按钮回到房源列表页面，点击“下一步”进行提交审核操作。</w:t>
      </w:r>
    </w:p>
    <w:p>
      <w:r>
        <w:drawing>
          <wp:inline distT="0" distB="0" distL="0" distR="0">
            <wp:extent cx="5266055" cy="2418080"/>
            <wp:effectExtent l="0" t="0" r="0" b="127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3675" cy="3032125"/>
            <wp:effectExtent l="0" t="0" r="3175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2"/>
          <w:numId w:val="4"/>
        </w:numPr>
      </w:pPr>
      <w:bookmarkStart w:id="19" w:name="_Toc48557423"/>
      <w:r>
        <w:rPr>
          <w:rFonts w:hint="eastAsia"/>
        </w:rPr>
        <w:t>审核不通过</w:t>
      </w:r>
      <w:bookmarkEnd w:id="19"/>
    </w:p>
    <w:p>
      <w:pPr>
        <w:numPr>
          <w:ilvl w:val="0"/>
          <w:numId w:val="12"/>
        </w:numPr>
      </w:pPr>
      <w:r>
        <w:rPr>
          <w:rFonts w:hint="eastAsia"/>
        </w:rPr>
        <w:t>入住备案审批不通过的记录，可以回到房源列表页面，根据申报状态、房屋位置等查询条件找到审批不通过的记录，在操作栏中点击审批记录查看不通过原因。</w:t>
      </w:r>
    </w:p>
    <w:p>
      <w:r>
        <w:drawing>
          <wp:inline distT="0" distB="0" distL="0" distR="0">
            <wp:extent cx="5269865" cy="2787015"/>
            <wp:effectExtent l="0" t="0" r="6985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6055" cy="1122680"/>
            <wp:effectExtent l="0" t="0" r="0" b="127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根据审批说明修改入住备案信息后，在房源列表页面点击“下一步”进行提交审核操作。</w:t>
      </w:r>
    </w:p>
    <w:p>
      <w:pPr>
        <w:pStyle w:val="4"/>
        <w:numPr>
          <w:ilvl w:val="2"/>
          <w:numId w:val="4"/>
        </w:numPr>
      </w:pPr>
      <w:bookmarkStart w:id="20" w:name="_Toc48557424"/>
      <w:r>
        <w:rPr>
          <w:rFonts w:hint="eastAsia"/>
        </w:rPr>
        <w:t>申报记录</w:t>
      </w:r>
      <w:bookmarkEnd w:id="20"/>
    </w:p>
    <w:p>
      <w:pPr>
        <w:numPr>
          <w:ilvl w:val="0"/>
          <w:numId w:val="7"/>
        </w:numPr>
      </w:pPr>
      <w:r>
        <w:rPr>
          <w:rFonts w:hint="eastAsia"/>
        </w:rPr>
        <w:t>进入申报记录页面，可以查看审核中、审核通过、审核不通过的记录。根据批次号、房屋状态、申报时间、入住人等查询条件，找到相关申报记录后点击操作栏中“查看”操作按钮，可以查看该记录的房屋信息、入住家庭信息、未入住申报说明、业务办理过程和变更信息明细。</w:t>
      </w:r>
      <w:r>
        <w:rPr>
          <w:rFonts w:hint="eastAsia"/>
        </w:rPr>
        <w:tab/>
      </w:r>
    </w:p>
    <w:p>
      <w:r>
        <w:drawing>
          <wp:inline distT="0" distB="0" distL="0" distR="0">
            <wp:extent cx="5269865" cy="3260725"/>
            <wp:effectExtent l="0" t="0" r="6985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6055" cy="3461385"/>
            <wp:effectExtent l="0" t="0" r="0" b="5715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1" w:name="_房源信息录入"/>
      <w:bookmarkEnd w:id="21"/>
      <w:bookmarkStart w:id="22" w:name="_2.1新增人才房项目"/>
      <w:bookmarkEnd w:id="22"/>
      <w:bookmarkStart w:id="23" w:name="_5.4房屋价格管理"/>
      <w:bookmarkEnd w:id="23"/>
      <w:bookmarkStart w:id="24" w:name="_人才房录入（外网）"/>
      <w:bookmarkEnd w:id="24"/>
      <w:bookmarkStart w:id="25" w:name="_登陆外网"/>
      <w:bookmarkEnd w:id="25"/>
      <w:bookmarkStart w:id="26" w:name="_建设筹集（外网）"/>
      <w:bookmarkEnd w:id="26"/>
      <w:bookmarkStart w:id="27" w:name="_5.1房源信息录入"/>
      <w:bookmarkEnd w:id="27"/>
    </w:p>
    <w:p/>
    <w:p/>
    <w:p/>
    <w:p/>
    <w:p/>
    <w:p/>
    <w:p/>
    <w:p/>
    <w:p/>
    <w:p>
      <w:pPr>
        <w:rPr>
          <w:rFonts w:hint="eastAsia"/>
        </w:rPr>
      </w:pPr>
      <w:r>
        <w:rPr>
          <w:rFonts w:hint="eastAsia"/>
        </w:rPr>
        <w:t>简洁注册流程：</w:t>
      </w:r>
    </w:p>
    <w:p>
      <w:pPr>
        <w:rPr>
          <w:rFonts w:hint="eastAsia"/>
        </w:rPr>
      </w:pPr>
      <w:r>
        <w:rPr>
          <w:rFonts w:hint="eastAsia"/>
        </w:rPr>
        <w:t>1、法人出册完成</w:t>
      </w:r>
    </w:p>
    <w:p>
      <w:pPr>
        <w:rPr>
          <w:rFonts w:hint="eastAsia"/>
        </w:rPr>
      </w:pPr>
      <w:r>
        <w:rPr>
          <w:rFonts w:hint="eastAsia"/>
        </w:rPr>
        <w:t>2、专办员注册完成</w:t>
      </w:r>
    </w:p>
    <w:p>
      <w:pPr>
        <w:rPr>
          <w:rFonts w:hint="eastAsia"/>
        </w:rPr>
      </w:pPr>
      <w:r>
        <w:rPr>
          <w:rFonts w:hint="eastAsia"/>
        </w:rPr>
        <w:t>3、用法人信息登录---界面右上角账号管理---我的经办人进行添加</w:t>
      </w:r>
    </w:p>
    <w:p>
      <w:pPr>
        <w:rPr>
          <w:rFonts w:hint="eastAsia"/>
        </w:rPr>
      </w:pPr>
      <w:r>
        <w:rPr>
          <w:rFonts w:hint="eastAsia"/>
        </w:rPr>
        <w:t>4、个人账号登录---界面右上角账号管理---我的经办人进行绑定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企业简称+姓名（真实中文）+联系方式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B7DE45"/>
    <w:multiLevelType w:val="singleLevel"/>
    <w:tmpl w:val="B2B7DE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B0C92FC"/>
    <w:multiLevelType w:val="singleLevel"/>
    <w:tmpl w:val="BB0C92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9F6EF0"/>
    <w:multiLevelType w:val="singleLevel"/>
    <w:tmpl w:val="E09F6E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8F56261"/>
    <w:multiLevelType w:val="multilevel"/>
    <w:tmpl w:val="08F56261"/>
    <w:lvl w:ilvl="0" w:tentative="0">
      <w:start w:val="1"/>
      <w:numFmt w:val="none"/>
      <w:lvlText w:val="2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2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0C724B78"/>
    <w:multiLevelType w:val="singleLevel"/>
    <w:tmpl w:val="0C724B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6DF5C39"/>
    <w:multiLevelType w:val="singleLevel"/>
    <w:tmpl w:val="26DF5C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430531B"/>
    <w:multiLevelType w:val="multilevel"/>
    <w:tmpl w:val="3430531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>
    <w:nsid w:val="3521E296"/>
    <w:multiLevelType w:val="singleLevel"/>
    <w:tmpl w:val="3521E2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50485A27"/>
    <w:multiLevelType w:val="singleLevel"/>
    <w:tmpl w:val="50485A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51F088B"/>
    <w:multiLevelType w:val="singleLevel"/>
    <w:tmpl w:val="551F08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5AC6DC79"/>
    <w:multiLevelType w:val="singleLevel"/>
    <w:tmpl w:val="5AC6DC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746E40F6"/>
    <w:multiLevelType w:val="singleLevel"/>
    <w:tmpl w:val="746E4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CE"/>
    <w:rsid w:val="000013DA"/>
    <w:rsid w:val="00005336"/>
    <w:rsid w:val="00010046"/>
    <w:rsid w:val="000120E0"/>
    <w:rsid w:val="00013D6F"/>
    <w:rsid w:val="00032CB0"/>
    <w:rsid w:val="00035AAF"/>
    <w:rsid w:val="00036466"/>
    <w:rsid w:val="0004337B"/>
    <w:rsid w:val="00044768"/>
    <w:rsid w:val="000518AD"/>
    <w:rsid w:val="0006374B"/>
    <w:rsid w:val="00064691"/>
    <w:rsid w:val="0006735C"/>
    <w:rsid w:val="00071730"/>
    <w:rsid w:val="00072503"/>
    <w:rsid w:val="00074AC4"/>
    <w:rsid w:val="00080858"/>
    <w:rsid w:val="000822A0"/>
    <w:rsid w:val="00084415"/>
    <w:rsid w:val="00090DF2"/>
    <w:rsid w:val="00094A9E"/>
    <w:rsid w:val="00097FE9"/>
    <w:rsid w:val="000A266A"/>
    <w:rsid w:val="000B1FB9"/>
    <w:rsid w:val="000B6B3B"/>
    <w:rsid w:val="000C51CB"/>
    <w:rsid w:val="000C61A6"/>
    <w:rsid w:val="000D28EC"/>
    <w:rsid w:val="000D4A97"/>
    <w:rsid w:val="000E10CB"/>
    <w:rsid w:val="000E64C0"/>
    <w:rsid w:val="000E6540"/>
    <w:rsid w:val="001010EC"/>
    <w:rsid w:val="00102B72"/>
    <w:rsid w:val="00110464"/>
    <w:rsid w:val="00111B31"/>
    <w:rsid w:val="001159D0"/>
    <w:rsid w:val="0012027F"/>
    <w:rsid w:val="001219D4"/>
    <w:rsid w:val="00121FF8"/>
    <w:rsid w:val="001255F8"/>
    <w:rsid w:val="00126B88"/>
    <w:rsid w:val="00130458"/>
    <w:rsid w:val="0013600A"/>
    <w:rsid w:val="001478A0"/>
    <w:rsid w:val="00150B10"/>
    <w:rsid w:val="00151846"/>
    <w:rsid w:val="001575F8"/>
    <w:rsid w:val="00167C8D"/>
    <w:rsid w:val="00170653"/>
    <w:rsid w:val="00172900"/>
    <w:rsid w:val="00174778"/>
    <w:rsid w:val="0017584A"/>
    <w:rsid w:val="00177BBD"/>
    <w:rsid w:val="00180F18"/>
    <w:rsid w:val="0018118B"/>
    <w:rsid w:val="001819CA"/>
    <w:rsid w:val="001916E4"/>
    <w:rsid w:val="00191C12"/>
    <w:rsid w:val="00194CC3"/>
    <w:rsid w:val="001A1133"/>
    <w:rsid w:val="001A47EE"/>
    <w:rsid w:val="001A571C"/>
    <w:rsid w:val="001A71CC"/>
    <w:rsid w:val="001A72AC"/>
    <w:rsid w:val="001B22B9"/>
    <w:rsid w:val="001B2C05"/>
    <w:rsid w:val="001B2EA8"/>
    <w:rsid w:val="001C1CA0"/>
    <w:rsid w:val="001C2A0C"/>
    <w:rsid w:val="001C5C92"/>
    <w:rsid w:val="001C6257"/>
    <w:rsid w:val="001C649B"/>
    <w:rsid w:val="001D3563"/>
    <w:rsid w:val="001E7FB4"/>
    <w:rsid w:val="001F13FB"/>
    <w:rsid w:val="001F205B"/>
    <w:rsid w:val="001F2788"/>
    <w:rsid w:val="001F5ABF"/>
    <w:rsid w:val="00203ED6"/>
    <w:rsid w:val="002057BD"/>
    <w:rsid w:val="00223AE6"/>
    <w:rsid w:val="002241AD"/>
    <w:rsid w:val="00227223"/>
    <w:rsid w:val="002309C6"/>
    <w:rsid w:val="0023540A"/>
    <w:rsid w:val="00243942"/>
    <w:rsid w:val="0024428A"/>
    <w:rsid w:val="00250B56"/>
    <w:rsid w:val="00252E5F"/>
    <w:rsid w:val="00260F12"/>
    <w:rsid w:val="00263138"/>
    <w:rsid w:val="002631AC"/>
    <w:rsid w:val="002670D2"/>
    <w:rsid w:val="002700CB"/>
    <w:rsid w:val="002712A7"/>
    <w:rsid w:val="00271D39"/>
    <w:rsid w:val="00271E11"/>
    <w:rsid w:val="00272E68"/>
    <w:rsid w:val="00286013"/>
    <w:rsid w:val="00295540"/>
    <w:rsid w:val="002964D6"/>
    <w:rsid w:val="002B0521"/>
    <w:rsid w:val="002B29F2"/>
    <w:rsid w:val="002C3D6F"/>
    <w:rsid w:val="002C46D8"/>
    <w:rsid w:val="002C4708"/>
    <w:rsid w:val="002C4C69"/>
    <w:rsid w:val="002C5F06"/>
    <w:rsid w:val="002D1637"/>
    <w:rsid w:val="002D55F7"/>
    <w:rsid w:val="002D60EC"/>
    <w:rsid w:val="002D6C01"/>
    <w:rsid w:val="002E09B4"/>
    <w:rsid w:val="002E3281"/>
    <w:rsid w:val="002E67D2"/>
    <w:rsid w:val="002F0980"/>
    <w:rsid w:val="002F2AC2"/>
    <w:rsid w:val="002F3BF4"/>
    <w:rsid w:val="002F5E46"/>
    <w:rsid w:val="002F785A"/>
    <w:rsid w:val="003008ED"/>
    <w:rsid w:val="00300FAF"/>
    <w:rsid w:val="00301AA0"/>
    <w:rsid w:val="00310D71"/>
    <w:rsid w:val="00310F1C"/>
    <w:rsid w:val="00311A7C"/>
    <w:rsid w:val="00315BDC"/>
    <w:rsid w:val="00317512"/>
    <w:rsid w:val="00320CC5"/>
    <w:rsid w:val="00326FA4"/>
    <w:rsid w:val="00332B68"/>
    <w:rsid w:val="00332F82"/>
    <w:rsid w:val="0033748D"/>
    <w:rsid w:val="00340D6A"/>
    <w:rsid w:val="00342F76"/>
    <w:rsid w:val="00351EF2"/>
    <w:rsid w:val="003539FF"/>
    <w:rsid w:val="0035685F"/>
    <w:rsid w:val="0036175B"/>
    <w:rsid w:val="003631B1"/>
    <w:rsid w:val="0036394E"/>
    <w:rsid w:val="00364ACB"/>
    <w:rsid w:val="0036520A"/>
    <w:rsid w:val="003679E0"/>
    <w:rsid w:val="0037404C"/>
    <w:rsid w:val="0037700C"/>
    <w:rsid w:val="00382B3F"/>
    <w:rsid w:val="00385E5A"/>
    <w:rsid w:val="003879E6"/>
    <w:rsid w:val="003A3420"/>
    <w:rsid w:val="003A62CE"/>
    <w:rsid w:val="003A7DEE"/>
    <w:rsid w:val="003C41C9"/>
    <w:rsid w:val="003D2EA8"/>
    <w:rsid w:val="003D496B"/>
    <w:rsid w:val="003E45A9"/>
    <w:rsid w:val="003E5A5C"/>
    <w:rsid w:val="003E6C86"/>
    <w:rsid w:val="00400B68"/>
    <w:rsid w:val="004032F1"/>
    <w:rsid w:val="00407434"/>
    <w:rsid w:val="00407B15"/>
    <w:rsid w:val="00412027"/>
    <w:rsid w:val="004135D9"/>
    <w:rsid w:val="004139B4"/>
    <w:rsid w:val="004218AC"/>
    <w:rsid w:val="00423A5A"/>
    <w:rsid w:val="00426F87"/>
    <w:rsid w:val="004310CB"/>
    <w:rsid w:val="00431F2A"/>
    <w:rsid w:val="00435BB8"/>
    <w:rsid w:val="004376EF"/>
    <w:rsid w:val="00441E9C"/>
    <w:rsid w:val="00441EDE"/>
    <w:rsid w:val="00443A89"/>
    <w:rsid w:val="0044790D"/>
    <w:rsid w:val="00453660"/>
    <w:rsid w:val="00455201"/>
    <w:rsid w:val="00461B0F"/>
    <w:rsid w:val="00462E12"/>
    <w:rsid w:val="004665CF"/>
    <w:rsid w:val="00471240"/>
    <w:rsid w:val="00473889"/>
    <w:rsid w:val="0048071F"/>
    <w:rsid w:val="00494536"/>
    <w:rsid w:val="004A3CAD"/>
    <w:rsid w:val="004A6C4C"/>
    <w:rsid w:val="004B2055"/>
    <w:rsid w:val="004B536B"/>
    <w:rsid w:val="004C1333"/>
    <w:rsid w:val="004C57CD"/>
    <w:rsid w:val="004C736E"/>
    <w:rsid w:val="004D0C7D"/>
    <w:rsid w:val="004D323B"/>
    <w:rsid w:val="004D3947"/>
    <w:rsid w:val="004D6258"/>
    <w:rsid w:val="004D71E3"/>
    <w:rsid w:val="004E1A2F"/>
    <w:rsid w:val="004E456E"/>
    <w:rsid w:val="004F22CF"/>
    <w:rsid w:val="004F43BC"/>
    <w:rsid w:val="0050793A"/>
    <w:rsid w:val="00510694"/>
    <w:rsid w:val="00510771"/>
    <w:rsid w:val="00517C61"/>
    <w:rsid w:val="00520CF1"/>
    <w:rsid w:val="00526C43"/>
    <w:rsid w:val="0052731A"/>
    <w:rsid w:val="0053043B"/>
    <w:rsid w:val="005366D7"/>
    <w:rsid w:val="00545DFB"/>
    <w:rsid w:val="005534EB"/>
    <w:rsid w:val="005568AA"/>
    <w:rsid w:val="005569C8"/>
    <w:rsid w:val="0055728C"/>
    <w:rsid w:val="005617EF"/>
    <w:rsid w:val="00561868"/>
    <w:rsid w:val="0056725B"/>
    <w:rsid w:val="00571007"/>
    <w:rsid w:val="00571F9E"/>
    <w:rsid w:val="00572171"/>
    <w:rsid w:val="0057365C"/>
    <w:rsid w:val="005815F5"/>
    <w:rsid w:val="00584956"/>
    <w:rsid w:val="00594B5F"/>
    <w:rsid w:val="005A00FC"/>
    <w:rsid w:val="005A3581"/>
    <w:rsid w:val="005A78AE"/>
    <w:rsid w:val="005A7C17"/>
    <w:rsid w:val="005B07F8"/>
    <w:rsid w:val="005B20AE"/>
    <w:rsid w:val="005B226D"/>
    <w:rsid w:val="005B3900"/>
    <w:rsid w:val="005B49F2"/>
    <w:rsid w:val="005C1CDD"/>
    <w:rsid w:val="005C4955"/>
    <w:rsid w:val="005C5AF5"/>
    <w:rsid w:val="005D50B7"/>
    <w:rsid w:val="005E2B68"/>
    <w:rsid w:val="005E61A9"/>
    <w:rsid w:val="00600434"/>
    <w:rsid w:val="00601D2A"/>
    <w:rsid w:val="006061CD"/>
    <w:rsid w:val="00614155"/>
    <w:rsid w:val="00614B83"/>
    <w:rsid w:val="00617805"/>
    <w:rsid w:val="0062287B"/>
    <w:rsid w:val="006262E4"/>
    <w:rsid w:val="00636FE3"/>
    <w:rsid w:val="00640802"/>
    <w:rsid w:val="00646A13"/>
    <w:rsid w:val="00654B34"/>
    <w:rsid w:val="00662231"/>
    <w:rsid w:val="00662855"/>
    <w:rsid w:val="006677AC"/>
    <w:rsid w:val="00675C46"/>
    <w:rsid w:val="0067766C"/>
    <w:rsid w:val="00682AB0"/>
    <w:rsid w:val="00686708"/>
    <w:rsid w:val="0069505F"/>
    <w:rsid w:val="0069507D"/>
    <w:rsid w:val="006A0A9E"/>
    <w:rsid w:val="006A0F04"/>
    <w:rsid w:val="006A46B4"/>
    <w:rsid w:val="006B0A62"/>
    <w:rsid w:val="006B146A"/>
    <w:rsid w:val="006B23A7"/>
    <w:rsid w:val="006B3401"/>
    <w:rsid w:val="006B3C08"/>
    <w:rsid w:val="006B4CC0"/>
    <w:rsid w:val="006C297F"/>
    <w:rsid w:val="006C3448"/>
    <w:rsid w:val="006C3D4D"/>
    <w:rsid w:val="006C4CF9"/>
    <w:rsid w:val="006C55BB"/>
    <w:rsid w:val="006C5A8C"/>
    <w:rsid w:val="006C6BAE"/>
    <w:rsid w:val="006C6C73"/>
    <w:rsid w:val="006C7D39"/>
    <w:rsid w:val="006E0D00"/>
    <w:rsid w:val="006E1E53"/>
    <w:rsid w:val="006E2747"/>
    <w:rsid w:val="006E3978"/>
    <w:rsid w:val="006E40B3"/>
    <w:rsid w:val="006E41FB"/>
    <w:rsid w:val="006F4936"/>
    <w:rsid w:val="006F62FC"/>
    <w:rsid w:val="006F67AD"/>
    <w:rsid w:val="007041AE"/>
    <w:rsid w:val="007059CD"/>
    <w:rsid w:val="00706C73"/>
    <w:rsid w:val="00711BB4"/>
    <w:rsid w:val="00711FF9"/>
    <w:rsid w:val="007151D2"/>
    <w:rsid w:val="007208DC"/>
    <w:rsid w:val="00722B45"/>
    <w:rsid w:val="007265DB"/>
    <w:rsid w:val="007300C8"/>
    <w:rsid w:val="00730DFE"/>
    <w:rsid w:val="00732A1D"/>
    <w:rsid w:val="00732D4A"/>
    <w:rsid w:val="00733D85"/>
    <w:rsid w:val="00735AD9"/>
    <w:rsid w:val="00756760"/>
    <w:rsid w:val="007570EE"/>
    <w:rsid w:val="00760584"/>
    <w:rsid w:val="00760BC7"/>
    <w:rsid w:val="007616CC"/>
    <w:rsid w:val="0076387D"/>
    <w:rsid w:val="00770A71"/>
    <w:rsid w:val="0077531C"/>
    <w:rsid w:val="00775673"/>
    <w:rsid w:val="00776327"/>
    <w:rsid w:val="00783D3B"/>
    <w:rsid w:val="0079557B"/>
    <w:rsid w:val="007A3005"/>
    <w:rsid w:val="007A696F"/>
    <w:rsid w:val="007B2B50"/>
    <w:rsid w:val="007B3401"/>
    <w:rsid w:val="007B5D8D"/>
    <w:rsid w:val="007C1B77"/>
    <w:rsid w:val="007C2796"/>
    <w:rsid w:val="007C67D0"/>
    <w:rsid w:val="007C789C"/>
    <w:rsid w:val="007D10CE"/>
    <w:rsid w:val="007D16D8"/>
    <w:rsid w:val="007D7E5E"/>
    <w:rsid w:val="007F16A5"/>
    <w:rsid w:val="007F44FC"/>
    <w:rsid w:val="007F783F"/>
    <w:rsid w:val="00805B85"/>
    <w:rsid w:val="00807494"/>
    <w:rsid w:val="00812890"/>
    <w:rsid w:val="00813990"/>
    <w:rsid w:val="008204DF"/>
    <w:rsid w:val="00820638"/>
    <w:rsid w:val="00824B29"/>
    <w:rsid w:val="00825DCF"/>
    <w:rsid w:val="00835B1E"/>
    <w:rsid w:val="00842078"/>
    <w:rsid w:val="0084240A"/>
    <w:rsid w:val="00843C5F"/>
    <w:rsid w:val="00847078"/>
    <w:rsid w:val="00847128"/>
    <w:rsid w:val="00847550"/>
    <w:rsid w:val="00847EE3"/>
    <w:rsid w:val="008556EB"/>
    <w:rsid w:val="0085701C"/>
    <w:rsid w:val="00857574"/>
    <w:rsid w:val="008627F6"/>
    <w:rsid w:val="00863AFF"/>
    <w:rsid w:val="0086472A"/>
    <w:rsid w:val="008650FC"/>
    <w:rsid w:val="0086551A"/>
    <w:rsid w:val="00865B2F"/>
    <w:rsid w:val="00865DDC"/>
    <w:rsid w:val="0087142A"/>
    <w:rsid w:val="00872854"/>
    <w:rsid w:val="008734EF"/>
    <w:rsid w:val="00873AD1"/>
    <w:rsid w:val="0087571F"/>
    <w:rsid w:val="00875D89"/>
    <w:rsid w:val="008768B2"/>
    <w:rsid w:val="00883216"/>
    <w:rsid w:val="00885350"/>
    <w:rsid w:val="00890C32"/>
    <w:rsid w:val="008A0B19"/>
    <w:rsid w:val="008A42BE"/>
    <w:rsid w:val="008A523F"/>
    <w:rsid w:val="008B32A2"/>
    <w:rsid w:val="008B74BE"/>
    <w:rsid w:val="008D25EB"/>
    <w:rsid w:val="008D2679"/>
    <w:rsid w:val="008D2D92"/>
    <w:rsid w:val="008D30DD"/>
    <w:rsid w:val="008D65E8"/>
    <w:rsid w:val="008D73D4"/>
    <w:rsid w:val="008D75D8"/>
    <w:rsid w:val="008E0630"/>
    <w:rsid w:val="008F6048"/>
    <w:rsid w:val="009022FB"/>
    <w:rsid w:val="00910E47"/>
    <w:rsid w:val="00911460"/>
    <w:rsid w:val="00911579"/>
    <w:rsid w:val="0091435D"/>
    <w:rsid w:val="0091664F"/>
    <w:rsid w:val="00921FA0"/>
    <w:rsid w:val="009262B3"/>
    <w:rsid w:val="0093146C"/>
    <w:rsid w:val="00932F83"/>
    <w:rsid w:val="009423AA"/>
    <w:rsid w:val="00946A6A"/>
    <w:rsid w:val="00947774"/>
    <w:rsid w:val="00957FE5"/>
    <w:rsid w:val="009627A7"/>
    <w:rsid w:val="009641CE"/>
    <w:rsid w:val="00965D86"/>
    <w:rsid w:val="009866B1"/>
    <w:rsid w:val="00987B5F"/>
    <w:rsid w:val="00990012"/>
    <w:rsid w:val="009918AA"/>
    <w:rsid w:val="00994249"/>
    <w:rsid w:val="00994281"/>
    <w:rsid w:val="00995738"/>
    <w:rsid w:val="00996838"/>
    <w:rsid w:val="009A0314"/>
    <w:rsid w:val="009A1DFD"/>
    <w:rsid w:val="009B20D7"/>
    <w:rsid w:val="009B230C"/>
    <w:rsid w:val="009B513B"/>
    <w:rsid w:val="009C42B4"/>
    <w:rsid w:val="009C52EA"/>
    <w:rsid w:val="009C6E81"/>
    <w:rsid w:val="009D43EC"/>
    <w:rsid w:val="009D699B"/>
    <w:rsid w:val="009E05EB"/>
    <w:rsid w:val="009E5E7C"/>
    <w:rsid w:val="009F08B5"/>
    <w:rsid w:val="009F669A"/>
    <w:rsid w:val="00A001C8"/>
    <w:rsid w:val="00A056AC"/>
    <w:rsid w:val="00A06812"/>
    <w:rsid w:val="00A07154"/>
    <w:rsid w:val="00A167F9"/>
    <w:rsid w:val="00A2010B"/>
    <w:rsid w:val="00A300A0"/>
    <w:rsid w:val="00A3017D"/>
    <w:rsid w:val="00A3125E"/>
    <w:rsid w:val="00A32362"/>
    <w:rsid w:val="00A33FBB"/>
    <w:rsid w:val="00A35084"/>
    <w:rsid w:val="00A47556"/>
    <w:rsid w:val="00A523B9"/>
    <w:rsid w:val="00A601FC"/>
    <w:rsid w:val="00A65A87"/>
    <w:rsid w:val="00A66E14"/>
    <w:rsid w:val="00A72DD8"/>
    <w:rsid w:val="00A7527D"/>
    <w:rsid w:val="00A81A51"/>
    <w:rsid w:val="00A82F09"/>
    <w:rsid w:val="00A90320"/>
    <w:rsid w:val="00A908B8"/>
    <w:rsid w:val="00AA3AE6"/>
    <w:rsid w:val="00AA63CD"/>
    <w:rsid w:val="00AA7B6D"/>
    <w:rsid w:val="00AB097F"/>
    <w:rsid w:val="00AB51AA"/>
    <w:rsid w:val="00AB5FF8"/>
    <w:rsid w:val="00AC2E85"/>
    <w:rsid w:val="00AD442C"/>
    <w:rsid w:val="00AD66CC"/>
    <w:rsid w:val="00AD6F7C"/>
    <w:rsid w:val="00AD704C"/>
    <w:rsid w:val="00AE116F"/>
    <w:rsid w:val="00AE4F02"/>
    <w:rsid w:val="00AE585E"/>
    <w:rsid w:val="00AE79FF"/>
    <w:rsid w:val="00AE7BFC"/>
    <w:rsid w:val="00AF014E"/>
    <w:rsid w:val="00AF1029"/>
    <w:rsid w:val="00AF212F"/>
    <w:rsid w:val="00AF5B4C"/>
    <w:rsid w:val="00B017F0"/>
    <w:rsid w:val="00B12FC4"/>
    <w:rsid w:val="00B1630F"/>
    <w:rsid w:val="00B2178A"/>
    <w:rsid w:val="00B23E31"/>
    <w:rsid w:val="00B249B0"/>
    <w:rsid w:val="00B251A1"/>
    <w:rsid w:val="00B260DE"/>
    <w:rsid w:val="00B276A0"/>
    <w:rsid w:val="00B30D7B"/>
    <w:rsid w:val="00B35E92"/>
    <w:rsid w:val="00B3764D"/>
    <w:rsid w:val="00B37F0D"/>
    <w:rsid w:val="00B41F4E"/>
    <w:rsid w:val="00B436C7"/>
    <w:rsid w:val="00B447E3"/>
    <w:rsid w:val="00B450AA"/>
    <w:rsid w:val="00B47CC2"/>
    <w:rsid w:val="00B5224F"/>
    <w:rsid w:val="00B53A2B"/>
    <w:rsid w:val="00B61982"/>
    <w:rsid w:val="00B67D57"/>
    <w:rsid w:val="00B77009"/>
    <w:rsid w:val="00B80BDA"/>
    <w:rsid w:val="00B814EF"/>
    <w:rsid w:val="00B820E9"/>
    <w:rsid w:val="00B8281D"/>
    <w:rsid w:val="00B8647A"/>
    <w:rsid w:val="00B90D43"/>
    <w:rsid w:val="00B9560A"/>
    <w:rsid w:val="00B95786"/>
    <w:rsid w:val="00B97E5A"/>
    <w:rsid w:val="00BA0E7D"/>
    <w:rsid w:val="00BA33E0"/>
    <w:rsid w:val="00BA7294"/>
    <w:rsid w:val="00BA7645"/>
    <w:rsid w:val="00BB5075"/>
    <w:rsid w:val="00BC7A48"/>
    <w:rsid w:val="00BD209C"/>
    <w:rsid w:val="00BE0737"/>
    <w:rsid w:val="00BE33CE"/>
    <w:rsid w:val="00BE3755"/>
    <w:rsid w:val="00BE7A97"/>
    <w:rsid w:val="00BF2F4B"/>
    <w:rsid w:val="00BF3782"/>
    <w:rsid w:val="00BF62ED"/>
    <w:rsid w:val="00C04C11"/>
    <w:rsid w:val="00C120A3"/>
    <w:rsid w:val="00C13573"/>
    <w:rsid w:val="00C165E9"/>
    <w:rsid w:val="00C20D58"/>
    <w:rsid w:val="00C2105F"/>
    <w:rsid w:val="00C23C88"/>
    <w:rsid w:val="00C345AA"/>
    <w:rsid w:val="00C46FC0"/>
    <w:rsid w:val="00C4705F"/>
    <w:rsid w:val="00C477FA"/>
    <w:rsid w:val="00C50600"/>
    <w:rsid w:val="00C527D9"/>
    <w:rsid w:val="00C536A0"/>
    <w:rsid w:val="00C54F9D"/>
    <w:rsid w:val="00C551EE"/>
    <w:rsid w:val="00C55AAE"/>
    <w:rsid w:val="00C63ADC"/>
    <w:rsid w:val="00C66B08"/>
    <w:rsid w:val="00C70E50"/>
    <w:rsid w:val="00C763CC"/>
    <w:rsid w:val="00C86EF6"/>
    <w:rsid w:val="00C87032"/>
    <w:rsid w:val="00C917DB"/>
    <w:rsid w:val="00C94B9D"/>
    <w:rsid w:val="00C97A27"/>
    <w:rsid w:val="00CA4FCE"/>
    <w:rsid w:val="00CB025E"/>
    <w:rsid w:val="00CB2F4B"/>
    <w:rsid w:val="00CB672C"/>
    <w:rsid w:val="00CB7D01"/>
    <w:rsid w:val="00CC0BA5"/>
    <w:rsid w:val="00CC37F4"/>
    <w:rsid w:val="00CC4035"/>
    <w:rsid w:val="00CC4D4F"/>
    <w:rsid w:val="00CC7ACC"/>
    <w:rsid w:val="00CE15D4"/>
    <w:rsid w:val="00CF0F04"/>
    <w:rsid w:val="00D05A81"/>
    <w:rsid w:val="00D1697D"/>
    <w:rsid w:val="00D27351"/>
    <w:rsid w:val="00D30B74"/>
    <w:rsid w:val="00D3135F"/>
    <w:rsid w:val="00D44C38"/>
    <w:rsid w:val="00D502AC"/>
    <w:rsid w:val="00D52252"/>
    <w:rsid w:val="00D542BD"/>
    <w:rsid w:val="00D54343"/>
    <w:rsid w:val="00D6568F"/>
    <w:rsid w:val="00D70569"/>
    <w:rsid w:val="00D72BC3"/>
    <w:rsid w:val="00D74AC7"/>
    <w:rsid w:val="00D75089"/>
    <w:rsid w:val="00D87170"/>
    <w:rsid w:val="00D91B3A"/>
    <w:rsid w:val="00D94960"/>
    <w:rsid w:val="00D97A67"/>
    <w:rsid w:val="00DA4986"/>
    <w:rsid w:val="00DA5D5F"/>
    <w:rsid w:val="00DA6AFB"/>
    <w:rsid w:val="00DA7326"/>
    <w:rsid w:val="00DB007B"/>
    <w:rsid w:val="00DB0D19"/>
    <w:rsid w:val="00DC0508"/>
    <w:rsid w:val="00DC1126"/>
    <w:rsid w:val="00DC1D3D"/>
    <w:rsid w:val="00DC2C3F"/>
    <w:rsid w:val="00DC53FA"/>
    <w:rsid w:val="00DC61AC"/>
    <w:rsid w:val="00DC7399"/>
    <w:rsid w:val="00DC7D18"/>
    <w:rsid w:val="00DD0A48"/>
    <w:rsid w:val="00DD2168"/>
    <w:rsid w:val="00DD3700"/>
    <w:rsid w:val="00DD7306"/>
    <w:rsid w:val="00DE0EBA"/>
    <w:rsid w:val="00DE2092"/>
    <w:rsid w:val="00DE4A36"/>
    <w:rsid w:val="00DF276A"/>
    <w:rsid w:val="00DF5FD7"/>
    <w:rsid w:val="00DF6F3C"/>
    <w:rsid w:val="00E0497A"/>
    <w:rsid w:val="00E111A2"/>
    <w:rsid w:val="00E1218D"/>
    <w:rsid w:val="00E15595"/>
    <w:rsid w:val="00E15EF3"/>
    <w:rsid w:val="00E1621F"/>
    <w:rsid w:val="00E17FDD"/>
    <w:rsid w:val="00E32555"/>
    <w:rsid w:val="00E32EE4"/>
    <w:rsid w:val="00E35763"/>
    <w:rsid w:val="00E41CCD"/>
    <w:rsid w:val="00E43182"/>
    <w:rsid w:val="00E43D73"/>
    <w:rsid w:val="00E46468"/>
    <w:rsid w:val="00E57978"/>
    <w:rsid w:val="00E7453D"/>
    <w:rsid w:val="00E74658"/>
    <w:rsid w:val="00E77304"/>
    <w:rsid w:val="00E80717"/>
    <w:rsid w:val="00E8150E"/>
    <w:rsid w:val="00E819B9"/>
    <w:rsid w:val="00E81B00"/>
    <w:rsid w:val="00E841EC"/>
    <w:rsid w:val="00E852A4"/>
    <w:rsid w:val="00E8593B"/>
    <w:rsid w:val="00E90F27"/>
    <w:rsid w:val="00E9138A"/>
    <w:rsid w:val="00E92C4E"/>
    <w:rsid w:val="00EA0A1E"/>
    <w:rsid w:val="00EA608A"/>
    <w:rsid w:val="00EA70C1"/>
    <w:rsid w:val="00EA7130"/>
    <w:rsid w:val="00EB2F96"/>
    <w:rsid w:val="00ED66F9"/>
    <w:rsid w:val="00ED7375"/>
    <w:rsid w:val="00EE0539"/>
    <w:rsid w:val="00EE4586"/>
    <w:rsid w:val="00EE75F4"/>
    <w:rsid w:val="00EE7DB2"/>
    <w:rsid w:val="00EE7DEC"/>
    <w:rsid w:val="00EF01C4"/>
    <w:rsid w:val="00EF0E20"/>
    <w:rsid w:val="00EF2712"/>
    <w:rsid w:val="00EF575D"/>
    <w:rsid w:val="00F02264"/>
    <w:rsid w:val="00F07111"/>
    <w:rsid w:val="00F11D9C"/>
    <w:rsid w:val="00F14B0D"/>
    <w:rsid w:val="00F15004"/>
    <w:rsid w:val="00F23744"/>
    <w:rsid w:val="00F245D9"/>
    <w:rsid w:val="00F33FED"/>
    <w:rsid w:val="00F36928"/>
    <w:rsid w:val="00F36F97"/>
    <w:rsid w:val="00F37C5A"/>
    <w:rsid w:val="00F41672"/>
    <w:rsid w:val="00F42D0D"/>
    <w:rsid w:val="00F42F18"/>
    <w:rsid w:val="00F519F6"/>
    <w:rsid w:val="00F54C3B"/>
    <w:rsid w:val="00F55569"/>
    <w:rsid w:val="00F571C9"/>
    <w:rsid w:val="00F6037A"/>
    <w:rsid w:val="00F64F01"/>
    <w:rsid w:val="00F65683"/>
    <w:rsid w:val="00F65CF9"/>
    <w:rsid w:val="00F72B31"/>
    <w:rsid w:val="00F75F4A"/>
    <w:rsid w:val="00F81F8B"/>
    <w:rsid w:val="00F82F16"/>
    <w:rsid w:val="00FB24F7"/>
    <w:rsid w:val="00FB50ED"/>
    <w:rsid w:val="00FC142A"/>
    <w:rsid w:val="00FC3CF3"/>
    <w:rsid w:val="00FC5E17"/>
    <w:rsid w:val="00FC6F3F"/>
    <w:rsid w:val="00FD1BCE"/>
    <w:rsid w:val="00FD7879"/>
    <w:rsid w:val="00FD7F8C"/>
    <w:rsid w:val="00FE0863"/>
    <w:rsid w:val="00FE49ED"/>
    <w:rsid w:val="00FE6742"/>
    <w:rsid w:val="00FF0389"/>
    <w:rsid w:val="00FF3777"/>
    <w:rsid w:val="00FF4706"/>
    <w:rsid w:val="00FF4E52"/>
    <w:rsid w:val="04420F16"/>
    <w:rsid w:val="06EB1DA9"/>
    <w:rsid w:val="08046603"/>
    <w:rsid w:val="0C8E63A9"/>
    <w:rsid w:val="0EE35EB1"/>
    <w:rsid w:val="1EE64D17"/>
    <w:rsid w:val="1F6B285A"/>
    <w:rsid w:val="2C1A75B7"/>
    <w:rsid w:val="3FE94F3B"/>
    <w:rsid w:val="40A37F71"/>
    <w:rsid w:val="441A3529"/>
    <w:rsid w:val="45773419"/>
    <w:rsid w:val="49B41C51"/>
    <w:rsid w:val="4A8073FC"/>
    <w:rsid w:val="4C5631B9"/>
    <w:rsid w:val="4FF73279"/>
    <w:rsid w:val="52356302"/>
    <w:rsid w:val="563754A5"/>
    <w:rsid w:val="58A764AE"/>
    <w:rsid w:val="5A175F03"/>
    <w:rsid w:val="62775C75"/>
    <w:rsid w:val="64675399"/>
    <w:rsid w:val="65C06679"/>
    <w:rsid w:val="76972F17"/>
    <w:rsid w:val="78E41574"/>
    <w:rsid w:val="EDBE7641"/>
    <w:rsid w:val="EFBF2A8D"/>
    <w:rsid w:val="FECFD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5"/>
    <w:semiHidden/>
    <w:unhideWhenUsed/>
    <w:qFormat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annotation subject"/>
    <w:basedOn w:val="7"/>
    <w:next w:val="7"/>
    <w:link w:val="36"/>
    <w:semiHidden/>
    <w:unhideWhenUsed/>
    <w:qFormat/>
    <w:uiPriority w:val="99"/>
    <w:rPr>
      <w:b/>
      <w:bCs/>
    </w:rPr>
  </w:style>
  <w:style w:type="character" w:styleId="17">
    <w:name w:val="FollowedHyperlink"/>
    <w:basedOn w:val="1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3">
    <w:name w:val="样式1"/>
    <w:basedOn w:val="2"/>
    <w:next w:val="2"/>
    <w:link w:val="24"/>
    <w:qFormat/>
    <w:uiPriority w:val="0"/>
    <w:rPr>
      <w:sz w:val="32"/>
      <w:szCs w:val="32"/>
    </w:rPr>
  </w:style>
  <w:style w:type="character" w:customStyle="1" w:styleId="24">
    <w:name w:val="样式1 字符"/>
    <w:basedOn w:val="20"/>
    <w:link w:val="23"/>
    <w:qFormat/>
    <w:uiPriority w:val="0"/>
    <w:rPr>
      <w:kern w:val="44"/>
      <w:sz w:val="32"/>
      <w:szCs w:val="32"/>
    </w:rPr>
  </w:style>
  <w:style w:type="paragraph" w:styleId="25">
    <w:name w:val="List Paragraph"/>
    <w:basedOn w:val="1"/>
    <w:link w:val="31"/>
    <w:qFormat/>
    <w:uiPriority w:val="34"/>
    <w:pPr>
      <w:ind w:firstLine="420" w:firstLineChars="200"/>
    </w:pPr>
  </w:style>
  <w:style w:type="character" w:customStyle="1" w:styleId="26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7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8">
    <w:name w:val="标题 3 字符"/>
    <w:basedOn w:val="16"/>
    <w:link w:val="4"/>
    <w:qFormat/>
    <w:uiPriority w:val="9"/>
    <w:rPr>
      <w:b/>
      <w:bCs/>
      <w:sz w:val="32"/>
      <w:szCs w:val="32"/>
    </w:rPr>
  </w:style>
  <w:style w:type="character" w:customStyle="1" w:styleId="29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0">
    <w:name w:val="标题 5 字符"/>
    <w:basedOn w:val="16"/>
    <w:link w:val="6"/>
    <w:semiHidden/>
    <w:qFormat/>
    <w:uiPriority w:val="9"/>
    <w:rPr>
      <w:b/>
      <w:bCs/>
      <w:sz w:val="28"/>
      <w:szCs w:val="28"/>
    </w:rPr>
  </w:style>
  <w:style w:type="character" w:customStyle="1" w:styleId="31">
    <w:name w:val="列表段落 字符"/>
    <w:link w:val="25"/>
    <w:qFormat/>
    <w:uiPriority w:val="34"/>
  </w:style>
  <w:style w:type="paragraph" w:customStyle="1" w:styleId="32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3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5">
    <w:name w:val="批注文字 字符"/>
    <w:basedOn w:val="16"/>
    <w:link w:val="7"/>
    <w:semiHidden/>
    <w:qFormat/>
    <w:uiPriority w:val="99"/>
  </w:style>
  <w:style w:type="character" w:customStyle="1" w:styleId="36">
    <w:name w:val="批注主题 字符"/>
    <w:basedOn w:val="35"/>
    <w:link w:val="1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5" Type="http://schemas.openxmlformats.org/officeDocument/2006/relationships/fontTable" Target="fontTable.xml"/><Relationship Id="rId74" Type="http://schemas.openxmlformats.org/officeDocument/2006/relationships/numbering" Target="numbering.xml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194</Pages>
  <Words>4629</Words>
  <Characters>26389</Characters>
  <Lines>219</Lines>
  <Paragraphs>61</Paragraphs>
  <TotalTime>357</TotalTime>
  <ScaleCrop>false</ScaleCrop>
  <LinksUpToDate>false</LinksUpToDate>
  <CharactersWithSpaces>30957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2020-07-07T11:06:00Z</dcterms:created>
  <dc:creator>acer</dc:creator>
  <cp:lastModifiedBy>gongcheng</cp:lastModifiedBy>
  <cp:lastPrinted>2020-12-09T06:58:00Z</cp:lastPrinted>
  <dcterms:modified xsi:type="dcterms:W3CDTF">2026-05-29T11:02:24Z</dcterms:modified>
  <cp:revision>719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1E0AD44679619E7BC001196A106038A1</vt:lpwstr>
  </property>
</Properties>
</file>