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5"/>
        <w:gridCol w:w="1422"/>
        <w:gridCol w:w="1530"/>
        <w:gridCol w:w="2325"/>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000" w:type="pct"/>
            <w:gridSpan w:val="5"/>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龙华区2025年福利彩票公益金项目情况表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项目实施单位</w:t>
            </w:r>
          </w:p>
        </w:tc>
        <w:tc>
          <w:tcPr>
            <w:tcW w:w="1628"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深圳市龙华区民政局</w:t>
            </w:r>
          </w:p>
        </w:tc>
        <w:tc>
          <w:tcPr>
            <w:tcW w:w="128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8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龙华区临时遇困生活无着人员救助帮扶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项目单位责任人</w:t>
            </w:r>
          </w:p>
        </w:tc>
        <w:tc>
          <w:tcPr>
            <w:tcW w:w="1628"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杨晓玲</w:t>
            </w:r>
          </w:p>
        </w:tc>
        <w:tc>
          <w:tcPr>
            <w:tcW w:w="128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联络人及联系方式</w:t>
            </w:r>
          </w:p>
        </w:tc>
        <w:tc>
          <w:tcPr>
            <w:tcW w:w="108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彭益芳</w:t>
            </w:r>
            <w:r>
              <w:rPr>
                <w:rFonts w:hint="eastAsia" w:ascii="宋体" w:hAnsi="宋体" w:eastAsia="宋体" w:cs="宋体"/>
                <w:i w:val="0"/>
                <w:iCs w:val="0"/>
                <w:color w:val="000000"/>
                <w:sz w:val="20"/>
                <w:szCs w:val="20"/>
                <w:u w:val="none"/>
                <w:lang w:eastAsia="zh-CN"/>
              </w:rPr>
              <w:br w:type="textWrapping"/>
            </w:r>
            <w:r>
              <w:rPr>
                <w:rFonts w:hint="eastAsia" w:ascii="宋体" w:hAnsi="宋体" w:eastAsia="宋体" w:cs="宋体"/>
                <w:i w:val="0"/>
                <w:iCs w:val="0"/>
                <w:color w:val="000000"/>
                <w:sz w:val="20"/>
                <w:szCs w:val="20"/>
                <w:u w:val="none"/>
                <w:lang w:val="en-US" w:eastAsia="zh-CN"/>
              </w:rPr>
              <w:t>0755-</w:t>
            </w:r>
            <w:bookmarkStart w:id="0" w:name="_GoBack"/>
            <w:bookmarkEnd w:id="0"/>
            <w:r>
              <w:rPr>
                <w:rFonts w:hint="eastAsia" w:ascii="宋体" w:hAnsi="宋体" w:eastAsia="宋体" w:cs="宋体"/>
                <w:i w:val="0"/>
                <w:iCs w:val="0"/>
                <w:color w:val="000000"/>
                <w:sz w:val="20"/>
                <w:szCs w:val="20"/>
                <w:u w:val="none"/>
                <w:lang w:val="en-US" w:eastAsia="zh-CN"/>
              </w:rPr>
              <w:t>23338198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7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844"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福彩公益金</w:t>
            </w:r>
          </w:p>
        </w:tc>
        <w:tc>
          <w:tcPr>
            <w:tcW w:w="1282"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资金下达数（万元）</w:t>
            </w:r>
          </w:p>
        </w:tc>
        <w:tc>
          <w:tcPr>
            <w:tcW w:w="1086" w:type="pct"/>
            <w:tcBorders>
              <w:top w:val="single" w:color="000000" w:sz="8" w:space="0"/>
              <w:left w:val="single" w:color="000000" w:sz="8" w:space="0"/>
              <w:bottom w:val="single" w:color="000000" w:sz="8" w:space="0"/>
              <w:right w:val="single" w:color="000000" w:sz="8" w:space="0"/>
            </w:tcBorders>
            <w:noWrap/>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7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实际支出（万元）</w:t>
            </w:r>
          </w:p>
        </w:tc>
        <w:tc>
          <w:tcPr>
            <w:tcW w:w="844" w:type="pct"/>
            <w:tcBorders>
              <w:top w:val="single" w:color="000000" w:sz="8" w:space="0"/>
              <w:left w:val="single" w:color="000000" w:sz="8" w:space="0"/>
              <w:bottom w:val="single" w:color="000000" w:sz="8" w:space="0"/>
              <w:right w:val="single" w:color="000000" w:sz="8" w:space="0"/>
            </w:tcBorders>
            <w:noWrap/>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8.75</w:t>
            </w:r>
          </w:p>
        </w:tc>
        <w:tc>
          <w:tcPr>
            <w:tcW w:w="1282"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其中：彩票公益金支出（万元）</w:t>
            </w:r>
          </w:p>
        </w:tc>
        <w:tc>
          <w:tcPr>
            <w:tcW w:w="1086" w:type="pct"/>
            <w:tcBorders>
              <w:top w:val="single" w:color="000000" w:sz="8" w:space="0"/>
              <w:left w:val="single" w:color="000000" w:sz="8" w:space="0"/>
              <w:bottom w:val="single" w:color="000000" w:sz="8" w:space="0"/>
              <w:right w:val="single" w:color="000000" w:sz="8" w:space="0"/>
            </w:tcBorders>
            <w:noWrap/>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7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资金是否结余</w:t>
            </w:r>
          </w:p>
        </w:tc>
        <w:tc>
          <w:tcPr>
            <w:tcW w:w="844" w:type="pct"/>
            <w:tcBorders>
              <w:top w:val="single" w:color="000000" w:sz="8" w:space="0"/>
              <w:left w:val="single" w:color="000000" w:sz="8" w:space="0"/>
              <w:bottom w:val="single" w:color="000000" w:sz="8" w:space="0"/>
              <w:right w:val="single" w:color="000000" w:sz="8" w:space="0"/>
            </w:tcBorders>
            <w:noWrap/>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是</w:t>
            </w:r>
          </w:p>
        </w:tc>
        <w:tc>
          <w:tcPr>
            <w:tcW w:w="1282"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结余处理</w:t>
            </w:r>
          </w:p>
        </w:tc>
        <w:tc>
          <w:tcPr>
            <w:tcW w:w="1086" w:type="pct"/>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下年延续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01" w:type="pct"/>
            <w:tcBorders>
              <w:top w:val="single" w:color="000000" w:sz="8" w:space="0"/>
              <w:left w:val="single" w:color="000000" w:sz="8" w:space="0"/>
              <w:bottom w:val="nil"/>
              <w:right w:val="nil"/>
            </w:tcBorders>
            <w:shd w:val="clear" w:color="auto" w:fill="FFFFFF"/>
            <w:noWrap w:val="0"/>
            <w:textDirection w:val="tbRlV"/>
            <w:vAlign w:val="center"/>
          </w:tcPr>
          <w:p>
            <w:pPr>
              <w:rPr>
                <w:rFonts w:hint="eastAsia" w:ascii="宋体" w:hAnsi="宋体" w:eastAsia="宋体" w:cs="宋体"/>
                <w:i w:val="0"/>
                <w:iCs w:val="0"/>
                <w:color w:val="000000"/>
                <w:sz w:val="20"/>
                <w:szCs w:val="20"/>
                <w:u w:val="none"/>
              </w:rPr>
            </w:pPr>
          </w:p>
        </w:tc>
        <w:tc>
          <w:tcPr>
            <w:tcW w:w="3998" w:type="pct"/>
            <w:gridSpan w:val="4"/>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以自愿、无偿、公开救助为原则，整合多方救助资源、引导社会组织参与，为辖区街面临时遇困生活无着人员提供有针对性的生活救助、返乡救助、送医救治等，帮助街面临时遇困生活无着人员缓解临时困境，有效减少街面露宿人员，提高人民群众的安全感和幸福感，防止击穿社会道德底线的事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1" w:type="pct"/>
            <w:vMerge w:val="restart"/>
            <w:tcBorders>
              <w:top w:val="nil"/>
              <w:left w:val="single" w:color="000000" w:sz="8" w:space="0"/>
              <w:bottom w:val="nil"/>
              <w:right w:val="single" w:color="000000" w:sz="8" w:space="0"/>
            </w:tcBorders>
            <w:shd w:val="clear" w:color="auto" w:fill="FFFFFF"/>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01" w:type="pct"/>
            <w:vMerge w:val="continue"/>
            <w:tcBorders>
              <w:top w:val="nil"/>
              <w:left w:val="single" w:color="000000" w:sz="8" w:space="0"/>
              <w:bottom w:val="nil"/>
              <w:right w:val="single" w:color="000000" w:sz="8" w:space="0"/>
            </w:tcBorders>
            <w:shd w:val="clear" w:color="auto" w:fill="FFFFFF"/>
            <w:noWrap w:val="0"/>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实施内容： 1.协助开展“夏日送清凉”“寒冬送温暖”专项行动。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2.协助巡查劝导。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3.协助核查人员底数。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4.协助街面职业乞讨甄别处置。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5.协助舆情核查。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6.协助开展送医救治的“三无”人员身份甄别。</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7.协助督导定点医疗机构安全管理工作。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001" w:type="pct"/>
            <w:vMerge w:val="continue"/>
            <w:tcBorders>
              <w:top w:val="nil"/>
              <w:left w:val="single" w:color="000000" w:sz="8" w:space="0"/>
              <w:bottom w:val="nil"/>
              <w:right w:val="single" w:color="000000" w:sz="8" w:space="0"/>
            </w:tcBorders>
            <w:shd w:val="clear" w:color="auto" w:fill="FFFFFF"/>
            <w:noWrap w:val="0"/>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资金使用情况：支付项目首款8.75万元。根据项目后续推进需求，结余资金0.25万元结转至2026年使用。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01" w:type="pct"/>
            <w:vMerge w:val="continue"/>
            <w:tcBorders>
              <w:top w:val="nil"/>
              <w:left w:val="single" w:color="000000" w:sz="8" w:space="0"/>
              <w:bottom w:val="nil"/>
              <w:right w:val="single" w:color="000000" w:sz="8" w:space="0"/>
            </w:tcBorders>
            <w:shd w:val="clear" w:color="auto" w:fill="FFFFFF"/>
            <w:noWrap w:val="0"/>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情况：1.开展“夏日送清凉”“寒冬送温暖”专项行动、协助巡查劝导、协助核查人员底数、协助街面职业乞讨甄别处置、协助舆情核查、协助开展送医救治的“三无”人员身份甄别、协助督导定点医疗机构安全管理工作。截至2025年12月31日，项目总进度完成30%，超额完成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01" w:type="pct"/>
            <w:tcBorders>
              <w:top w:val="nil"/>
              <w:left w:val="single" w:color="000000" w:sz="8" w:space="0"/>
              <w:bottom w:val="single" w:color="000000" w:sz="8" w:space="0"/>
              <w:right w:val="single" w:color="000000" w:sz="8" w:space="0"/>
            </w:tcBorders>
            <w:shd w:val="clear" w:color="auto" w:fill="FFFFFF"/>
            <w:noWrap w:val="0"/>
            <w:textDirection w:val="tbRlV"/>
            <w:vAlign w:val="center"/>
          </w:tcPr>
          <w:p>
            <w:pP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实际效果：救助</w:t>
            </w:r>
            <w:r>
              <w:rPr>
                <w:rFonts w:hint="eastAsia" w:ascii="宋体" w:hAnsi="宋体" w:eastAsia="宋体" w:cs="宋体"/>
                <w:i w:val="0"/>
                <w:iCs w:val="0"/>
                <w:color w:val="000000"/>
                <w:sz w:val="20"/>
                <w:szCs w:val="20"/>
                <w:u w:val="none"/>
              </w:rPr>
              <w:t>龙华区临时遇困生活无着人员</w:t>
            </w:r>
            <w:r>
              <w:rPr>
                <w:rFonts w:hint="eastAsia" w:ascii="宋体" w:hAnsi="宋体" w:eastAsia="宋体" w:cs="宋体"/>
                <w:i w:val="0"/>
                <w:iCs w:val="0"/>
                <w:color w:val="000000"/>
                <w:kern w:val="0"/>
                <w:sz w:val="20"/>
                <w:szCs w:val="20"/>
                <w:u w:val="none"/>
                <w:lang w:val="en-US" w:eastAsia="zh-CN" w:bidi="ar"/>
              </w:rPr>
              <w:t>约300人次。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1" w:type="pct"/>
            <w:tcBorders>
              <w:top w:val="single" w:color="000000" w:sz="8" w:space="0"/>
              <w:left w:val="single" w:color="000000" w:sz="8" w:space="0"/>
              <w:bottom w:val="nil"/>
              <w:right w:val="single" w:color="000000" w:sz="8" w:space="0"/>
            </w:tcBorders>
            <w:shd w:val="clear" w:color="auto" w:fill="FFFFFF"/>
            <w:noWrap/>
            <w:textDirection w:val="tbRlV"/>
            <w:vAlign w:val="center"/>
          </w:tcPr>
          <w:p>
            <w:pPr>
              <w:rPr>
                <w:rFonts w:hint="eastAsia" w:ascii="宋体" w:hAnsi="宋体" w:eastAsia="宋体" w:cs="宋体"/>
                <w:i w:val="0"/>
                <w:iCs w:val="0"/>
                <w:color w:val="000000"/>
                <w:sz w:val="20"/>
                <w:szCs w:val="20"/>
                <w:u w:val="none"/>
              </w:rPr>
            </w:pPr>
          </w:p>
        </w:tc>
        <w:tc>
          <w:tcPr>
            <w:tcW w:w="3998" w:type="pct"/>
            <w:gridSpan w:val="4"/>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立项依据：1.《深圳市民政局 深圳市城市管理局 深圳市公安局 深圳市卫生和人口计划剩余委员会关于做好流浪乞讨人员分类救助和管理工作的意见》（深民〔2011〕71号）；</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2.《深圳市民政局 深圳市总工会 中国共产主义青年团深圳市委员会 深圳市妇女联合会 深圳市残疾人联合会印发〈关于加强低收入人口动态监测 进一步加强困难群众和弱势群体关爱帮扶的工作方案〉的通知》（深民〔2024〕43号）。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1" w:type="pct"/>
            <w:vMerge w:val="restart"/>
            <w:tcBorders>
              <w:top w:val="nil"/>
              <w:left w:val="single" w:color="000000" w:sz="8" w:space="0"/>
              <w:bottom w:val="nil"/>
              <w:right w:val="single" w:color="000000" w:sz="8" w:space="0"/>
            </w:tcBorders>
            <w:shd w:val="clear" w:color="auto" w:fill="FFFFFF"/>
            <w:noWrap/>
            <w:textDirection w:val="tbRlV"/>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项目依据</w:t>
            </w: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1" w:type="pct"/>
            <w:vMerge w:val="continue"/>
            <w:tcBorders>
              <w:top w:val="nil"/>
              <w:left w:val="single" w:color="000000" w:sz="8" w:space="0"/>
              <w:bottom w:val="nil"/>
              <w:right w:val="single" w:color="000000" w:sz="8" w:space="0"/>
            </w:tcBorders>
            <w:shd w:val="clear" w:color="auto" w:fill="FFFFFF"/>
            <w:noWrap/>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1" w:type="pct"/>
            <w:vMerge w:val="continue"/>
            <w:tcBorders>
              <w:top w:val="nil"/>
              <w:left w:val="single" w:color="000000" w:sz="8" w:space="0"/>
              <w:bottom w:val="nil"/>
              <w:right w:val="single" w:color="000000" w:sz="8" w:space="0"/>
            </w:tcBorders>
            <w:shd w:val="clear" w:color="auto" w:fill="FFFFFF"/>
            <w:noWrap/>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1" w:type="pct"/>
            <w:vMerge w:val="continue"/>
            <w:tcBorders>
              <w:top w:val="nil"/>
              <w:left w:val="single" w:color="000000" w:sz="8" w:space="0"/>
              <w:bottom w:val="nil"/>
              <w:right w:val="single" w:color="000000" w:sz="8" w:space="0"/>
            </w:tcBorders>
            <w:shd w:val="clear" w:color="auto" w:fill="FFFFFF"/>
            <w:noWrap/>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1" w:type="pct"/>
            <w:vMerge w:val="continue"/>
            <w:tcBorders>
              <w:top w:val="nil"/>
              <w:left w:val="single" w:color="000000" w:sz="8" w:space="0"/>
              <w:bottom w:val="nil"/>
              <w:right w:val="single" w:color="000000" w:sz="8" w:space="0"/>
            </w:tcBorders>
            <w:shd w:val="clear" w:color="auto" w:fill="FFFFFF"/>
            <w:noWrap/>
            <w:textDirection w:val="tbRlV"/>
            <w:vAlign w:val="center"/>
          </w:tcPr>
          <w:p>
            <w:pPr>
              <w:jc w:val="center"/>
              <w:rPr>
                <w:rFonts w:hint="eastAsia" w:ascii="宋体" w:hAnsi="宋体" w:eastAsia="宋体" w:cs="宋体"/>
                <w:i w:val="0"/>
                <w:iCs w:val="0"/>
                <w:color w:val="000000"/>
                <w:sz w:val="20"/>
                <w:szCs w:val="20"/>
                <w:u w:val="none"/>
              </w:rPr>
            </w:pPr>
          </w:p>
        </w:tc>
        <w:tc>
          <w:tcPr>
            <w:tcW w:w="3998" w:type="pct"/>
            <w:gridSpan w:val="4"/>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01" w:type="pct"/>
            <w:vMerge w:val="restart"/>
            <w:tcBorders>
              <w:top w:val="single" w:color="000000" w:sz="8" w:space="0"/>
              <w:left w:val="single" w:color="000000" w:sz="8" w:space="0"/>
              <w:bottom w:val="single" w:color="000000" w:sz="8" w:space="0"/>
              <w:right w:val="single" w:color="000000" w:sz="8" w:space="0"/>
            </w:tcBorders>
            <w:shd w:val="clear" w:color="auto" w:fill="FFFFFF"/>
            <w:noWrap w:val="0"/>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绩效评价及其他</w:t>
            </w:r>
          </w:p>
        </w:tc>
        <w:tc>
          <w:tcPr>
            <w:tcW w:w="399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绩效评价：已对龙华区临时遇困生活无着人员救助帮扶项目开展年度评估，总体情况良好。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0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审计结果：未审计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0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是否接受投诉及其他：未接受投诉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trPr>
        <w:tc>
          <w:tcPr>
            <w:tcW w:w="1001" w:type="pct"/>
            <w:vMerge w:val="restart"/>
            <w:tcBorders>
              <w:top w:val="single" w:color="000000" w:sz="8" w:space="0"/>
              <w:left w:val="single" w:color="000000" w:sz="8" w:space="0"/>
              <w:right w:val="single" w:color="000000" w:sz="8" w:space="0"/>
            </w:tcBorders>
            <w:shd w:val="clear" w:color="auto" w:fill="FFFFFF"/>
            <w:noWrap w:val="0"/>
            <w:textDirection w:val="tbLrV"/>
            <w:vAlign w:val="center"/>
          </w:tcPr>
          <w:p>
            <w:pPr>
              <w:ind w:left="113" w:right="113"/>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项目开展图片</w:t>
            </w:r>
          </w:p>
        </w:tc>
        <w:tc>
          <w:tcPr>
            <w:tcW w:w="399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default" w:ascii="宋体" w:hAnsi="宋体" w:eastAsia="宋体" w:cs="宋体"/>
                <w:i w:val="0"/>
                <w:iCs w:val="0"/>
                <w:color w:val="000000"/>
                <w:kern w:val="0"/>
                <w:sz w:val="20"/>
                <w:szCs w:val="20"/>
                <w:u w:val="none"/>
                <w:lang w:val="en-US" w:eastAsia="zh-CN" w:bidi="ar"/>
              </w:rPr>
              <w:drawing>
                <wp:inline distT="0" distB="0" distL="114300" distR="114300">
                  <wp:extent cx="4447540" cy="3335655"/>
                  <wp:effectExtent l="0" t="0" r="10160" b="17145"/>
                  <wp:docPr id="1" name="图片 1" descr="1949488902111333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49488902111333392(1)"/>
                          <pic:cNvPicPr>
                            <a:picLocks noChangeAspect="1"/>
                          </pic:cNvPicPr>
                        </pic:nvPicPr>
                        <pic:blipFill>
                          <a:blip r:embed="rId5"/>
                          <a:stretch>
                            <a:fillRect/>
                          </a:stretch>
                        </pic:blipFill>
                        <pic:spPr>
                          <a:xfrm>
                            <a:off x="0" y="0"/>
                            <a:ext cx="4447540" cy="333565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trPr>
        <w:tc>
          <w:tcPr>
            <w:tcW w:w="1001" w:type="pct"/>
            <w:vMerge w:val="continue"/>
            <w:tcBorders>
              <w:left w:val="single" w:color="000000" w:sz="8" w:space="0"/>
              <w:right w:val="single" w:color="000000" w:sz="8"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99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default" w:ascii="宋体" w:hAnsi="宋体" w:eastAsia="宋体" w:cs="宋体"/>
                <w:i w:val="0"/>
                <w:iCs w:val="0"/>
                <w:color w:val="000000"/>
                <w:kern w:val="0"/>
                <w:sz w:val="20"/>
                <w:szCs w:val="20"/>
                <w:u w:val="none"/>
                <w:lang w:val="en-US" w:eastAsia="zh-CN" w:bidi="ar"/>
              </w:rPr>
              <w:drawing>
                <wp:inline distT="0" distB="0" distL="114300" distR="114300">
                  <wp:extent cx="4447540" cy="3335655"/>
                  <wp:effectExtent l="0" t="0" r="10160" b="17145"/>
                  <wp:docPr id="2" name="图片 2" descr="763696075790764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36960757907645423"/>
                          <pic:cNvPicPr>
                            <a:picLocks noChangeAspect="1"/>
                          </pic:cNvPicPr>
                        </pic:nvPicPr>
                        <pic:blipFill>
                          <a:blip r:embed="rId6"/>
                          <a:stretch>
                            <a:fillRect/>
                          </a:stretch>
                        </pic:blipFill>
                        <pic:spPr>
                          <a:xfrm>
                            <a:off x="0" y="0"/>
                            <a:ext cx="4447540" cy="3335655"/>
                          </a:xfrm>
                          <a:prstGeom prst="rect">
                            <a:avLst/>
                          </a:prstGeom>
                          <a:noFill/>
                          <a:ln>
                            <a:noFill/>
                          </a:ln>
                        </pic:spPr>
                      </pic:pic>
                    </a:graphicData>
                  </a:graphic>
                </wp:inline>
              </w:drawing>
            </w:r>
          </w:p>
        </w:tc>
      </w:tr>
    </w:tbl>
    <w:p>
      <w:r>
        <w:rPr>
          <w:rFonts w:hint="eastAsia" w:ascii="仿宋_GB2312"/>
          <w:sz w:val="32"/>
          <w:szCs w:val="32"/>
          <w:lang w:eastAsia="zh-CN"/>
        </w:rPr>
        <w:t>备注：项目开展图片需有正确的福彩金标识</w:t>
      </w:r>
    </w:p>
    <w:sectPr>
      <w:footerReference r:id="rId3" w:type="default"/>
      <w:pgSz w:w="11906" w:h="16838"/>
      <w:pgMar w:top="2098" w:right="1474" w:bottom="1984" w:left="1587" w:header="851" w:footer="992" w:gutter="0"/>
      <w:pgNumType w:fmt="decimal"/>
      <w:cols w:space="72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38Z7M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q85c8LSg1++f7v8+HX5+ZUtkzx9wIqqHgLVxeHOD7Q0cxwpmFgPLdj0JT6M8iTu+SquGiKT&#10;6dJ6tV6XlJKUmx3CLx6vB8D4VnnLklFzoNfLoorTe4xj6VySujl/r43JL2jcXwHCHCMqr8B0OzEZ&#10;J05WHPbDRG/vmzOx62kNau5o6zkz7xypnDZmNmA29rNxDKAPXV6p1B3D7THSSHnS1GGEJYbJoffL&#10;XKddSwvyp5+rHv+v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zTfxnswBAACnAwAADgAA&#10;AAAAAAABACAAAAA0AQAAZHJzL2Uyb0RvYy54bWxQSwUGAAAAAAYABgBZAQAAcg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EC2B9E"/>
    <w:rsid w:val="1E9BD7D9"/>
    <w:rsid w:val="7E2E3CEF"/>
    <w:rsid w:val="CC6908DA"/>
    <w:rsid w:val="CDB62566"/>
    <w:rsid w:val="D7F5889C"/>
    <w:rsid w:val="EF3F8E85"/>
    <w:rsid w:val="EF77062E"/>
    <w:rsid w:val="EFFFD3D2"/>
    <w:rsid w:val="F3EC2B9E"/>
    <w:rsid w:val="F3EF6E2A"/>
    <w:rsid w:val="F9AEE27F"/>
    <w:rsid w:val="FAFFFEA1"/>
    <w:rsid w:val="FBEFF7D5"/>
    <w:rsid w:val="FF40C2BF"/>
    <w:rsid w:val="FF7F5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2025-05-17T19:52:00Z</dcterms:created>
  <dc:creator>user</dc:creator>
  <cp:lastModifiedBy>微信用户</cp:lastModifiedBy>
  <dcterms:modified xsi:type="dcterms:W3CDTF">2026-05-25T17:34:48Z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819B117DCB1FEB8ED5AE136AF66E9977</vt:lpwstr>
  </property>
</Properties>
</file>