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简上体育综合体</w:t>
      </w:r>
      <w:r>
        <w:rPr>
          <w:rFonts w:hint="eastAsia" w:ascii="方正小标宋简体" w:hAnsi="方正小标宋简体" w:eastAsia="方正小标宋简体" w:cs="方正小标宋简体"/>
          <w:color w:val="auto"/>
          <w:sz w:val="44"/>
          <w:szCs w:val="44"/>
          <w:highlight w:val="none"/>
          <w:lang w:eastAsia="zh-CN"/>
        </w:rPr>
        <w:t>采购</w:t>
      </w:r>
      <w:r>
        <w:rPr>
          <w:rFonts w:hint="eastAsia" w:ascii="方正小标宋简体" w:hAnsi="方正小标宋简体" w:eastAsia="方正小标宋简体" w:cs="方正小标宋简体"/>
          <w:color w:val="auto"/>
          <w:sz w:val="44"/>
          <w:szCs w:val="44"/>
          <w:highlight w:val="none"/>
        </w:rPr>
        <w:t>监控录像存储设备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项目需求书</w:t>
      </w:r>
    </w:p>
    <w:p>
      <w:pPr>
        <w:keepNext w:val="0"/>
        <w:keepLines w:val="0"/>
        <w:pageBreakBefore w:val="0"/>
        <w:widowControl w:val="0"/>
        <w:numPr>
          <w:ilvl w:val="0"/>
          <w:numId w:val="0"/>
        </w:numPr>
        <w:tabs>
          <w:tab w:val="left" w:pos="1820"/>
        </w:tabs>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bCs/>
          <w:color w:val="auto"/>
          <w:sz w:val="32"/>
          <w:szCs w:val="32"/>
          <w:highlight w:val="none"/>
        </w:rPr>
      </w:pPr>
    </w:p>
    <w:p>
      <w:pPr>
        <w:keepNext w:val="0"/>
        <w:keepLines w:val="0"/>
        <w:pageBreakBefore w:val="0"/>
        <w:widowControl w:val="0"/>
        <w:numPr>
          <w:ilvl w:val="0"/>
          <w:numId w:val="1"/>
        </w:numPr>
        <w:tabs>
          <w:tab w:val="left" w:pos="1820"/>
        </w:tabs>
        <w:kinsoku/>
        <w:wordWrap/>
        <w:overflowPunct/>
        <w:topLinePunct w:val="0"/>
        <w:autoSpaceDE/>
        <w:autoSpaceDN/>
        <w:bidi w:val="0"/>
        <w:adjustRightInd/>
        <w:snapToGrid w:val="0"/>
        <w:spacing w:line="560" w:lineRule="exact"/>
        <w:ind w:right="0" w:rightChars="0" w:firstLine="640" w:firstLineChars="200"/>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项目目标</w:t>
      </w:r>
    </w:p>
    <w:p>
      <w:pPr>
        <w:ind w:firstLine="64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为进一步强化场馆运营安全管理，切实保障</w:t>
      </w:r>
      <w:r>
        <w:rPr>
          <w:rFonts w:hint="eastAsia" w:ascii="仿宋_GB2312" w:hAnsi="仿宋_GB2312" w:eastAsia="仿宋_GB2312" w:cs="仿宋_GB2312"/>
          <w:color w:val="auto"/>
          <w:sz w:val="32"/>
          <w:szCs w:val="32"/>
          <w:highlight w:val="none"/>
        </w:rPr>
        <w:t>群众生命财产安全，提升场馆运营服务质量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打造安全、优质的现代化运动场所，我中心拟为简上体育综合体新增监控录像存储设备。</w:t>
      </w:r>
    </w:p>
    <w:p>
      <w:pPr>
        <w:tabs>
          <w:tab w:val="left" w:pos="1820"/>
        </w:tabs>
        <w:snapToGrid w:val="0"/>
        <w:spacing w:line="560" w:lineRule="exact"/>
        <w:ind w:firstLine="640" w:firstLineChars="200"/>
        <w:jc w:val="left"/>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rPr>
        <w:t>二、</w:t>
      </w:r>
      <w:r>
        <w:rPr>
          <w:rFonts w:hint="eastAsia" w:ascii="黑体" w:hAnsi="黑体" w:eastAsia="黑体" w:cs="黑体"/>
          <w:bCs/>
          <w:color w:val="auto"/>
          <w:sz w:val="32"/>
          <w:szCs w:val="32"/>
          <w:highlight w:val="none"/>
          <w:lang w:eastAsia="zh-CN"/>
        </w:rPr>
        <w:t>服务时间</w:t>
      </w:r>
    </w:p>
    <w:p>
      <w:pPr>
        <w:pStyle w:val="8"/>
        <w:spacing w:after="0" w:line="560" w:lineRule="exact"/>
        <w:ind w:left="0" w:leftChars="0" w:right="0" w:rightChars="0" w:firstLine="640" w:firstLineChars="200"/>
        <w:jc w:val="left"/>
        <w:rPr>
          <w:rFonts w:hint="eastAsia"/>
          <w:color w:val="auto"/>
          <w:highlight w:val="none"/>
          <w:lang w:val="en-US"/>
        </w:rPr>
      </w:pPr>
      <w:r>
        <w:rPr>
          <w:rFonts w:hint="eastAsia" w:ascii="仿宋_GB2312" w:hAnsi="仿宋_GB2312" w:eastAsia="仿宋_GB2312" w:cs="仿宋_GB2312"/>
          <w:color w:val="auto"/>
          <w:sz w:val="32"/>
          <w:szCs w:val="36"/>
          <w:highlight w:val="none"/>
          <w:lang w:val="en-US" w:eastAsia="zh-CN"/>
        </w:rPr>
        <w:t>2026</w:t>
      </w:r>
      <w:r>
        <w:rPr>
          <w:rFonts w:hint="eastAsia" w:ascii="仿宋_GB2312" w:hAnsi="仿宋_GB2312" w:eastAsia="仿宋_GB2312" w:cs="仿宋_GB2312"/>
          <w:color w:val="auto"/>
          <w:sz w:val="32"/>
          <w:szCs w:val="36"/>
          <w:highlight w:val="none"/>
        </w:rPr>
        <w:t>年</w:t>
      </w:r>
      <w:r>
        <w:rPr>
          <w:rFonts w:hint="eastAsia" w:ascii="仿宋_GB2312" w:hAnsi="仿宋_GB2312" w:eastAsia="仿宋_GB2312" w:cs="仿宋_GB2312"/>
          <w:color w:val="auto"/>
          <w:sz w:val="32"/>
          <w:szCs w:val="36"/>
          <w:highlight w:val="none"/>
          <w:lang w:val="en-US" w:eastAsia="zh-CN"/>
        </w:rPr>
        <w:t>6</w:t>
      </w:r>
      <w:r>
        <w:rPr>
          <w:rFonts w:hint="eastAsia" w:ascii="仿宋_GB2312" w:hAnsi="仿宋_GB2312" w:eastAsia="仿宋_GB2312" w:cs="仿宋_GB2312"/>
          <w:color w:val="auto"/>
          <w:sz w:val="32"/>
          <w:szCs w:val="36"/>
          <w:highlight w:val="none"/>
        </w:rPr>
        <w:t>月-</w:t>
      </w:r>
      <w:r>
        <w:rPr>
          <w:rFonts w:hint="eastAsia" w:ascii="仿宋_GB2312" w:hAnsi="仿宋_GB2312" w:eastAsia="仿宋_GB2312" w:cs="仿宋_GB2312"/>
          <w:color w:val="auto"/>
          <w:sz w:val="32"/>
          <w:szCs w:val="36"/>
          <w:highlight w:val="none"/>
          <w:lang w:val="en-US" w:eastAsia="zh-CN"/>
        </w:rPr>
        <w:t>8</w:t>
      </w:r>
      <w:r>
        <w:rPr>
          <w:rFonts w:hint="eastAsia" w:ascii="仿宋_GB2312" w:hAnsi="仿宋_GB2312" w:eastAsia="仿宋_GB2312" w:cs="仿宋_GB2312"/>
          <w:color w:val="auto"/>
          <w:sz w:val="32"/>
          <w:szCs w:val="36"/>
          <w:highlight w:val="none"/>
        </w:rPr>
        <w:t>月（</w:t>
      </w:r>
      <w:r>
        <w:rPr>
          <w:rFonts w:hint="eastAsia" w:ascii="仿宋_GB2312" w:hAnsi="仿宋_GB2312" w:eastAsia="仿宋_GB2312" w:cs="仿宋_GB2312"/>
          <w:color w:val="auto"/>
          <w:sz w:val="32"/>
          <w:szCs w:val="36"/>
          <w:highlight w:val="none"/>
          <w:lang w:val="en-US" w:eastAsia="zh-CN"/>
        </w:rPr>
        <w:t>具体时间以合同签订时间为准</w:t>
      </w:r>
      <w:r>
        <w:rPr>
          <w:rFonts w:hint="eastAsia" w:ascii="仿宋_GB2312" w:hAnsi="仿宋_GB2312" w:eastAsia="仿宋_GB2312" w:cs="仿宋_GB2312"/>
          <w:color w:val="auto"/>
          <w:sz w:val="32"/>
          <w:szCs w:val="36"/>
          <w:highlight w:val="none"/>
        </w:rPr>
        <w:t>）</w:t>
      </w:r>
    </w:p>
    <w:p>
      <w:pPr>
        <w:keepNext w:val="0"/>
        <w:keepLines w:val="0"/>
        <w:pageBreakBefore w:val="0"/>
        <w:widowControl w:val="0"/>
        <w:numPr>
          <w:ilvl w:val="0"/>
          <w:numId w:val="0"/>
        </w:numPr>
        <w:tabs>
          <w:tab w:val="left" w:pos="1820"/>
        </w:tabs>
        <w:kinsoku/>
        <w:wordWrap/>
        <w:overflowPunct/>
        <w:topLinePunct w:val="0"/>
        <w:autoSpaceDE/>
        <w:autoSpaceDN/>
        <w:bidi w:val="0"/>
        <w:adjustRightInd/>
        <w:snapToGrid w:val="0"/>
        <w:spacing w:line="560" w:lineRule="exact"/>
        <w:ind w:right="0" w:rightChars="0" w:firstLine="640" w:firstLineChars="200"/>
        <w:textAlignment w:val="auto"/>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val="en-US" w:eastAsia="zh-CN"/>
        </w:rPr>
        <w:t>三、</w:t>
      </w:r>
      <w:r>
        <w:rPr>
          <w:rFonts w:hint="eastAsia" w:ascii="黑体" w:hAnsi="黑体" w:eastAsia="黑体" w:cs="黑体"/>
          <w:bCs/>
          <w:color w:val="auto"/>
          <w:sz w:val="32"/>
          <w:szCs w:val="32"/>
          <w:highlight w:val="none"/>
          <w:lang w:eastAsia="zh-CN"/>
        </w:rPr>
        <w:t>项目内容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一）供应商所提供的产品型号、技术规格、技术参数、材质、数量等必须与采购需求一致的全新、完好、未使用的原装产品，并在正常安装、使用和保养条件下，其使用寿命期内各项指标均达到质量要求。否则，采购方有权拒绝接收产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供应商提供的报价包含但不限于其所承担的税费、产品价款、运输费、安装费、人工费以及合理的利润等，该报价作为一经确定中标即为合同采购价。</w:t>
      </w:r>
      <w:r>
        <w:rPr>
          <w:rFonts w:hint="eastAsia" w:ascii="仿宋_GB2312" w:hAnsi="仿宋_GB2312" w:eastAsia="仿宋_GB2312" w:cs="仿宋_GB2312"/>
          <w:color w:val="auto"/>
          <w:sz w:val="32"/>
          <w:szCs w:val="32"/>
          <w:highlight w:val="none"/>
          <w:lang w:val="en-US" w:eastAsia="zh-CN"/>
        </w:rPr>
        <w:t>采购</w:t>
      </w:r>
      <w:r>
        <w:rPr>
          <w:rFonts w:hint="eastAsia" w:ascii="仿宋_GB2312" w:hAnsi="仿宋_GB2312" w:eastAsia="仿宋_GB2312" w:cs="仿宋_GB2312"/>
          <w:color w:val="auto"/>
          <w:sz w:val="32"/>
          <w:szCs w:val="32"/>
          <w:highlight w:val="none"/>
          <w:lang w:eastAsia="zh-CN"/>
        </w:rPr>
        <w:t>方按照财政集中支付程序办理费用支付的手续。</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（三）供应商提供的产品经采购方验收后，若出现质量问题，需无条件配合采购方进行更换，应无条件配合采购方予以更换。产品质量保证期为2年，其中免费保修期不少于1年，</w:t>
      </w:r>
      <w:r>
        <w:rPr>
          <w:rFonts w:hint="eastAsia" w:ascii="仿宋_GB2312" w:hAnsi="仿宋_GB2312" w:eastAsia="仿宋_GB2312" w:cs="仿宋_GB2312"/>
          <w:color w:val="auto"/>
          <w:sz w:val="32"/>
          <w:szCs w:val="32"/>
          <w:highlight w:val="none"/>
        </w:rPr>
        <w:t>并提供售后服务承诺函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免费保修期自产品安装并验收合格之日起计算。</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（四）供应商实施期限：签订合同后10天内完成设备交付，经采购人验收合格，(具体以合同签订为准)。如遇不可控原因（包括但不限于自然灾害、其他重大流行性疾病等情况）可由双方协商完成时间。</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（五）供应商投标材料需注明产品规格参数，如未按要求提供或产品参数不一致则该投标材料无效。</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（六）项目总体要求</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存储系统须与场馆现有网络摄像机、监控平台无缝兼容，支持ONVIF、GB/T28181等标准协议。录像存储时长满足不少于90天24小时连续存储。设备满足7×24小时高负荷稳定运行，具备高可靠、易维护、可扩展特性。供应商提供完整技术支持、安装调试及标准化维保服务。</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四、采购内容及规格要求</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（一）2台24盘位网络视频存储单元</w:t>
      </w:r>
    </w:p>
    <w:p>
      <w:pPr>
        <w:pStyle w:val="9"/>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设备类型：企业级24盘位机架式网络视频存储服务器（NVR/CVR）</w:t>
      </w:r>
    </w:p>
    <w:p>
      <w:pPr>
        <w:pStyle w:val="9"/>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设备配置：≥1颗64位多核处理器，配置8GB内存，内置EMMC系统盘，可接入24块硬盘；最多支持2个风扇，可热插拔冗余温控调速风扇</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设备配置≥3个2.5G网口、1个2.5G管理口、1个Esata接口、2个USB2.0接口、2个USB3.0接口、1个VGA接口、1个HDMI接口，采用可热插拔1+1AC220V电源供电</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在RAID内丢失2块（含）以上硬盘但至少有1块正常磁盘时，无需等待丢失盘恢复，保留的硬盘中的数据可正常读出，且新数据可正常写入</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支持录像存储过程中加入特殊字段，防止录像被篡改或伪造，以保证录像的原始性及完整性。可对录像的某个时间点添加标签，并可进行查询、回放、下载</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可在操作界面查看数据重构状态，</w:t>
      </w:r>
      <w:r>
        <w:rPr>
          <w:rFonts w:hint="eastAsia" w:ascii="仿宋_GB2312" w:hAnsi="仿宋_GB2312" w:eastAsia="仿宋_GB2312" w:cs="仿宋_GB2312"/>
          <w:color w:val="auto"/>
          <w:sz w:val="32"/>
          <w:szCs w:val="32"/>
          <w:highlight w:val="none"/>
          <w:lang w:eastAsia="zh-CN"/>
        </w:rPr>
        <w:t>设备</w:t>
      </w:r>
      <w:r>
        <w:rPr>
          <w:rFonts w:ascii="仿宋_GB2312" w:hAnsi="仿宋_GB2312" w:eastAsia="仿宋_GB2312" w:cs="仿宋_GB2312"/>
          <w:color w:val="auto"/>
          <w:sz w:val="32"/>
          <w:szCs w:val="32"/>
          <w:highlight w:val="none"/>
        </w:rPr>
        <w:t>的磁盘或节点离线并重新插回后，可在界面显示离线磁盘或节点的数据重构过程，离线前数据不丢失</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支持录像数据恢复功能，当硬盘的录像索引区域被破坏导致无法查询并回放录像文件时，</w:t>
      </w:r>
      <w:r>
        <w:rPr>
          <w:rFonts w:hint="eastAsia" w:ascii="仿宋_GB2312" w:hAnsi="仿宋_GB2312" w:eastAsia="仿宋_GB2312" w:cs="仿宋_GB2312"/>
          <w:color w:val="auto"/>
          <w:sz w:val="32"/>
          <w:szCs w:val="32"/>
          <w:highlight w:val="none"/>
          <w:lang w:eastAsia="zh-CN"/>
        </w:rPr>
        <w:t>设备</w:t>
      </w:r>
      <w:r>
        <w:rPr>
          <w:rFonts w:ascii="仿宋_GB2312" w:hAnsi="仿宋_GB2312" w:eastAsia="仿宋_GB2312" w:cs="仿宋_GB2312"/>
          <w:color w:val="auto"/>
          <w:sz w:val="32"/>
          <w:szCs w:val="32"/>
          <w:highlight w:val="none"/>
        </w:rPr>
        <w:t>可重新建立录像索引区，使录像文件可被正常查询并回放</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可通过IE浏览器对存储数据进行备份</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lang w:eastAsia="zh-CN"/>
        </w:rPr>
        <w:t>.设备</w:t>
      </w:r>
      <w:r>
        <w:rPr>
          <w:rFonts w:ascii="仿宋_GB2312" w:hAnsi="仿宋_GB2312" w:eastAsia="仿宋_GB2312" w:cs="仿宋_GB2312"/>
          <w:color w:val="auto"/>
          <w:sz w:val="32"/>
          <w:szCs w:val="32"/>
          <w:highlight w:val="none"/>
        </w:rPr>
        <w:t>均应具有权限管理、运行日志功能设备应设置操作口令，宜有防篡改、防非法复制、数据（图像、音视频等）加密等措施，以保证原始数据的完整性。重要的图像（图像、视音频、结构化数据、索引数据等）应加保护，不被删除和覆盖</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运行状态下，可自动识别域内所有设备，并通过“一键配置”选项配置完成存储模式后，可直接运行业务；通过一键配置快速部署网络</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时间</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阵列</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存储池</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支持红灯/蓝灯报警，可根据故障紧急程度分级报警，不同级别闪烁不同颜色保养灯，保养灯闪烁时长、频率可设</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11</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支持通过IE、火狐、Google、QQ、360、遨游、搜狗、百度、猎豹、欧朋、Edge、WT浏览器对</w:t>
      </w:r>
      <w:r>
        <w:rPr>
          <w:rFonts w:hint="eastAsia" w:ascii="仿宋_GB2312" w:hAnsi="仿宋_GB2312" w:eastAsia="仿宋_GB2312" w:cs="仿宋_GB2312"/>
          <w:color w:val="auto"/>
          <w:sz w:val="32"/>
          <w:szCs w:val="32"/>
          <w:highlight w:val="none"/>
          <w:lang w:eastAsia="zh-CN"/>
        </w:rPr>
        <w:t>设备</w:t>
      </w:r>
      <w:r>
        <w:rPr>
          <w:rFonts w:ascii="仿宋_GB2312" w:hAnsi="仿宋_GB2312" w:eastAsia="仿宋_GB2312" w:cs="仿宋_GB2312"/>
          <w:color w:val="auto"/>
          <w:sz w:val="32"/>
          <w:szCs w:val="32"/>
          <w:highlight w:val="none"/>
        </w:rPr>
        <w:t>进行操作；对单个或多个设备或设备内的磁盘进行定位，并可设置时间，支持存储硬盘出现故障，对应硬盘槽位有报警灯光提示</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12</w:t>
      </w:r>
      <w:r>
        <w:rPr>
          <w:rFonts w:hint="eastAsia" w:ascii="仿宋_GB2312" w:hAnsi="仿宋_GB2312" w:eastAsia="仿宋_GB2312" w:cs="仿宋_GB2312"/>
          <w:color w:val="auto"/>
          <w:sz w:val="32"/>
          <w:szCs w:val="32"/>
          <w:highlight w:val="none"/>
          <w:lang w:eastAsia="zh-CN"/>
        </w:rPr>
        <w:t>.设备</w:t>
      </w:r>
      <w:r>
        <w:rPr>
          <w:rFonts w:ascii="仿宋_GB2312" w:hAnsi="仿宋_GB2312" w:eastAsia="仿宋_GB2312" w:cs="仿宋_GB2312"/>
          <w:color w:val="auto"/>
          <w:sz w:val="32"/>
          <w:szCs w:val="32"/>
          <w:highlight w:val="none"/>
        </w:rPr>
        <w:t>具有防偶发死机的措施（如硬件或软件SNMP、或定时自动起启动等），死机后的自愈恢复时间应≤3min</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13</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支持在WEB页面进行IP远程管理、管理Cluster集群功能、硬件故障检测、诊断等功能</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14</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可接入双音轨，可同时或分别播放左右音轨</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可对视音频、图片、结构化数据、对象等文件进行混合存储，并可通过http和https方式下载，支持划分多个对象池，支持对象池的独立循环覆盖</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ascii="仿宋_GB2312" w:hAnsi="仿宋_GB2312" w:eastAsia="仿宋_GB2312" w:cs="仿宋_GB2312"/>
          <w:color w:val="auto"/>
          <w:sz w:val="32"/>
          <w:szCs w:val="32"/>
          <w:highlight w:val="none"/>
        </w:rPr>
        <w:t>设备支持对IoT硬盘进行加密和解密，加密后的硬盘无法进行读写</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支持以录像池维度配置过期时间，确保过期时间外的数据不可读</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支持降级配功能，可允许损失一块硬盘的前提下先将阵列组建起来，后续再通过重构恢复阵列</w:t>
      </w:r>
      <w:r>
        <w:rPr>
          <w:rFonts w:hint="eastAsia" w:ascii="仿宋_GB2312" w:hAnsi="仿宋_GB2312" w:eastAsia="仿宋_GB2312" w:cs="仿宋_GB2312"/>
          <w:color w:val="auto"/>
          <w:sz w:val="32"/>
          <w:szCs w:val="32"/>
          <w:highlight w:val="none"/>
          <w:lang w:eastAsia="zh-CN"/>
        </w:rPr>
        <w:t>。</w:t>
      </w:r>
    </w:p>
    <w:p>
      <w:pPr>
        <w:pStyle w:val="9"/>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提供3C、公安部委托型式检验报告</w:t>
      </w:r>
      <w:r>
        <w:rPr>
          <w:rFonts w:hint="eastAsia" w:ascii="仿宋_GB2312" w:hAnsi="仿宋_GB2312" w:eastAsia="仿宋_GB2312" w:cs="仿宋_GB2312"/>
          <w:color w:val="auto"/>
          <w:sz w:val="32"/>
          <w:szCs w:val="32"/>
          <w:highlight w:val="none"/>
          <w:lang w:eastAsia="zh-CN"/>
        </w:rPr>
        <w:t>。</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（二）48台8TB企业级硬盘</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容量：单盘8TB</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类型：企业级机械硬盘（禁止监控级/台式机盘/ SMR叠瓦盘）</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8TB容量，3.5英寸，SATA3.0接口，7200RPM。空气盘，CMR传统磁记录。传输速率255MB/s，流畅存储视频有效防止丢帧。MTBF可达2,000,000小时。</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高级格式（AF）512e扇区技术，保障硬盘扇区4K对齐。</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工作负载支持：7×24小时不间断工作，年工作负载率≥180TB/年。</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可靠性：MTBF≥200万小时，具备振动补偿、低错误率，满足数据严苛的7*24小时运行可靠性、安全性的需求。</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储存天数：按存储单元满配或按90天存储计算配置（以实际设计为准）。</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（三）辅材及安装</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服务器导轨、国标电源线、千兆网线、扎带、理线架、标识标签等，含设备上架、布线、调试、系统对接。</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（四）技术性能指标要求</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存储时长：实现场馆监控视频连续存储≥90天（24小时不间断）。</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兼容性：完全兼容现有监控品牌摄像机及平台，无需更换前端设备。</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数据安全：支持硬盘故障预警、掉线报警、录像完整性保护。</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回放性能：支持多路同时回放，回放流畅无卡顿，支持秒级定位检索。</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扩展能力：支持后续扩容硬盘或扩展柜，保护前期投资。</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（五）安装、调试与交付要求</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供应商负责免费送货上门、卸货、上架安装、布线调试。施工期间服从场馆管理，不影响正常运营，做到文明施工、安全施工。</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完成与现有监控平台的对接调试，确保所有视频正常存储、回放、下载。调试完成后出具调试报告、设备清单、操作手册，完成验收。</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（六）培训要求</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供应商对场馆管理人员进行现场操作培训。</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培训内容包括：存储状态查看、录像回放与下载、硬盘更换、报警处理、基础运维。提供纸质及电子版操作手册。</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（七）维保服务要求</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1.质保期限：产品质量保证期为2年，其中免费保修期不少于1年，免费保修期自产品安装并验收合格之日起计算。</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2.响应时效：7×24小时技术电话响应，接到故障报修后2小时内响应，4小时内到达现场8小时内修复故障。</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3.故障处理：无法即时修复时，供应商提供备用设备或临时方案，确保监控存储不中断。质保期内所有配件更换、上门服务、维修调试全免费，不收取任何费用。</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4.巡检服务：质保期内每年提供不少于2次免费上门巡检，检查设备运行状态、硬盘健康度、系统日志、存储容量、线路稳定性，出具巡检报告及优化建议。</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5.后期服务：质保期满后提供终身技术支持与优惠维保方案，仅收取配件成本费，免收上门服务费、人工费。</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6.数据保障：维保期间因设备质量或维保不当导致数据丢失，由供应商承担相应责任。</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（八）验收标准</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1.设备为全新原厂正品，型号、参数、数量与合同一致，证件齐全。</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2.24盘位存储单元运行稳定，企业级硬盘识别正常，RAID组建正常。所有监控视频正常存储，回放清晰流畅，存储时长满足≥90天要求。</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3.完成系统对接、培训交付，资料完整移交。各项功能、报警、权限管理均正常可用。</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（九）商务与其他要求</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供应商须提供原厂质保承诺函、产品合格证、检测报告等资质文件。报价包含设备、运输、安装、调试、培训、税费、一年维保等一切费用。严禁提供翻新、返修、水货设备，一经发现视为违约，采购方有权拒收并追责。项目工期自合同签订后按采购方要求时间完成上线。</w:t>
      </w:r>
    </w:p>
    <w:p>
      <w:pPr>
        <w:tabs>
          <w:tab w:val="left" w:pos="1820"/>
        </w:tabs>
        <w:snapToGrid w:val="0"/>
        <w:spacing w:line="560" w:lineRule="exact"/>
        <w:ind w:firstLine="640" w:firstLineChars="200"/>
        <w:jc w:val="left"/>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eastAsia="zh-CN"/>
        </w:rPr>
        <w:t>四、报价限额</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200" w:right="0" w:rightChars="0" w:firstLine="320" w:firstLineChars="100"/>
        <w:jc w:val="both"/>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val="en-US" w:eastAsia="zh-CN"/>
        </w:rPr>
        <w:t>29.9万</w:t>
      </w:r>
      <w:r>
        <w:rPr>
          <w:rFonts w:hint="eastAsia" w:ascii="黑体" w:hAnsi="黑体" w:eastAsia="黑体" w:cs="黑体"/>
          <w:color w:val="auto"/>
          <w:sz w:val="32"/>
          <w:szCs w:val="32"/>
          <w:highlight w:val="none"/>
        </w:rPr>
        <w:t>元</w:t>
      </w:r>
      <w:r>
        <w:rPr>
          <w:rFonts w:hint="eastAsia" w:ascii="黑体" w:hAnsi="黑体" w:eastAsia="黑体" w:cs="黑体"/>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项目报价表</w:t>
      </w:r>
      <w:r>
        <w:rPr>
          <w:rFonts w:hint="eastAsia" w:ascii="仿宋_GB2312" w:hAnsi="仿宋_GB2312" w:eastAsia="仿宋_GB2312" w:cs="仿宋_GB2312"/>
          <w:color w:val="auto"/>
          <w:sz w:val="32"/>
          <w:szCs w:val="32"/>
          <w:highlight w:val="none"/>
        </w:rPr>
        <w:t>需</w:t>
      </w:r>
      <w:r>
        <w:rPr>
          <w:rFonts w:hint="eastAsia" w:ascii="仿宋_GB2312" w:hAnsi="仿宋_GB2312" w:eastAsia="仿宋_GB2312" w:cs="仿宋_GB2312"/>
          <w:color w:val="auto"/>
          <w:sz w:val="32"/>
          <w:szCs w:val="32"/>
          <w:highlight w:val="none"/>
          <w:lang w:eastAsia="zh-CN"/>
        </w:rPr>
        <w:t>与下表</w:t>
      </w:r>
      <w:r>
        <w:rPr>
          <w:rFonts w:hint="eastAsia" w:ascii="仿宋_GB2312" w:hAnsi="仿宋_GB2312" w:eastAsia="仿宋_GB2312" w:cs="仿宋_GB2312"/>
          <w:color w:val="auto"/>
          <w:sz w:val="32"/>
          <w:szCs w:val="32"/>
          <w:highlight w:val="none"/>
        </w:rPr>
        <w:t>保持一致</w:t>
      </w:r>
      <w:r>
        <w:rPr>
          <w:rFonts w:hint="eastAsia" w:ascii="仿宋_GB2312" w:hAnsi="仿宋_GB2312" w:eastAsia="仿宋_GB2312" w:cs="仿宋_GB2312"/>
          <w:color w:val="auto"/>
          <w:sz w:val="32"/>
          <w:szCs w:val="32"/>
          <w:highlight w:val="none"/>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2389"/>
        <w:gridCol w:w="1018"/>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5"/>
            <w:noWrap w:val="0"/>
            <w:vAlign w:val="top"/>
          </w:tcPr>
          <w:p>
            <w:pPr>
              <w:pStyle w:val="8"/>
              <w:spacing w:after="0" w:line="560" w:lineRule="exact"/>
              <w:ind w:left="0" w:leftChars="0" w:right="0" w:rightChars="0" w:firstLine="0" w:firstLineChars="0"/>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采购简上体育综合体监控录像存储设备项目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pStyle w:val="8"/>
              <w:spacing w:after="0" w:line="560" w:lineRule="exact"/>
              <w:ind w:left="0" w:leftChars="0" w:right="0" w:rightChars="0" w:firstLine="0" w:firstLineChars="0"/>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序号</w:t>
            </w:r>
          </w:p>
        </w:tc>
        <w:tc>
          <w:tcPr>
            <w:tcW w:w="2389" w:type="dxa"/>
            <w:noWrap w:val="0"/>
            <w:vAlign w:val="top"/>
          </w:tcPr>
          <w:p>
            <w:pPr>
              <w:pStyle w:val="8"/>
              <w:spacing w:after="0" w:line="560" w:lineRule="exact"/>
              <w:ind w:left="0" w:leftChars="0" w:right="0" w:rightChars="0" w:firstLine="0" w:firstLineChars="0"/>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eastAsia="zh-CN"/>
              </w:rPr>
              <w:t>项目</w:t>
            </w:r>
            <w:r>
              <w:rPr>
                <w:rFonts w:hint="eastAsia" w:ascii="仿宋_GB2312" w:hAnsi="仿宋_GB2312" w:eastAsia="仿宋_GB2312" w:cs="仿宋_GB2312"/>
                <w:color w:val="auto"/>
                <w:sz w:val="32"/>
                <w:szCs w:val="32"/>
                <w:highlight w:val="none"/>
                <w:vertAlign w:val="baseline"/>
                <w:lang w:val="en-US" w:eastAsia="zh-CN"/>
              </w:rPr>
              <w:t>/内容</w:t>
            </w:r>
          </w:p>
        </w:tc>
        <w:tc>
          <w:tcPr>
            <w:tcW w:w="1018" w:type="dxa"/>
            <w:noWrap w:val="0"/>
            <w:vAlign w:val="top"/>
          </w:tcPr>
          <w:p>
            <w:pPr>
              <w:pStyle w:val="8"/>
              <w:spacing w:after="0" w:line="560" w:lineRule="exact"/>
              <w:ind w:left="0" w:leftChars="0" w:right="0" w:rightChars="0" w:firstLine="0" w:firstLineChars="0"/>
              <w:jc w:val="center"/>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单位</w:t>
            </w:r>
          </w:p>
        </w:tc>
        <w:tc>
          <w:tcPr>
            <w:tcW w:w="1704" w:type="dxa"/>
            <w:noWrap w:val="0"/>
            <w:vAlign w:val="top"/>
          </w:tcPr>
          <w:p>
            <w:pPr>
              <w:pStyle w:val="8"/>
              <w:spacing w:after="0" w:line="560" w:lineRule="exact"/>
              <w:ind w:left="0" w:leftChars="0" w:right="0" w:rightChars="0" w:firstLine="0" w:firstLineChars="0"/>
              <w:jc w:val="center"/>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数量</w:t>
            </w:r>
          </w:p>
        </w:tc>
        <w:tc>
          <w:tcPr>
            <w:tcW w:w="1704" w:type="dxa"/>
            <w:noWrap w:val="0"/>
            <w:vAlign w:val="top"/>
          </w:tcPr>
          <w:p>
            <w:pPr>
              <w:pStyle w:val="8"/>
              <w:spacing w:after="0" w:line="560" w:lineRule="exact"/>
              <w:ind w:left="0" w:leftChars="0" w:right="0" w:rightChars="0" w:firstLine="0" w:firstLineChars="0"/>
              <w:jc w:val="center"/>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c>
          <w:tcPr>
            <w:tcW w:w="2389"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仿宋_GB2312" w:hAnsi="仿宋_GB2312" w:eastAsia="仿宋_GB2312" w:cs="仿宋_GB2312"/>
                <w:color w:val="auto"/>
                <w:sz w:val="21"/>
                <w:szCs w:val="21"/>
                <w:highlight w:val="none"/>
                <w:vertAlign w:val="baseline"/>
                <w:lang w:eastAsia="zh-CN"/>
              </w:rPr>
            </w:pPr>
            <w:r>
              <w:rPr>
                <w:rFonts w:hint="eastAsia" w:ascii="仿宋_GB2312" w:hAnsi="仿宋_GB2312" w:eastAsia="仿宋_GB2312" w:cs="仿宋_GB2312"/>
                <w:color w:val="auto"/>
                <w:sz w:val="21"/>
                <w:szCs w:val="21"/>
                <w:highlight w:val="none"/>
                <w:vertAlign w:val="baseline"/>
                <w:lang w:eastAsia="zh-CN"/>
              </w:rPr>
              <w:t>24盘位视频存储单元</w:t>
            </w:r>
          </w:p>
        </w:tc>
        <w:tc>
          <w:tcPr>
            <w:tcW w:w="1018" w:type="dxa"/>
            <w:noWrap w:val="0"/>
            <w:vAlign w:val="center"/>
          </w:tcPr>
          <w:p>
            <w:pPr>
              <w:pStyle w:val="8"/>
              <w:keepNext w:val="0"/>
              <w:keepLines w:val="0"/>
              <w:pageBreakBefore w:val="0"/>
              <w:widowControl w:val="0"/>
              <w:tabs>
                <w:tab w:val="left" w:pos="641"/>
              </w:tabs>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仿宋_GB2312" w:hAnsi="仿宋_GB2312" w:eastAsia="仿宋_GB2312" w:cs="仿宋_GB2312"/>
                <w:color w:val="auto"/>
                <w:sz w:val="21"/>
                <w:szCs w:val="21"/>
                <w:highlight w:val="none"/>
                <w:vertAlign w:val="baseline"/>
                <w:lang w:eastAsia="zh-CN"/>
              </w:rPr>
            </w:pPr>
            <w:r>
              <w:rPr>
                <w:rFonts w:hint="eastAsia" w:ascii="仿宋_GB2312" w:hAnsi="仿宋_GB2312" w:eastAsia="仿宋_GB2312" w:cs="仿宋_GB2312"/>
                <w:color w:val="auto"/>
                <w:sz w:val="21"/>
                <w:szCs w:val="21"/>
                <w:highlight w:val="none"/>
                <w:vertAlign w:val="baseline"/>
                <w:lang w:eastAsia="zh-CN"/>
              </w:rPr>
              <w:t>台</w:t>
            </w:r>
          </w:p>
        </w:tc>
        <w:tc>
          <w:tcPr>
            <w:tcW w:w="1704"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c>
          <w:tcPr>
            <w:tcW w:w="1704"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rPr>
                <w:rFonts w:hint="eastAsia" w:ascii="仿宋_GB2312" w:hAnsi="仿宋_GB2312" w:eastAsia="仿宋_GB2312" w:cs="仿宋_GB2312"/>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3"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c>
          <w:tcPr>
            <w:tcW w:w="2389"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仿宋_GB2312" w:hAnsi="仿宋_GB2312" w:eastAsia="仿宋_GB2312" w:cs="仿宋_GB2312"/>
                <w:color w:val="auto"/>
                <w:sz w:val="21"/>
                <w:szCs w:val="21"/>
                <w:highlight w:val="none"/>
                <w:vertAlign w:val="baseline"/>
                <w:lang w:eastAsia="zh-CN"/>
              </w:rPr>
            </w:pPr>
            <w:r>
              <w:rPr>
                <w:rFonts w:hint="eastAsia" w:ascii="仿宋_GB2312" w:hAnsi="仿宋_GB2312" w:eastAsia="仿宋_GB2312" w:cs="仿宋_GB2312"/>
                <w:color w:val="auto"/>
                <w:sz w:val="21"/>
                <w:szCs w:val="21"/>
                <w:highlight w:val="none"/>
                <w:vertAlign w:val="baseline"/>
                <w:lang w:eastAsia="zh-CN"/>
              </w:rPr>
              <w:t>8T企业级硬盘</w:t>
            </w:r>
          </w:p>
        </w:tc>
        <w:tc>
          <w:tcPr>
            <w:tcW w:w="1018" w:type="dxa"/>
            <w:shd w:val="clear" w:color="auto" w:fill="auto"/>
            <w:noWrap w:val="0"/>
            <w:vAlign w:val="center"/>
          </w:tcPr>
          <w:p>
            <w:pPr>
              <w:pStyle w:val="8"/>
              <w:keepNext w:val="0"/>
              <w:keepLines w:val="0"/>
              <w:pageBreakBefore w:val="0"/>
              <w:widowControl w:val="0"/>
              <w:tabs>
                <w:tab w:val="left" w:pos="641"/>
              </w:tabs>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eastAsia="zh-CN"/>
              </w:rPr>
              <w:t>台</w:t>
            </w:r>
          </w:p>
        </w:tc>
        <w:tc>
          <w:tcPr>
            <w:tcW w:w="1704" w:type="dxa"/>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48</w:t>
            </w:r>
          </w:p>
        </w:tc>
        <w:tc>
          <w:tcPr>
            <w:tcW w:w="1704"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rPr>
                <w:rFonts w:hint="eastAsia" w:ascii="仿宋_GB2312" w:hAnsi="仿宋_GB2312" w:eastAsia="仿宋_GB2312" w:cs="仿宋_GB2312"/>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w:t>
            </w:r>
          </w:p>
        </w:tc>
        <w:tc>
          <w:tcPr>
            <w:tcW w:w="2389"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仿宋_GB2312" w:hAnsi="仿宋_GB2312" w:eastAsia="仿宋_GB2312" w:cs="仿宋_GB2312"/>
                <w:color w:val="auto"/>
                <w:sz w:val="21"/>
                <w:szCs w:val="21"/>
                <w:highlight w:val="none"/>
                <w:vertAlign w:val="baseline"/>
                <w:lang w:eastAsia="zh-CN"/>
              </w:rPr>
            </w:pPr>
            <w:r>
              <w:rPr>
                <w:rFonts w:hint="eastAsia" w:ascii="仿宋_GB2312" w:hAnsi="仿宋_GB2312" w:eastAsia="仿宋_GB2312" w:cs="仿宋_GB2312"/>
                <w:color w:val="auto"/>
                <w:sz w:val="21"/>
                <w:szCs w:val="21"/>
                <w:highlight w:val="none"/>
                <w:vertAlign w:val="baseline"/>
                <w:lang w:eastAsia="zh-CN"/>
              </w:rPr>
              <w:t>辅材</w:t>
            </w:r>
          </w:p>
        </w:tc>
        <w:tc>
          <w:tcPr>
            <w:tcW w:w="1018" w:type="dxa"/>
            <w:noWrap w:val="0"/>
            <w:vAlign w:val="center"/>
          </w:tcPr>
          <w:p>
            <w:pPr>
              <w:pStyle w:val="8"/>
              <w:keepNext w:val="0"/>
              <w:keepLines w:val="0"/>
              <w:pageBreakBefore w:val="0"/>
              <w:widowControl w:val="0"/>
              <w:tabs>
                <w:tab w:val="left" w:pos="641"/>
              </w:tabs>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批</w:t>
            </w:r>
          </w:p>
        </w:tc>
        <w:tc>
          <w:tcPr>
            <w:tcW w:w="1704"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c>
          <w:tcPr>
            <w:tcW w:w="1704"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rPr>
                <w:rFonts w:hint="eastAsia" w:ascii="仿宋_GB2312" w:hAnsi="仿宋_GB2312" w:eastAsia="仿宋_GB2312" w:cs="仿宋_GB2312"/>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w:t>
            </w:r>
          </w:p>
        </w:tc>
        <w:tc>
          <w:tcPr>
            <w:tcW w:w="2389"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仿宋_GB2312" w:hAnsi="仿宋_GB2312" w:eastAsia="仿宋_GB2312" w:cs="仿宋_GB2312"/>
                <w:color w:val="auto"/>
                <w:sz w:val="21"/>
                <w:szCs w:val="21"/>
                <w:highlight w:val="none"/>
                <w:vertAlign w:val="baseline"/>
                <w:lang w:eastAsia="zh-CN"/>
              </w:rPr>
            </w:pPr>
            <w:r>
              <w:rPr>
                <w:rFonts w:hint="eastAsia" w:ascii="仿宋_GB2312" w:hAnsi="仿宋_GB2312" w:eastAsia="仿宋_GB2312" w:cs="仿宋_GB2312"/>
                <w:color w:val="auto"/>
                <w:sz w:val="21"/>
                <w:szCs w:val="21"/>
                <w:highlight w:val="none"/>
                <w:vertAlign w:val="baseline"/>
                <w:lang w:eastAsia="zh-CN"/>
              </w:rPr>
              <w:t>监控授权</w:t>
            </w:r>
          </w:p>
        </w:tc>
        <w:tc>
          <w:tcPr>
            <w:tcW w:w="1018" w:type="dxa"/>
            <w:shd w:val="clear" w:color="auto" w:fill="auto"/>
            <w:noWrap w:val="0"/>
            <w:vAlign w:val="center"/>
          </w:tcPr>
          <w:p>
            <w:pPr>
              <w:pStyle w:val="8"/>
              <w:keepNext w:val="0"/>
              <w:keepLines w:val="0"/>
              <w:pageBreakBefore w:val="0"/>
              <w:widowControl w:val="0"/>
              <w:tabs>
                <w:tab w:val="left" w:pos="641"/>
              </w:tabs>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eastAsia="zh-CN"/>
              </w:rPr>
              <w:t>台</w:t>
            </w:r>
          </w:p>
        </w:tc>
        <w:tc>
          <w:tcPr>
            <w:tcW w:w="1704" w:type="dxa"/>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2</w:t>
            </w:r>
          </w:p>
        </w:tc>
        <w:tc>
          <w:tcPr>
            <w:tcW w:w="1704"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rPr>
                <w:rFonts w:hint="eastAsia" w:ascii="仿宋_GB2312" w:hAnsi="仿宋_GB2312" w:eastAsia="仿宋_GB2312" w:cs="仿宋_GB2312"/>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w:t>
            </w:r>
          </w:p>
        </w:tc>
        <w:tc>
          <w:tcPr>
            <w:tcW w:w="2389"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仿宋_GB2312" w:hAnsi="仿宋_GB2312" w:eastAsia="仿宋_GB2312" w:cs="仿宋_GB2312"/>
                <w:color w:val="auto"/>
                <w:sz w:val="21"/>
                <w:szCs w:val="21"/>
                <w:highlight w:val="none"/>
                <w:vertAlign w:val="baseline"/>
                <w:lang w:eastAsia="zh-CN"/>
              </w:rPr>
            </w:pPr>
            <w:r>
              <w:rPr>
                <w:rFonts w:hint="eastAsia" w:ascii="仿宋_GB2312" w:hAnsi="仿宋_GB2312" w:eastAsia="仿宋_GB2312" w:cs="仿宋_GB2312"/>
                <w:color w:val="auto"/>
                <w:sz w:val="21"/>
                <w:szCs w:val="21"/>
                <w:highlight w:val="none"/>
                <w:vertAlign w:val="baseline"/>
                <w:lang w:eastAsia="zh-CN"/>
              </w:rPr>
              <w:t>安装调试费</w:t>
            </w:r>
          </w:p>
        </w:tc>
        <w:tc>
          <w:tcPr>
            <w:tcW w:w="1018" w:type="dxa"/>
            <w:noWrap w:val="0"/>
            <w:vAlign w:val="center"/>
          </w:tcPr>
          <w:p>
            <w:pPr>
              <w:pStyle w:val="8"/>
              <w:keepNext w:val="0"/>
              <w:keepLines w:val="0"/>
              <w:pageBreakBefore w:val="0"/>
              <w:widowControl w:val="0"/>
              <w:tabs>
                <w:tab w:val="left" w:pos="641"/>
              </w:tabs>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项</w:t>
            </w:r>
          </w:p>
        </w:tc>
        <w:tc>
          <w:tcPr>
            <w:tcW w:w="1704"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c>
          <w:tcPr>
            <w:tcW w:w="1704"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rPr>
                <w:rFonts w:hint="eastAsia" w:ascii="仿宋_GB2312" w:hAnsi="仿宋_GB2312" w:eastAsia="仿宋_GB2312" w:cs="仿宋_GB2312"/>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8" w:type="dxa"/>
            <w:gridSpan w:val="5"/>
            <w:noWrap w:val="0"/>
            <w:vAlign w:val="top"/>
          </w:tcPr>
          <w:p>
            <w:pPr>
              <w:pStyle w:val="8"/>
              <w:spacing w:after="0" w:line="560" w:lineRule="exact"/>
              <w:ind w:left="0" w:leftChars="0" w:right="0" w:rightChars="0" w:firstLine="0" w:firstLineChars="0"/>
              <w:jc w:val="left"/>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eastAsia="zh-CN"/>
              </w:rPr>
              <w:t>投标价格（</w:t>
            </w:r>
            <w:r>
              <w:rPr>
                <w:rFonts w:hint="eastAsia" w:ascii="仿宋_GB2312" w:hAnsi="仿宋_GB2312" w:eastAsia="仿宋_GB2312" w:cs="仿宋_GB2312"/>
                <w:color w:val="auto"/>
                <w:sz w:val="32"/>
                <w:szCs w:val="32"/>
                <w:highlight w:val="none"/>
                <w:vertAlign w:val="baseline"/>
                <w:lang w:val="en-US" w:eastAsia="zh-CN"/>
              </w:rPr>
              <w:t>万</w:t>
            </w:r>
            <w:r>
              <w:rPr>
                <w:rFonts w:hint="eastAsia" w:ascii="仿宋_GB2312" w:hAnsi="仿宋_GB2312" w:eastAsia="仿宋_GB2312" w:cs="仿宋_GB2312"/>
                <w:color w:val="auto"/>
                <w:sz w:val="32"/>
                <w:szCs w:val="32"/>
                <w:highlight w:val="none"/>
                <w:vertAlign w:val="baseline"/>
                <w:lang w:eastAsia="zh-CN"/>
              </w:rPr>
              <w:t>元）：</w:t>
            </w:r>
            <w:r>
              <w:rPr>
                <w:rFonts w:hint="eastAsia" w:ascii="仿宋_GB2312" w:hAnsi="仿宋_GB2312" w:eastAsia="仿宋_GB2312" w:cs="仿宋_GB2312"/>
                <w:color w:val="auto"/>
                <w:sz w:val="32"/>
                <w:szCs w:val="32"/>
                <w:highlight w:val="none"/>
                <w:vertAlign w:val="baseline"/>
                <w:lang w:val="en-US" w:eastAsia="zh-CN"/>
              </w:rPr>
              <w:t>_____（以万元为单位，最多保留两位小数）</w:t>
            </w:r>
          </w:p>
        </w:tc>
      </w:tr>
    </w:tbl>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五、</w:t>
      </w:r>
      <w:r>
        <w:rPr>
          <w:rFonts w:hint="eastAsia" w:ascii="黑体" w:hAnsi="黑体" w:eastAsia="黑体" w:cs="黑体"/>
          <w:color w:val="auto"/>
          <w:sz w:val="32"/>
          <w:szCs w:val="32"/>
          <w:highlight w:val="none"/>
        </w:rPr>
        <w:t>供应商的资质要求</w:t>
      </w:r>
    </w:p>
    <w:p>
      <w:pPr>
        <w:pStyle w:val="18"/>
        <w:spacing w:line="560" w:lineRule="exact"/>
        <w:ind w:firstLine="640"/>
        <w:jc w:val="left"/>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eastAsia="zh-CN"/>
        </w:rPr>
        <w:t>一</w:t>
      </w:r>
      <w:r>
        <w:rPr>
          <w:rFonts w:hint="eastAsia" w:ascii="仿宋_GB2312" w:hAnsi="仿宋" w:eastAsia="仿宋_GB2312" w:cs="仿宋"/>
          <w:color w:val="auto"/>
          <w:sz w:val="32"/>
          <w:szCs w:val="32"/>
          <w:highlight w:val="none"/>
        </w:rPr>
        <w:t>）在中国境内注册的独立法人或其他组织</w:t>
      </w:r>
      <w:r>
        <w:rPr>
          <w:rFonts w:hint="eastAsia" w:ascii="仿宋_GB2312" w:hAnsi="仿宋" w:eastAsia="仿宋_GB2312" w:cs="仿宋"/>
          <w:color w:val="auto"/>
          <w:sz w:val="32"/>
          <w:szCs w:val="32"/>
          <w:highlight w:val="none"/>
          <w:lang w:eastAsia="zh-CN"/>
        </w:rPr>
        <w:t xml:space="preserve"> </w:t>
      </w:r>
      <w:r>
        <w:rPr>
          <w:rFonts w:hint="eastAsia" w:ascii="仿宋_GB2312" w:hAnsi="仿宋" w:eastAsia="仿宋_GB2312" w:cs="仿宋"/>
          <w:color w:val="auto"/>
          <w:sz w:val="32"/>
          <w:szCs w:val="32"/>
          <w:highlight w:val="none"/>
        </w:rPr>
        <w:t>（提供营业执照、事业法人证书、社会团体法人登记证书</w:t>
      </w:r>
      <w:r>
        <w:rPr>
          <w:rFonts w:hint="eastAsia" w:ascii="仿宋_GB2312" w:hAnsi="仿宋" w:eastAsia="仿宋_GB2312" w:cs="仿宋"/>
          <w:color w:val="auto"/>
          <w:sz w:val="32"/>
          <w:szCs w:val="32"/>
          <w:highlight w:val="none"/>
          <w:lang w:eastAsia="zh-CN"/>
        </w:rPr>
        <w:t>、资质证书</w:t>
      </w:r>
      <w:r>
        <w:rPr>
          <w:rFonts w:hint="eastAsia" w:ascii="仿宋_GB2312" w:hAnsi="仿宋" w:eastAsia="仿宋_GB2312" w:cs="仿宋"/>
          <w:color w:val="auto"/>
          <w:sz w:val="32"/>
          <w:szCs w:val="32"/>
          <w:highlight w:val="none"/>
        </w:rPr>
        <w:t>等扫描件）总公司或者分公司只允许一家投标，不允许同时参与本项目投标，分公司参与投标的，须提供总公司或具有独立法人的上一级公司出具的愿为其参与本项目投标</w:t>
      </w:r>
      <w:r>
        <w:rPr>
          <w:rFonts w:hint="eastAsia" w:ascii="仿宋_GB2312" w:hAnsi="仿宋" w:cs="仿宋"/>
          <w:color w:val="auto"/>
          <w:sz w:val="32"/>
          <w:szCs w:val="32"/>
          <w:highlight w:val="none"/>
          <w:lang w:val="en-US" w:eastAsia="zh-CN"/>
        </w:rPr>
        <w:t>的</w:t>
      </w:r>
      <w:r>
        <w:rPr>
          <w:rFonts w:hint="eastAsia" w:ascii="仿宋_GB2312" w:hAnsi="仿宋" w:eastAsia="仿宋_GB2312" w:cs="仿宋"/>
          <w:color w:val="auto"/>
          <w:sz w:val="32"/>
          <w:szCs w:val="32"/>
          <w:highlight w:val="none"/>
        </w:rPr>
        <w:t>行为以及履约等行为承担民事责任的加盖总公司公章的授权函，以及提供总、分公司的营业执照扫描件；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eastAsia="zh-CN"/>
        </w:rPr>
        <w:t>二</w:t>
      </w:r>
      <w:r>
        <w:rPr>
          <w:rFonts w:hint="eastAsia" w:ascii="仿宋_GB2312" w:hAnsi="仿宋" w:eastAsia="仿宋_GB2312" w:cs="仿宋"/>
          <w:color w:val="auto"/>
          <w:sz w:val="32"/>
          <w:szCs w:val="32"/>
          <w:highlight w:val="none"/>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highlight w:val="none"/>
          <w:lang w:eastAsia="zh-CN"/>
        </w:rPr>
        <w:t>；</w:t>
      </w:r>
    </w:p>
    <w:p>
      <w:pPr>
        <w:pStyle w:val="18"/>
        <w:spacing w:line="560" w:lineRule="exact"/>
        <w:ind w:firstLine="640"/>
        <w:jc w:val="left"/>
        <w:rPr>
          <w:rFonts w:hint="eastAsia" w:ascii="黑体" w:hAnsi="黑体" w:eastAsia="黑体" w:cs="黑体"/>
          <w:color w:val="auto"/>
          <w:sz w:val="32"/>
          <w:szCs w:val="32"/>
          <w:highlight w:val="none"/>
        </w:rPr>
      </w:pPr>
      <w:r>
        <w:rPr>
          <w:rFonts w:hint="eastAsia" w:ascii="仿宋_GB2312" w:hAnsi="仿宋" w:eastAsia="仿宋_GB2312" w:cs="仿宋"/>
          <w:color w:val="auto"/>
          <w:sz w:val="32"/>
          <w:szCs w:val="32"/>
          <w:highlight w:val="none"/>
        </w:rPr>
        <w:t>（三）</w:t>
      </w:r>
      <w:r>
        <w:rPr>
          <w:rFonts w:hint="eastAsia" w:ascii="仿宋_GB2312" w:hAnsi="仿宋" w:eastAsia="仿宋_GB2312" w:cs="仿宋"/>
          <w:bCs/>
          <w:color w:val="auto"/>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color w:val="auto"/>
          <w:sz w:val="32"/>
          <w:szCs w:val="32"/>
          <w:highlight w:val="none"/>
        </w:rPr>
        <w:t>，不得同时参加本项目的采购活动</w:t>
      </w:r>
      <w:r>
        <w:rPr>
          <w:rFonts w:hint="eastAsia" w:ascii="仿宋_GB2312" w:hAnsi="仿宋" w:cs="仿宋"/>
          <w:color w:val="auto"/>
          <w:sz w:val="32"/>
          <w:szCs w:val="32"/>
          <w:highlight w:val="none"/>
          <w:lang w:eastAsia="zh-CN"/>
        </w:rPr>
        <w:t>。</w:t>
      </w:r>
    </w:p>
    <w:p>
      <w:pPr>
        <w:spacing w:line="560" w:lineRule="exact"/>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六、选定供应商方法</w:t>
      </w:r>
    </w:p>
    <w:p>
      <w:pPr>
        <w:keepNext w:val="0"/>
        <w:keepLines w:val="0"/>
        <w:pageBreakBefore w:val="0"/>
        <w:widowControl w:val="0"/>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仿宋_GB2312" w:hAnsi="仿宋" w:eastAsia="仿宋_GB2312"/>
          <w:color w:val="auto"/>
          <w:sz w:val="32"/>
          <w:highlight w:val="none"/>
          <w:lang w:val="en-US" w:eastAsia="zh-CN"/>
        </w:rPr>
      </w:pPr>
      <w:r>
        <w:rPr>
          <w:rFonts w:hint="eastAsia" w:ascii="仿宋_GB2312" w:hAnsi="仿宋" w:eastAsia="仿宋_GB2312"/>
          <w:color w:val="auto"/>
          <w:sz w:val="32"/>
          <w:highlight w:val="none"/>
          <w:lang w:eastAsia="zh-CN"/>
        </w:rPr>
        <w:t>公开征集——综合评分法</w:t>
      </w:r>
    </w:p>
    <w:p>
      <w:pPr>
        <w:pStyle w:val="17"/>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评分要求</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rPr>
          <w:rFonts w:hint="eastAsia" w:ascii="仿宋_GB2312" w:eastAsia="仿宋_GB2312"/>
          <w:color w:val="auto"/>
          <w:sz w:val="32"/>
          <w:szCs w:val="32"/>
          <w:highlight w:val="none"/>
        </w:rPr>
      </w:pPr>
      <w:r>
        <w:rPr>
          <w:rFonts w:hint="eastAsia" w:ascii="楷体" w:hAnsi="楷体" w:eastAsia="楷体" w:cs="楷体"/>
          <w:b w:val="0"/>
          <w:bCs/>
          <w:color w:val="auto"/>
          <w:sz w:val="32"/>
          <w:szCs w:val="32"/>
          <w:highlight w:val="none"/>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采取综合评分标准，</w:t>
      </w:r>
      <w:r>
        <w:rPr>
          <w:rFonts w:hint="eastAsia" w:ascii="仿宋_GB2312" w:hAnsi="仿宋_GB2312" w:eastAsia="仿宋_GB2312" w:cs="仿宋_GB2312"/>
          <w:color w:val="auto"/>
          <w:sz w:val="32"/>
          <w:szCs w:val="32"/>
          <w:highlight w:val="none"/>
          <w:lang w:eastAsia="zh-CN"/>
        </w:rPr>
        <w:t>平均分</w:t>
      </w:r>
      <w:r>
        <w:rPr>
          <w:rFonts w:hint="eastAsia" w:ascii="仿宋_GB2312" w:hAnsi="仿宋_GB2312" w:eastAsia="仿宋_GB2312" w:cs="仿宋_GB2312"/>
          <w:color w:val="auto"/>
          <w:sz w:val="32"/>
          <w:szCs w:val="32"/>
          <w:highlight w:val="none"/>
        </w:rPr>
        <w:t>最高的投标人为本项目中标人。</w:t>
      </w:r>
    </w:p>
    <w:p>
      <w:pPr>
        <w:pStyle w:val="17"/>
        <w:numPr>
          <w:ilvl w:val="0"/>
          <w:numId w:val="0"/>
        </w:numPr>
        <w:spacing w:line="560" w:lineRule="exact"/>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lang w:val="en-US" w:eastAsia="zh-CN"/>
        </w:rPr>
        <w:t xml:space="preserve">   （二）</w:t>
      </w:r>
      <w:r>
        <w:rPr>
          <w:rFonts w:hint="eastAsia" w:ascii="楷体" w:hAnsi="楷体" w:eastAsia="楷体" w:cs="楷体"/>
          <w:b w:val="0"/>
          <w:bCs/>
          <w:color w:val="auto"/>
          <w:sz w:val="32"/>
          <w:szCs w:val="32"/>
          <w:highlight w:val="none"/>
        </w:rPr>
        <w:t>评分权重</w:t>
      </w:r>
    </w:p>
    <w:tbl>
      <w:tblPr>
        <w:tblStyle w:val="13"/>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367"/>
        <w:gridCol w:w="2247"/>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48" w:type="dxa"/>
            <w:noWrap w:val="0"/>
            <w:vAlign w:val="top"/>
          </w:tcPr>
          <w:p>
            <w:pPr>
              <w:pStyle w:val="17"/>
              <w:spacing w:line="560" w:lineRule="exact"/>
              <w:jc w:val="center"/>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评分内容</w:t>
            </w:r>
          </w:p>
        </w:tc>
        <w:tc>
          <w:tcPr>
            <w:tcW w:w="2367" w:type="dxa"/>
            <w:noWrap w:val="0"/>
            <w:vAlign w:val="top"/>
          </w:tcPr>
          <w:p>
            <w:pPr>
              <w:pStyle w:val="17"/>
              <w:spacing w:line="560" w:lineRule="exact"/>
              <w:jc w:val="center"/>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商务能力</w:t>
            </w:r>
          </w:p>
        </w:tc>
        <w:tc>
          <w:tcPr>
            <w:tcW w:w="2247" w:type="dxa"/>
            <w:noWrap w:val="0"/>
            <w:vAlign w:val="top"/>
          </w:tcPr>
          <w:p>
            <w:pPr>
              <w:pStyle w:val="17"/>
              <w:spacing w:line="560" w:lineRule="exact"/>
              <w:jc w:val="center"/>
              <w:rPr>
                <w:rFonts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技术能力</w:t>
            </w:r>
          </w:p>
        </w:tc>
        <w:tc>
          <w:tcPr>
            <w:tcW w:w="1947" w:type="dxa"/>
            <w:noWrap w:val="0"/>
            <w:vAlign w:val="top"/>
          </w:tcPr>
          <w:p>
            <w:pPr>
              <w:pStyle w:val="17"/>
              <w:spacing w:line="560" w:lineRule="exact"/>
              <w:jc w:val="center"/>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948" w:type="dxa"/>
            <w:noWrap w:val="0"/>
            <w:vAlign w:val="top"/>
          </w:tcPr>
          <w:p>
            <w:pPr>
              <w:pStyle w:val="17"/>
              <w:spacing w:line="560" w:lineRule="exact"/>
              <w:jc w:val="center"/>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分值</w:t>
            </w:r>
          </w:p>
        </w:tc>
        <w:tc>
          <w:tcPr>
            <w:tcW w:w="2367" w:type="dxa"/>
            <w:noWrap w:val="0"/>
            <w:vAlign w:val="top"/>
          </w:tcPr>
          <w:p>
            <w:pPr>
              <w:pStyle w:val="17"/>
              <w:spacing w:line="560" w:lineRule="exact"/>
              <w:jc w:val="center"/>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lang w:val="en-US" w:eastAsia="zh-CN"/>
              </w:rPr>
              <w:t>20</w:t>
            </w:r>
            <w:r>
              <w:rPr>
                <w:rFonts w:hint="eastAsia" w:ascii="仿宋_GB2312" w:hAnsi="仿宋_GB2312" w:eastAsia="仿宋_GB2312" w:cs="仿宋_GB2312"/>
                <w:b w:val="0"/>
                <w:bCs/>
                <w:color w:val="auto"/>
                <w:szCs w:val="24"/>
                <w:highlight w:val="none"/>
              </w:rPr>
              <w:t>分</w:t>
            </w:r>
          </w:p>
        </w:tc>
        <w:tc>
          <w:tcPr>
            <w:tcW w:w="2247" w:type="dxa"/>
            <w:noWrap w:val="0"/>
            <w:vAlign w:val="top"/>
          </w:tcPr>
          <w:p>
            <w:pPr>
              <w:pStyle w:val="17"/>
              <w:spacing w:line="560" w:lineRule="exact"/>
              <w:jc w:val="center"/>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lang w:val="en-US" w:eastAsia="zh-CN"/>
              </w:rPr>
              <w:t>50</w:t>
            </w:r>
            <w:r>
              <w:rPr>
                <w:rFonts w:hint="eastAsia" w:ascii="仿宋_GB2312" w:hAnsi="仿宋_GB2312" w:eastAsia="仿宋_GB2312" w:cs="仿宋_GB2312"/>
                <w:b w:val="0"/>
                <w:bCs/>
                <w:color w:val="auto"/>
                <w:szCs w:val="24"/>
                <w:highlight w:val="none"/>
              </w:rPr>
              <w:t>分</w:t>
            </w:r>
          </w:p>
        </w:tc>
        <w:tc>
          <w:tcPr>
            <w:tcW w:w="1947" w:type="dxa"/>
            <w:noWrap w:val="0"/>
            <w:vAlign w:val="top"/>
          </w:tcPr>
          <w:p>
            <w:pPr>
              <w:pStyle w:val="17"/>
              <w:spacing w:line="560" w:lineRule="exact"/>
              <w:jc w:val="center"/>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lang w:val="en-US" w:eastAsia="zh-CN"/>
              </w:rPr>
              <w:t>30</w:t>
            </w:r>
            <w:r>
              <w:rPr>
                <w:rFonts w:hint="eastAsia" w:ascii="仿宋_GB2312" w:hAnsi="仿宋_GB2312" w:eastAsia="仿宋_GB2312" w:cs="仿宋_GB2312"/>
                <w:b w:val="0"/>
                <w:bCs/>
                <w:color w:val="auto"/>
                <w:szCs w:val="24"/>
                <w:highlight w:val="none"/>
              </w:rPr>
              <w:t>分</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 w:hAnsi="楷体" w:eastAsia="楷体" w:cs="楷体"/>
          <w:b w:val="0"/>
          <w:bCs/>
          <w:color w:val="auto"/>
          <w:kern w:val="2"/>
          <w:sz w:val="32"/>
          <w:szCs w:val="32"/>
          <w:highlight w:val="none"/>
          <w:lang w:val="en-US" w:eastAsia="zh-CN" w:bidi="ar-SA"/>
        </w:rPr>
      </w:pPr>
      <w:r>
        <w:rPr>
          <w:rFonts w:hint="eastAsia" w:ascii="楷体" w:hAnsi="楷体" w:eastAsia="楷体" w:cs="楷体"/>
          <w:b w:val="0"/>
          <w:bCs/>
          <w:color w:val="auto"/>
          <w:kern w:val="2"/>
          <w:sz w:val="32"/>
          <w:szCs w:val="32"/>
          <w:highlight w:val="none"/>
          <w:lang w:val="en-US" w:eastAsia="zh-CN" w:bidi="ar-SA"/>
        </w:rPr>
        <w:t>(三）评分标准</w:t>
      </w:r>
    </w:p>
    <w:tbl>
      <w:tblPr>
        <w:tblStyle w:val="13"/>
        <w:tblW w:w="92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7"/>
        <w:gridCol w:w="535"/>
        <w:gridCol w:w="891"/>
        <w:gridCol w:w="686"/>
        <w:gridCol w:w="6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b/>
                <w:bCs/>
                <w:i w:val="0"/>
                <w:iCs w:val="0"/>
                <w:color w:val="auto"/>
                <w:sz w:val="20"/>
                <w:szCs w:val="20"/>
                <w:highlight w:val="none"/>
                <w:u w:val="none"/>
              </w:rPr>
            </w:pPr>
            <w:r>
              <w:rPr>
                <w:rFonts w:hint="eastAsia" w:ascii="仿宋_GB2312" w:hAnsi="宋体" w:eastAsia="仿宋_GB2312" w:cs="仿宋_GB2312"/>
                <w:b/>
                <w:bCs/>
                <w:i w:val="0"/>
                <w:iCs w:val="0"/>
                <w:color w:val="auto"/>
                <w:kern w:val="0"/>
                <w:sz w:val="20"/>
                <w:szCs w:val="20"/>
                <w:highlight w:val="none"/>
                <w:u w:val="none"/>
                <w:lang w:val="en-US" w:eastAsia="zh-CN" w:bidi="ar"/>
              </w:rPr>
              <w:t>序号</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0"/>
                <w:szCs w:val="20"/>
                <w:highlight w:val="none"/>
                <w:u w:val="none"/>
              </w:rPr>
            </w:pPr>
            <w:r>
              <w:rPr>
                <w:rFonts w:hint="eastAsia" w:ascii="仿宋_GB2312" w:hAnsi="宋体" w:eastAsia="仿宋_GB2312" w:cs="仿宋_GB2312"/>
                <w:b/>
                <w:bCs/>
                <w:i w:val="0"/>
                <w:iCs w:val="0"/>
                <w:color w:val="auto"/>
                <w:kern w:val="0"/>
                <w:sz w:val="20"/>
                <w:szCs w:val="20"/>
                <w:highlight w:val="none"/>
                <w:u w:val="none"/>
                <w:lang w:val="en-US" w:eastAsia="zh-CN" w:bidi="ar"/>
              </w:rPr>
              <w:t>评分项</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0"/>
                <w:szCs w:val="20"/>
                <w:highlight w:val="none"/>
                <w:u w:val="none"/>
              </w:rPr>
            </w:pPr>
            <w:r>
              <w:rPr>
                <w:rFonts w:hint="eastAsia" w:ascii="仿宋_GB2312" w:hAnsi="宋体" w:eastAsia="仿宋_GB2312" w:cs="仿宋_GB2312"/>
                <w:b/>
                <w:bCs/>
                <w:i w:val="0"/>
                <w:iCs w:val="0"/>
                <w:color w:val="auto"/>
                <w:kern w:val="0"/>
                <w:sz w:val="20"/>
                <w:szCs w:val="20"/>
                <w:highlight w:val="none"/>
                <w:u w:val="none"/>
                <w:lang w:val="en-US" w:eastAsia="zh-CN" w:bidi="ar"/>
              </w:rPr>
              <w:t>内容</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0"/>
                <w:szCs w:val="20"/>
                <w:highlight w:val="none"/>
                <w:u w:val="none"/>
              </w:rPr>
            </w:pPr>
            <w:r>
              <w:rPr>
                <w:rFonts w:hint="eastAsia" w:ascii="仿宋_GB2312" w:hAnsi="宋体" w:eastAsia="仿宋_GB2312" w:cs="仿宋_GB2312"/>
                <w:b/>
                <w:bCs/>
                <w:i w:val="0"/>
                <w:iCs w:val="0"/>
                <w:color w:val="auto"/>
                <w:kern w:val="0"/>
                <w:sz w:val="20"/>
                <w:szCs w:val="20"/>
                <w:highlight w:val="none"/>
                <w:u w:val="none"/>
                <w:lang w:val="en-US" w:eastAsia="zh-CN" w:bidi="ar"/>
              </w:rPr>
              <w:t>分值</w:t>
            </w:r>
          </w:p>
        </w:tc>
        <w:tc>
          <w:tcPr>
            <w:tcW w:w="6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0"/>
                <w:szCs w:val="20"/>
                <w:highlight w:val="none"/>
                <w:u w:val="none"/>
              </w:rPr>
            </w:pPr>
            <w:r>
              <w:rPr>
                <w:rFonts w:hint="eastAsia" w:ascii="仿宋_GB2312" w:hAnsi="宋体" w:eastAsia="仿宋_GB2312" w:cs="仿宋_GB2312"/>
                <w:b/>
                <w:bCs/>
                <w:i w:val="0"/>
                <w:iCs w:val="0"/>
                <w:color w:val="auto"/>
                <w:kern w:val="0"/>
                <w:sz w:val="20"/>
                <w:szCs w:val="20"/>
                <w:highlight w:val="none"/>
                <w:u w:val="none"/>
                <w:lang w:val="en-US" w:eastAsia="zh-CN" w:bidi="ar"/>
              </w:rPr>
              <w:t>评分规则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价格</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经费测算</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30</w:t>
            </w:r>
          </w:p>
        </w:tc>
        <w:tc>
          <w:tcPr>
            <w:tcW w:w="6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以本次报价或投标人所报的有效报价中的最低价作为基准报价。投标人报价得分=（基准价/投标人报价）*30分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技术</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部分</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实施方案</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highlight w:val="none"/>
                <w:u w:val="none"/>
                <w:lang w:val="en-US" w:eastAsia="zh-CN"/>
              </w:rPr>
            </w:pPr>
            <w:r>
              <w:rPr>
                <w:rFonts w:hint="eastAsia" w:ascii="仿宋_GB2312" w:hAnsi="宋体" w:eastAsia="仿宋_GB2312" w:cs="仿宋_GB2312"/>
                <w:i w:val="0"/>
                <w:iCs w:val="0"/>
                <w:color w:val="auto"/>
                <w:sz w:val="20"/>
                <w:szCs w:val="20"/>
                <w:highlight w:val="none"/>
                <w:u w:val="none"/>
                <w:lang w:val="en-US" w:eastAsia="zh-CN"/>
              </w:rPr>
              <w:t>25</w:t>
            </w:r>
          </w:p>
        </w:tc>
        <w:tc>
          <w:tcPr>
            <w:tcW w:w="6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auto"/>
                <w:kern w:val="0"/>
                <w:sz w:val="20"/>
                <w:szCs w:val="20"/>
                <w:highlight w:val="none"/>
                <w:u w:val="none"/>
                <w:lang w:val="en-US" w:eastAsia="zh-CN" w:bidi="ar"/>
              </w:rPr>
            </w:pPr>
            <w:r>
              <w:rPr>
                <w:rFonts w:hint="eastAsia" w:ascii="仿宋_GB2312" w:hAnsi="宋体" w:eastAsia="仿宋_GB2312" w:cs="仿宋_GB2312"/>
                <w:b/>
                <w:bCs/>
                <w:i w:val="0"/>
                <w:iCs w:val="0"/>
                <w:color w:val="auto"/>
                <w:kern w:val="0"/>
                <w:sz w:val="20"/>
                <w:szCs w:val="20"/>
                <w:highlight w:val="none"/>
                <w:u w:val="none"/>
                <w:lang w:val="en-US" w:eastAsia="zh-CN" w:bidi="ar"/>
              </w:rPr>
              <w:t>考察内容：</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（1）对项目需求理解程度，技术方案的合理性、可行性；</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（2）对项目场地系统实施、安装要点；</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（3）建立日常运行维护、系统升级方案。</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b/>
                <w:bCs/>
                <w:i w:val="0"/>
                <w:iCs w:val="0"/>
                <w:color w:val="auto"/>
                <w:kern w:val="0"/>
                <w:sz w:val="20"/>
                <w:szCs w:val="20"/>
                <w:highlight w:val="none"/>
                <w:u w:val="none"/>
                <w:lang w:val="en-US" w:eastAsia="zh-CN" w:bidi="ar"/>
              </w:rPr>
              <w:t>评分标准：</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满足以上任意一项要求得5分，最高得15分，在此基础上，根据供应商的具体响应内容按照量化的评审因素指标进一步评审，设定优、良、中、差四个评分标准：</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1.优：项目实施方案内容全面、具体、针对性强、科学合理、可操作性强得10分；</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2.良：项目实施方案内容较丰富、较具体、针对性较强、较科学合理、可操作性较强得7分；</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3.中：项目实施方案内容、针对性、可操作性一般得4分；</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4.差：其它情况不得分。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8" w:hRule="atLeast"/>
        </w:trPr>
        <w:tc>
          <w:tcPr>
            <w:tcW w:w="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质量保障措施及方案</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highlight w:val="none"/>
                <w:u w:val="none"/>
                <w:lang w:val="en-US" w:eastAsia="zh-CN"/>
              </w:rPr>
            </w:pPr>
            <w:r>
              <w:rPr>
                <w:rFonts w:hint="eastAsia" w:ascii="仿宋_GB2312" w:hAnsi="宋体" w:eastAsia="仿宋_GB2312" w:cs="仿宋_GB2312"/>
                <w:i w:val="0"/>
                <w:iCs w:val="0"/>
                <w:color w:val="auto"/>
                <w:sz w:val="20"/>
                <w:szCs w:val="20"/>
                <w:highlight w:val="none"/>
                <w:u w:val="none"/>
                <w:lang w:val="en-US" w:eastAsia="zh-CN"/>
              </w:rPr>
              <w:t>25</w:t>
            </w:r>
          </w:p>
        </w:tc>
        <w:tc>
          <w:tcPr>
            <w:tcW w:w="6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考察内容：</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1、产品品质保障措施；</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2、售后技术支持与服务质量保障措施；</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3、故障应急处置及响应实施方案。</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b/>
                <w:bCs/>
                <w:i w:val="0"/>
                <w:iCs w:val="0"/>
                <w:color w:val="auto"/>
                <w:kern w:val="0"/>
                <w:sz w:val="20"/>
                <w:szCs w:val="20"/>
                <w:highlight w:val="none"/>
                <w:u w:val="none"/>
                <w:lang w:val="en-US" w:eastAsia="zh-CN" w:bidi="ar"/>
              </w:rPr>
              <w:t>评分标准：</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满足以上任意一项要求得5分，最高得15分，在此基础上，根据供应商的具体响应内容按照量化的评审因素指标进一步评审，设定优、良、中、差四个评分标准：</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1.优：质量保障措施及方案内容全面具体、科学合理、针对性强、可操作性强，加10分；</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2.良：质量保障措施及方案内容较丰富、科学合理、针对性较强、可操作性较强，加7分；</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3.中：质量保障措施及方案内容完整性、科学合理、针对性、可操作性均一般，加4分；</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4.差：其它情况不得分。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w:t>
            </w:r>
          </w:p>
        </w:tc>
        <w:tc>
          <w:tcPr>
            <w:tcW w:w="53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商务</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部分</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同类项目业绩</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10</w:t>
            </w:r>
          </w:p>
        </w:tc>
        <w:tc>
          <w:tcPr>
            <w:tcW w:w="6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考察内容：</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提供2023年01月01日至本项目投标截止之日（以合同签订时间为准）投标人具有存储设备类采购项目经验，提供交付合同，每提供1个得5分，最高得10分。（同一项目连续续签不重复得分，同一采购单位不重复计分）</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证明文件：</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提供项目合同关键信息扫描件或复印件加盖投标人公章，未提供或未按要求提供或提供的扫描件不清晰导致专家无法判断的，不得分。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w:t>
            </w:r>
          </w:p>
        </w:tc>
        <w:tc>
          <w:tcPr>
            <w:tcW w:w="535" w:type="dxa"/>
            <w:vMerge w:val="continue"/>
            <w:tcBorders>
              <w:left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仿宋_GB2312" w:eastAsia="仿宋_GB2312" w:cs="仿宋_GB2312"/>
                <w:sz w:val="24"/>
                <w:szCs w:val="24"/>
                <w:lang w:val="en-US" w:eastAsia="zh-CN"/>
              </w:rPr>
              <w:t>拟安排项目负责人</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5</w:t>
            </w:r>
          </w:p>
        </w:tc>
        <w:tc>
          <w:tcPr>
            <w:tcW w:w="6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sz w:val="20"/>
                <w:szCs w:val="20"/>
                <w:highlight w:val="none"/>
                <w:u w:val="none"/>
              </w:rPr>
              <w:t>（一）评审内容</w:t>
            </w:r>
          </w:p>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sz w:val="20"/>
                <w:szCs w:val="20"/>
                <w:highlight w:val="none"/>
                <w:u w:val="none"/>
              </w:rPr>
              <w:t>拟安排的项目负责人（须为自有员工）情况：</w:t>
            </w:r>
          </w:p>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sz w:val="20"/>
                <w:szCs w:val="20"/>
                <w:highlight w:val="none"/>
                <w:u w:val="none"/>
              </w:rPr>
              <w:t>1.具有本科（或以上）学历的，</w:t>
            </w:r>
            <w:r>
              <w:rPr>
                <w:rFonts w:hint="eastAsia" w:ascii="仿宋_GB2312" w:hAnsi="宋体" w:eastAsia="仿宋_GB2312" w:cs="仿宋_GB2312"/>
                <w:i w:val="0"/>
                <w:iCs w:val="0"/>
                <w:color w:val="auto"/>
                <w:sz w:val="20"/>
                <w:szCs w:val="20"/>
                <w:highlight w:val="none"/>
                <w:u w:val="none"/>
                <w:lang w:val="en-US" w:eastAsia="zh-CN"/>
              </w:rPr>
              <w:t>3</w:t>
            </w:r>
            <w:r>
              <w:rPr>
                <w:rFonts w:hint="eastAsia" w:ascii="仿宋_GB2312" w:hAnsi="宋体" w:eastAsia="仿宋_GB2312" w:cs="仿宋_GB2312"/>
                <w:i w:val="0"/>
                <w:iCs w:val="0"/>
                <w:color w:val="auto"/>
                <w:sz w:val="20"/>
                <w:szCs w:val="20"/>
                <w:highlight w:val="none"/>
                <w:u w:val="none"/>
              </w:rPr>
              <w:t>分。</w:t>
            </w:r>
          </w:p>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sz w:val="20"/>
                <w:szCs w:val="20"/>
                <w:highlight w:val="none"/>
                <w:u w:val="none"/>
              </w:rPr>
              <w:t>2.项目负责人须具备计算机、信息系统类中级及以上职称；或持有人力资源和社会保障部、工业和信息化部统一颁发的信息系统项目管理师证书（高级）、系统集成项目管理工程师证书（中级），得</w:t>
            </w:r>
            <w:r>
              <w:rPr>
                <w:rFonts w:hint="eastAsia" w:ascii="仿宋_GB2312" w:hAnsi="宋体" w:eastAsia="仿宋_GB2312" w:cs="仿宋_GB2312"/>
                <w:i w:val="0"/>
                <w:iCs w:val="0"/>
                <w:color w:val="auto"/>
                <w:sz w:val="20"/>
                <w:szCs w:val="20"/>
                <w:highlight w:val="none"/>
                <w:u w:val="none"/>
                <w:lang w:val="en-US" w:eastAsia="zh-CN"/>
              </w:rPr>
              <w:t>2</w:t>
            </w:r>
            <w:r>
              <w:rPr>
                <w:rFonts w:hint="eastAsia" w:ascii="仿宋_GB2312" w:hAnsi="宋体" w:eastAsia="仿宋_GB2312" w:cs="仿宋_GB2312"/>
                <w:i w:val="0"/>
                <w:iCs w:val="0"/>
                <w:color w:val="auto"/>
                <w:sz w:val="20"/>
                <w:szCs w:val="20"/>
                <w:highlight w:val="none"/>
                <w:u w:val="none"/>
              </w:rPr>
              <w:t>分。</w:t>
            </w:r>
          </w:p>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sz w:val="20"/>
                <w:szCs w:val="20"/>
                <w:highlight w:val="none"/>
                <w:u w:val="none"/>
              </w:rPr>
              <w:t>以上合计最高得</w:t>
            </w:r>
            <w:r>
              <w:rPr>
                <w:rFonts w:hint="eastAsia" w:ascii="仿宋_GB2312" w:hAnsi="宋体" w:eastAsia="仿宋_GB2312" w:cs="仿宋_GB2312"/>
                <w:i w:val="0"/>
                <w:iCs w:val="0"/>
                <w:color w:val="auto"/>
                <w:sz w:val="20"/>
                <w:szCs w:val="20"/>
                <w:highlight w:val="none"/>
                <w:u w:val="none"/>
                <w:lang w:val="en-US" w:eastAsia="zh-CN"/>
              </w:rPr>
              <w:t>5</w:t>
            </w:r>
            <w:r>
              <w:rPr>
                <w:rFonts w:hint="eastAsia" w:ascii="仿宋_GB2312" w:hAnsi="宋体" w:eastAsia="仿宋_GB2312" w:cs="仿宋_GB2312"/>
                <w:i w:val="0"/>
                <w:iCs w:val="0"/>
                <w:color w:val="auto"/>
                <w:sz w:val="20"/>
                <w:szCs w:val="20"/>
                <w:highlight w:val="none"/>
                <w:u w:val="none"/>
              </w:rPr>
              <w:t>分。</w:t>
            </w:r>
          </w:p>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sz w:val="20"/>
                <w:szCs w:val="20"/>
                <w:highlight w:val="none"/>
                <w:u w:val="none"/>
              </w:rPr>
              <w:t>（二）评审依据：</w:t>
            </w:r>
          </w:p>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sz w:val="20"/>
                <w:szCs w:val="20"/>
                <w:highlight w:val="none"/>
                <w:u w:val="none"/>
              </w:rPr>
              <w:t>1.提供毕业证书扫描件</w:t>
            </w:r>
            <w:r>
              <w:rPr>
                <w:rFonts w:hint="eastAsia" w:ascii="仿宋_GB2312" w:hAnsi="宋体" w:eastAsia="仿宋_GB2312" w:cs="仿宋_GB2312"/>
                <w:i w:val="0"/>
                <w:iCs w:val="0"/>
                <w:color w:val="auto"/>
                <w:sz w:val="20"/>
                <w:szCs w:val="20"/>
                <w:highlight w:val="none"/>
                <w:u w:val="none"/>
                <w:lang w:eastAsia="zh-CN"/>
              </w:rPr>
              <w:t>及</w:t>
            </w:r>
            <w:r>
              <w:rPr>
                <w:rFonts w:hint="eastAsia" w:ascii="仿宋_GB2312" w:hAnsi="宋体" w:eastAsia="仿宋_GB2312" w:cs="仿宋_GB2312"/>
                <w:i w:val="0"/>
                <w:iCs w:val="0"/>
                <w:color w:val="auto"/>
                <w:sz w:val="20"/>
                <w:szCs w:val="20"/>
                <w:highlight w:val="none"/>
                <w:u w:val="none"/>
              </w:rPr>
              <w:t>学历信息在学信网查询结果截图，原件备查。</w:t>
            </w:r>
          </w:p>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sz w:val="20"/>
                <w:szCs w:val="20"/>
                <w:highlight w:val="none"/>
                <w:u w:val="none"/>
              </w:rPr>
              <w:t>2.提供相关证书证明材料。</w:t>
            </w:r>
          </w:p>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sz w:val="20"/>
                <w:szCs w:val="20"/>
                <w:highlight w:val="none"/>
                <w:u w:val="none"/>
              </w:rPr>
              <w:t>3.以上人员近三月社保缴纳记录。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53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服务承诺</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5</w:t>
            </w:r>
          </w:p>
        </w:tc>
        <w:tc>
          <w:tcPr>
            <w:tcW w:w="6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（一）评审内容：</w:t>
            </w:r>
          </w:p>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highlight w:val="none"/>
                <w:u w:val="none"/>
                <w:lang w:val="en-US" w:eastAsia="zh-CN"/>
              </w:rPr>
            </w:pPr>
            <w:r>
              <w:rPr>
                <w:rFonts w:hint="eastAsia" w:ascii="仿宋_GB2312" w:hAnsi="宋体" w:eastAsia="仿宋_GB2312" w:cs="仿宋_GB2312"/>
                <w:i w:val="0"/>
                <w:iCs w:val="0"/>
                <w:color w:val="auto"/>
                <w:sz w:val="20"/>
                <w:szCs w:val="20"/>
                <w:highlight w:val="none"/>
                <w:u w:val="none"/>
                <w:lang w:val="en-US" w:eastAsia="zh-CN"/>
              </w:rPr>
              <w:t>根据针对本项目做出的服务承诺，考察包括但不限于以下内容：</w:t>
            </w:r>
          </w:p>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highlight w:val="none"/>
                <w:u w:val="none"/>
                <w:lang w:val="en-US" w:eastAsia="zh-CN"/>
              </w:rPr>
            </w:pPr>
            <w:r>
              <w:rPr>
                <w:rFonts w:hint="eastAsia" w:ascii="仿宋_GB2312" w:hAnsi="宋体" w:eastAsia="仿宋_GB2312" w:cs="仿宋_GB2312"/>
                <w:i w:val="0"/>
                <w:iCs w:val="0"/>
                <w:color w:val="auto"/>
                <w:sz w:val="20"/>
                <w:szCs w:val="20"/>
                <w:highlight w:val="none"/>
                <w:u w:val="none"/>
                <w:lang w:val="en-US" w:eastAsia="zh-CN"/>
              </w:rPr>
              <w:t>1.产品质量保障；</w:t>
            </w:r>
          </w:p>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highlight w:val="none"/>
                <w:u w:val="none"/>
                <w:lang w:val="en-US" w:eastAsia="zh-CN"/>
              </w:rPr>
            </w:pPr>
            <w:r>
              <w:rPr>
                <w:rFonts w:hint="eastAsia" w:ascii="仿宋_GB2312" w:hAnsi="宋体" w:eastAsia="仿宋_GB2312" w:cs="仿宋_GB2312"/>
                <w:i w:val="0"/>
                <w:iCs w:val="0"/>
                <w:color w:val="auto"/>
                <w:sz w:val="20"/>
                <w:szCs w:val="20"/>
                <w:highlight w:val="none"/>
                <w:u w:val="none"/>
                <w:lang w:val="en-US" w:eastAsia="zh-CN"/>
              </w:rPr>
              <w:t>2.售后服务维保承诺。</w:t>
            </w:r>
          </w:p>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highlight w:val="none"/>
                <w:u w:val="none"/>
                <w:lang w:val="en-US" w:eastAsia="zh-CN"/>
              </w:rPr>
            </w:pPr>
            <w:r>
              <w:rPr>
                <w:rFonts w:hint="eastAsia" w:ascii="仿宋_GB2312" w:hAnsi="宋体" w:eastAsia="仿宋_GB2312" w:cs="仿宋_GB2312"/>
                <w:i w:val="0"/>
                <w:iCs w:val="0"/>
                <w:color w:val="auto"/>
                <w:sz w:val="20"/>
                <w:szCs w:val="20"/>
                <w:highlight w:val="none"/>
                <w:u w:val="none"/>
                <w:lang w:val="en-US" w:eastAsia="zh-CN"/>
              </w:rPr>
              <w:t>（二）评审依据：</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sz w:val="20"/>
                <w:szCs w:val="20"/>
                <w:highlight w:val="none"/>
                <w:u w:val="none"/>
                <w:lang w:val="en-US" w:eastAsia="zh-CN"/>
              </w:rPr>
              <w:t>提供服务承诺函（格式自拟）并加盖投标人公章，提供服务承诺得5分，未提供承诺或承诺内容不满足要求不得分。</w:t>
            </w:r>
          </w:p>
        </w:tc>
      </w:tr>
    </w:tbl>
    <w:p>
      <w:pPr>
        <w:pStyle w:val="17"/>
        <w:spacing w:line="560" w:lineRule="exact"/>
        <w:ind w:firstLine="640" w:firstLineChars="200"/>
        <w:rPr>
          <w:rFonts w:hint="eastAsia" w:ascii="方正黑体_GBK" w:hAnsi="方正黑体_GBK" w:eastAsia="方正黑体_GBK" w:cs="方正黑体_GBK"/>
          <w:b w:val="0"/>
          <w:bCs/>
          <w:color w:val="auto"/>
          <w:sz w:val="32"/>
          <w:szCs w:val="32"/>
          <w:highlight w:val="none"/>
          <w:lang w:eastAsia="zh-CN"/>
        </w:rPr>
      </w:pPr>
      <w:r>
        <w:rPr>
          <w:rFonts w:hint="eastAsia" w:ascii="方正黑体_GBK" w:hAnsi="方正黑体_GBK" w:eastAsia="方正黑体_GBK" w:cs="方正黑体_GBK"/>
          <w:b w:val="0"/>
          <w:bCs/>
          <w:color w:val="auto"/>
          <w:sz w:val="32"/>
          <w:szCs w:val="32"/>
          <w:highlight w:val="none"/>
          <w:lang w:eastAsia="zh-CN"/>
        </w:rPr>
        <w:t>八、</w:t>
      </w:r>
      <w:r>
        <w:rPr>
          <w:rFonts w:hint="eastAsia" w:ascii="方正黑体_GBK" w:hAnsi="方正黑体_GBK" w:eastAsia="方正黑体_GBK" w:cs="方正黑体_GBK"/>
          <w:b w:val="0"/>
          <w:bCs/>
          <w:color w:val="auto"/>
          <w:sz w:val="32"/>
          <w:szCs w:val="32"/>
          <w:highlight w:val="none"/>
        </w:rPr>
        <w:t>供应商提供资料清单</w:t>
      </w:r>
      <w:r>
        <w:rPr>
          <w:rFonts w:hint="eastAsia" w:ascii="方正黑体_GBK" w:hAnsi="方正黑体_GBK" w:eastAsia="方正黑体_GBK" w:cs="方正黑体_GBK"/>
          <w:b/>
          <w:bCs w:val="0"/>
          <w:color w:val="auto"/>
          <w:sz w:val="32"/>
          <w:szCs w:val="32"/>
          <w:highlight w:val="none"/>
          <w:lang w:eastAsia="zh-CN"/>
        </w:rPr>
        <w:t>（均需每页加盖公章）</w:t>
      </w:r>
    </w:p>
    <w:p>
      <w:pPr>
        <w:spacing w:line="560" w:lineRule="exact"/>
        <w:ind w:firstLine="640" w:firstLineChars="200"/>
        <w:jc w:val="left"/>
        <w:rPr>
          <w:rFonts w:ascii="仿宋_GB2312" w:hAnsi="仿宋" w:eastAsia="仿宋_GB2312" w:cs="Times New Roman"/>
          <w:color w:val="auto"/>
          <w:sz w:val="32"/>
          <w:highlight w:val="yellow"/>
        </w:rPr>
      </w:pPr>
      <w:r>
        <w:rPr>
          <w:rFonts w:hint="eastAsia" w:ascii="仿宋_GB2312" w:hAnsi="仿宋" w:eastAsia="仿宋_GB2312" w:cs="Times New Roman"/>
          <w:color w:val="auto"/>
          <w:sz w:val="32"/>
          <w:highlight w:val="none"/>
        </w:rPr>
        <w:t>1.营业执照、事业法人证书、社会团体法人登记证书；</w:t>
      </w:r>
    </w:p>
    <w:p>
      <w:pPr>
        <w:spacing w:line="560" w:lineRule="exact"/>
        <w:ind w:firstLine="640" w:firstLineChars="200"/>
        <w:jc w:val="left"/>
        <w:rPr>
          <w:color w:val="auto"/>
          <w:sz w:val="32"/>
          <w:szCs w:val="32"/>
          <w:highlight w:val="none"/>
        </w:rPr>
      </w:pPr>
      <w:r>
        <w:rPr>
          <w:rFonts w:hint="eastAsia" w:ascii="仿宋_GB2312" w:hAnsi="仿宋" w:eastAsia="仿宋_GB2312" w:cs="Times New Roman"/>
          <w:color w:val="auto"/>
          <w:sz w:val="32"/>
          <w:szCs w:val="32"/>
          <w:highlight w:val="none"/>
        </w:rPr>
        <w:t>2.法定代表人身份证复印件；</w:t>
      </w:r>
    </w:p>
    <w:p>
      <w:pPr>
        <w:pStyle w:val="8"/>
        <w:spacing w:after="0" w:line="560" w:lineRule="exact"/>
        <w:ind w:left="0" w:leftChars="0" w:right="0" w:rightChars="0" w:firstLine="640"/>
        <w:jc w:val="left"/>
        <w:rPr>
          <w:rFonts w:ascii="仿宋_GB2312" w:hAnsi="仿宋" w:eastAsia="仿宋_GB2312" w:cs="Times New Roman"/>
          <w:color w:val="auto"/>
          <w:sz w:val="32"/>
          <w:highlight w:val="none"/>
        </w:rPr>
      </w:pPr>
      <w:r>
        <w:rPr>
          <w:rFonts w:hint="eastAsia" w:ascii="仿宋_GB2312" w:hAnsi="仿宋" w:eastAsia="仿宋_GB2312" w:cs="Times New Roman"/>
          <w:color w:val="auto"/>
          <w:sz w:val="32"/>
          <w:highlight w:val="none"/>
        </w:rPr>
        <w:t>3.项目报价</w:t>
      </w:r>
      <w:r>
        <w:rPr>
          <w:rFonts w:hint="eastAsia" w:ascii="仿宋_GB2312" w:hAnsi="仿宋" w:eastAsia="仿宋_GB2312" w:cs="Times New Roman"/>
          <w:color w:val="auto"/>
          <w:sz w:val="32"/>
          <w:highlight w:val="none"/>
          <w:lang w:eastAsia="zh-CN"/>
        </w:rPr>
        <w:t>表</w:t>
      </w:r>
      <w:r>
        <w:rPr>
          <w:rFonts w:hint="eastAsia" w:ascii="仿宋_GB2312" w:hAnsi="仿宋" w:eastAsia="仿宋_GB2312" w:cs="Times New Roman"/>
          <w:b/>
          <w:bCs/>
          <w:color w:val="auto"/>
          <w:sz w:val="32"/>
          <w:highlight w:val="none"/>
          <w:lang w:eastAsia="zh-CN"/>
        </w:rPr>
        <w:t>（需按格式提供）</w:t>
      </w:r>
      <w:r>
        <w:rPr>
          <w:rFonts w:hint="eastAsia" w:ascii="仿宋_GB2312" w:hAnsi="仿宋" w:eastAsia="仿宋_GB2312" w:cs="Times New Roman"/>
          <w:color w:val="auto"/>
          <w:sz w:val="32"/>
          <w:highlight w:val="none"/>
        </w:rPr>
        <w:t>；</w:t>
      </w:r>
    </w:p>
    <w:p>
      <w:pPr>
        <w:pStyle w:val="8"/>
        <w:spacing w:after="0" w:line="560" w:lineRule="exact"/>
        <w:ind w:left="0" w:leftChars="0" w:right="0" w:rightChars="0" w:firstLine="640"/>
        <w:jc w:val="left"/>
        <w:rPr>
          <w:rFonts w:hint="eastAsia" w:ascii="仿宋_GB2312" w:hAnsi="仿宋" w:eastAsia="仿宋_GB2312" w:cs="Times New Roman"/>
          <w:color w:val="auto"/>
          <w:sz w:val="32"/>
          <w:highlight w:val="none"/>
        </w:rPr>
      </w:pPr>
      <w:r>
        <w:rPr>
          <w:rFonts w:hint="eastAsia" w:ascii="仿宋_GB2312" w:hAnsi="仿宋" w:eastAsia="仿宋_GB2312" w:cs="Times New Roman"/>
          <w:color w:val="auto"/>
          <w:sz w:val="32"/>
          <w:highlight w:val="none"/>
        </w:rPr>
        <w:t>4.评分规则所需资料（同类业绩证明、方案等）；</w:t>
      </w:r>
    </w:p>
    <w:p>
      <w:pPr>
        <w:pStyle w:val="8"/>
        <w:spacing w:after="0" w:line="560" w:lineRule="exact"/>
        <w:ind w:left="0" w:leftChars="0" w:right="0" w:rightChars="0" w:firstLine="640"/>
        <w:jc w:val="left"/>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5.诚信承诺书（详见附件1）；</w:t>
      </w:r>
    </w:p>
    <w:p>
      <w:pPr>
        <w:pStyle w:val="8"/>
        <w:spacing w:after="0" w:line="560" w:lineRule="exact"/>
        <w:ind w:left="0" w:leftChars="0" w:right="0" w:rightChars="0" w:firstLine="640"/>
        <w:jc w:val="left"/>
        <w:rPr>
          <w:rFonts w:hint="eastAsia" w:ascii="仿宋_GB2312" w:hAnsi="仿宋" w:eastAsia="仿宋_GB2312" w:cs="Times New Roman"/>
          <w:color w:val="auto"/>
          <w:sz w:val="32"/>
          <w:highlight w:val="none"/>
          <w:lang w:eastAsia="zh-CN"/>
        </w:rPr>
      </w:pPr>
      <w:r>
        <w:rPr>
          <w:rFonts w:hint="eastAsia" w:ascii="仿宋_GB2312" w:hAnsi="仿宋" w:eastAsia="仿宋_GB2312" w:cs="Times New Roman"/>
          <w:color w:val="auto"/>
          <w:sz w:val="32"/>
          <w:highlight w:val="none"/>
          <w:lang w:val="en-US" w:eastAsia="zh-CN"/>
        </w:rPr>
        <w:t>6.</w:t>
      </w:r>
      <w:r>
        <w:rPr>
          <w:rFonts w:hint="eastAsia" w:ascii="仿宋_GB2312" w:hAnsi="仿宋" w:eastAsia="仿宋_GB2312" w:cs="Times New Roman"/>
          <w:color w:val="auto"/>
          <w:sz w:val="32"/>
          <w:highlight w:val="none"/>
          <w:lang w:eastAsia="zh-CN"/>
        </w:rPr>
        <w:t>填写</w:t>
      </w:r>
      <w:r>
        <w:rPr>
          <w:rFonts w:hint="eastAsia" w:ascii="仿宋_GB2312" w:hAnsi="仿宋" w:eastAsia="仿宋_GB2312" w:cs="Times New Roman"/>
          <w:color w:val="auto"/>
          <w:sz w:val="32"/>
          <w:highlight w:val="none"/>
        </w:rPr>
        <w:t>《供应商基本情况表》</w:t>
      </w:r>
      <w:r>
        <w:rPr>
          <w:rFonts w:hint="eastAsia" w:ascii="仿宋_GB2312" w:hAnsi="仿宋" w:eastAsia="仿宋_GB2312" w:cs="Times New Roman"/>
          <w:color w:val="auto"/>
          <w:sz w:val="32"/>
          <w:highlight w:val="none"/>
          <w:lang w:eastAsia="zh-CN"/>
        </w:rPr>
        <w:t>（加盖公章，</w:t>
      </w:r>
      <w:r>
        <w:rPr>
          <w:rFonts w:hint="eastAsia" w:ascii="仿宋_GB2312" w:hAnsi="仿宋" w:eastAsia="仿宋_GB2312" w:cs="Times New Roman"/>
          <w:color w:val="auto"/>
          <w:sz w:val="32"/>
          <w:highlight w:val="none"/>
        </w:rPr>
        <w:t>详见附件</w:t>
      </w:r>
      <w:r>
        <w:rPr>
          <w:rFonts w:hint="eastAsia" w:ascii="仿宋_GB2312" w:hAnsi="仿宋" w:eastAsia="仿宋_GB2312" w:cs="Times New Roman"/>
          <w:color w:val="auto"/>
          <w:sz w:val="32"/>
          <w:highlight w:val="none"/>
          <w:lang w:val="en-US" w:eastAsia="zh-CN"/>
        </w:rPr>
        <w:t>2</w:t>
      </w:r>
      <w:r>
        <w:rPr>
          <w:rFonts w:hint="eastAsia" w:ascii="仿宋_GB2312" w:hAnsi="仿宋" w:eastAsia="仿宋_GB2312" w:cs="Times New Roman"/>
          <w:color w:val="auto"/>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color w:val="auto"/>
          <w:sz w:val="32"/>
          <w:highlight w:val="none"/>
          <w:lang w:val="en-US" w:eastAsia="zh-CN"/>
        </w:rPr>
        <w:t>3</w:t>
      </w:r>
      <w:r>
        <w:rPr>
          <w:rFonts w:hint="eastAsia" w:ascii="仿宋_GB2312" w:hAnsi="仿宋" w:eastAsia="仿宋_GB2312" w:cs="Times New Roman"/>
          <w:color w:val="auto"/>
          <w:sz w:val="32"/>
          <w:highlight w:val="none"/>
          <w:lang w:eastAsia="zh-CN"/>
        </w:rPr>
        <w:t>个月的，可提供加盖公章的情况说明或其他相关证明材料。</w:t>
      </w:r>
    </w:p>
    <w:p>
      <w:pPr>
        <w:pStyle w:val="8"/>
        <w:spacing w:after="0" w:line="560" w:lineRule="exact"/>
        <w:ind w:left="0" w:leftChars="0" w:right="0" w:rightChars="0" w:firstLine="640"/>
        <w:jc w:val="left"/>
        <w:rPr>
          <w:rFonts w:hint="eastAsia" w:ascii="方正黑体_GBK" w:hAnsi="方正黑体_GBK" w:eastAsia="方正黑体_GBK" w:cs="方正黑体_GBK"/>
          <w:color w:val="auto"/>
          <w:sz w:val="32"/>
          <w:highlight w:val="none"/>
          <w:lang w:val="en-US" w:eastAsia="zh-CN"/>
        </w:rPr>
      </w:pPr>
      <w:r>
        <w:rPr>
          <w:rFonts w:hint="eastAsia" w:ascii="方正黑体_GBK" w:hAnsi="方正黑体_GBK" w:eastAsia="方正黑体_GBK" w:cs="方正黑体_GBK"/>
          <w:color w:val="auto"/>
          <w:sz w:val="32"/>
          <w:highlight w:val="none"/>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color w:val="auto"/>
          <w:kern w:val="2"/>
          <w:sz w:val="32"/>
          <w:szCs w:val="24"/>
          <w:highlight w:val="none"/>
          <w:lang w:val="en-US" w:eastAsia="zh-CN" w:bidi="ar-SA"/>
        </w:rPr>
      </w:pPr>
      <w:r>
        <w:rPr>
          <w:rFonts w:hint="eastAsia" w:ascii="仿宋_GB2312" w:hAnsi="仿宋" w:eastAsia="仿宋_GB2312" w:cs="Times New Roman"/>
          <w:color w:val="auto"/>
          <w:sz w:val="32"/>
          <w:highlight w:val="none"/>
          <w:lang w:val="en-US" w:eastAsia="zh-CN"/>
        </w:rPr>
        <w:t>1.供应商需</w:t>
      </w:r>
      <w:r>
        <w:rPr>
          <w:rFonts w:hint="default" w:ascii="仿宋_GB2312" w:hAnsi="仿宋" w:eastAsia="仿宋_GB2312" w:cs="Times New Roman"/>
          <w:color w:val="auto"/>
          <w:sz w:val="32"/>
          <w:highlight w:val="none"/>
          <w:lang w:val="en-US" w:eastAsia="zh-CN"/>
        </w:rPr>
        <w:t>深圳政府采购自行采购系统</w:t>
      </w:r>
      <w:r>
        <w:rPr>
          <w:rFonts w:hint="eastAsia" w:ascii="仿宋_GB2312" w:hAnsi="仿宋" w:eastAsia="仿宋_GB2312" w:cs="Times New Roman"/>
          <w:color w:val="auto"/>
          <w:kern w:val="2"/>
          <w:sz w:val="32"/>
          <w:szCs w:val="24"/>
          <w:highlight w:val="none"/>
          <w:lang w:val="en-US" w:eastAsia="zh-CN" w:bidi="ar-SA"/>
        </w:rPr>
        <w:t>完成供应商注册（网址：https://zxcg.szggzy.com/home/index.html），请于本项目投标截止时间前完成注册，否则如中标/成交，可能影响采购结果的发布。</w:t>
      </w:r>
    </w:p>
    <w:p>
      <w:pPr>
        <w:pStyle w:val="8"/>
        <w:spacing w:after="0" w:line="560" w:lineRule="exact"/>
        <w:ind w:left="0" w:leftChars="0" w:right="0" w:rightChars="0" w:firstLine="640"/>
        <w:jc w:val="left"/>
        <w:rPr>
          <w:rFonts w:hint="default"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2.</w:t>
      </w:r>
      <w:r>
        <w:rPr>
          <w:rFonts w:hint="eastAsia" w:ascii="仿宋_GB2312" w:hAnsi="仿宋" w:eastAsia="仿宋_GB2312" w:cs="Times New Roman"/>
          <w:color w:val="auto"/>
          <w:sz w:val="32"/>
          <w:highlight w:val="none"/>
        </w:rPr>
        <w:t>供应商需</w:t>
      </w:r>
      <w:r>
        <w:rPr>
          <w:rFonts w:hint="eastAsia" w:ascii="仿宋_GB2312" w:hAnsi="仿宋" w:eastAsia="仿宋_GB2312" w:cs="Times New Roman"/>
          <w:color w:val="auto"/>
          <w:sz w:val="32"/>
          <w:highlight w:val="none"/>
          <w:lang w:val="en-US" w:eastAsia="zh-CN"/>
        </w:rPr>
        <w:t>以</w:t>
      </w:r>
      <w:r>
        <w:rPr>
          <w:rFonts w:hint="eastAsia" w:ascii="仿宋_GB2312" w:hAnsi="仿宋" w:eastAsia="仿宋_GB2312" w:cs="Times New Roman"/>
          <w:color w:val="auto"/>
          <w:sz w:val="32"/>
          <w:highlight w:val="none"/>
        </w:rPr>
        <w:t>邮寄</w:t>
      </w:r>
      <w:r>
        <w:rPr>
          <w:rFonts w:hint="eastAsia" w:ascii="仿宋_GB2312" w:hAnsi="仿宋" w:eastAsia="仿宋_GB2312" w:cs="Times New Roman"/>
          <w:color w:val="auto"/>
          <w:sz w:val="32"/>
          <w:highlight w:val="none"/>
          <w:lang w:val="en-US" w:eastAsia="zh-CN"/>
        </w:rPr>
        <w:t>方式提供7</w:t>
      </w:r>
      <w:r>
        <w:rPr>
          <w:rFonts w:hint="eastAsia" w:ascii="仿宋_GB2312" w:hAnsi="仿宋" w:eastAsia="仿宋_GB2312" w:cs="Times New Roman"/>
          <w:color w:val="auto"/>
          <w:sz w:val="32"/>
          <w:highlight w:val="none"/>
        </w:rPr>
        <w:t>份密封纸质版投标资料至本单位</w:t>
      </w: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lang w:val="en-US" w:eastAsia="zh-CN"/>
        </w:rPr>
        <w:t>并在封面备注“采购简上体育综合体监控录像存储设备</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项目+公司全称+日期+联系人+联系方式”。</w:t>
      </w:r>
    </w:p>
    <w:p>
      <w:pPr>
        <w:pStyle w:val="8"/>
        <w:spacing w:after="0" w:line="560" w:lineRule="exact"/>
        <w:ind w:left="0" w:leftChars="0" w:right="0" w:rightChars="0" w:firstLine="640" w:firstLineChars="200"/>
        <w:jc w:val="left"/>
        <w:rPr>
          <w:rFonts w:ascii="仿宋_GB2312" w:hAnsi="仿宋" w:eastAsia="仿宋_GB2312" w:cs="Times New Roman"/>
          <w:color w:val="auto"/>
          <w:sz w:val="32"/>
          <w:highlight w:val="none"/>
        </w:rPr>
      </w:pPr>
      <w:r>
        <w:rPr>
          <w:rFonts w:hint="eastAsia" w:ascii="仿宋_GB2312" w:hAnsi="仿宋" w:eastAsia="仿宋_GB2312" w:cs="Times New Roman"/>
          <w:color w:val="auto"/>
          <w:sz w:val="32"/>
          <w:highlight w:val="none"/>
        </w:rPr>
        <w:t>地址：</w:t>
      </w:r>
      <w:bookmarkStart w:id="0" w:name="OLE_LINK5"/>
      <w:r>
        <w:rPr>
          <w:rFonts w:hint="eastAsia" w:ascii="仿宋_GB2312" w:hAnsi="仿宋" w:eastAsia="仿宋_GB2312" w:cs="Times New Roman"/>
          <w:color w:val="auto"/>
          <w:sz w:val="32"/>
          <w:highlight w:val="none"/>
        </w:rPr>
        <w:t>深圳市龙华区</w:t>
      </w:r>
      <w:r>
        <w:rPr>
          <w:rFonts w:hint="eastAsia" w:ascii="仿宋_GB2312" w:hAnsi="仿宋" w:eastAsia="仿宋_GB2312" w:cs="Times New Roman"/>
          <w:color w:val="auto"/>
          <w:sz w:val="32"/>
          <w:highlight w:val="none"/>
          <w:lang w:val="en-US" w:eastAsia="zh-CN"/>
        </w:rPr>
        <w:t>龙华街道</w:t>
      </w:r>
      <w:r>
        <w:rPr>
          <w:rFonts w:hint="eastAsia" w:ascii="仿宋_GB2312" w:hAnsi="仿宋" w:eastAsia="仿宋_GB2312" w:cs="Times New Roman"/>
          <w:color w:val="auto"/>
          <w:sz w:val="32"/>
          <w:highlight w:val="none"/>
        </w:rPr>
        <w:t>富康行政</w:t>
      </w:r>
      <w:r>
        <w:rPr>
          <w:rFonts w:hint="eastAsia" w:ascii="仿宋_GB2312" w:hAnsi="仿宋" w:eastAsia="仿宋_GB2312" w:cs="Times New Roman"/>
          <w:color w:val="auto"/>
          <w:sz w:val="32"/>
          <w:highlight w:val="none"/>
          <w:lang w:val="en-US" w:eastAsia="zh-CN"/>
        </w:rPr>
        <w:t>服务</w:t>
      </w:r>
      <w:r>
        <w:rPr>
          <w:rFonts w:hint="eastAsia" w:ascii="仿宋_GB2312" w:hAnsi="仿宋" w:eastAsia="仿宋_GB2312" w:cs="Times New Roman"/>
          <w:color w:val="auto"/>
          <w:sz w:val="32"/>
          <w:highlight w:val="none"/>
        </w:rPr>
        <w:t>办公区</w:t>
      </w:r>
      <w:bookmarkEnd w:id="0"/>
    </w:p>
    <w:p>
      <w:pPr>
        <w:pStyle w:val="20"/>
        <w:spacing w:line="560" w:lineRule="exact"/>
        <w:rPr>
          <w:rFonts w:ascii="仿宋_GB2312" w:hAnsi="仿宋" w:eastAsia="仿宋_GB2312" w:cs="Times New Roman"/>
          <w:color w:val="auto"/>
          <w:sz w:val="32"/>
          <w:highlight w:val="none"/>
        </w:rPr>
      </w:pPr>
      <w:r>
        <w:rPr>
          <w:rFonts w:hint="eastAsia" w:ascii="仿宋_GB2312" w:hAnsi="仿宋" w:eastAsia="仿宋_GB2312" w:cs="Times New Roman"/>
          <w:color w:val="auto"/>
          <w:sz w:val="32"/>
          <w:highlight w:val="none"/>
        </w:rPr>
        <w:t>收件人：吴先生</w:t>
      </w:r>
    </w:p>
    <w:p>
      <w:pPr>
        <w:spacing w:line="560" w:lineRule="exact"/>
        <w:ind w:firstLine="640" w:firstLineChars="200"/>
        <w:jc w:val="left"/>
        <w:rPr>
          <w:rFonts w:ascii="仿宋_GB2312" w:hAnsi="仿宋" w:eastAsia="仿宋_GB2312" w:cs="Times New Roman"/>
          <w:color w:val="auto"/>
          <w:sz w:val="32"/>
          <w:szCs w:val="22"/>
          <w:highlight w:val="none"/>
        </w:rPr>
      </w:pPr>
      <w:r>
        <w:rPr>
          <w:rFonts w:hint="eastAsia" w:ascii="仿宋_GB2312" w:hAnsi="仿宋" w:eastAsia="仿宋_GB2312" w:cs="Times New Roman"/>
          <w:color w:val="auto"/>
          <w:sz w:val="32"/>
          <w:highlight w:val="none"/>
        </w:rPr>
        <w:t>联系方式</w:t>
      </w: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szCs w:val="22"/>
          <w:highlight w:val="none"/>
        </w:rPr>
        <w:t>0755-23338140</w:t>
      </w:r>
    </w:p>
    <w:p>
      <w:pPr>
        <w:pStyle w:val="20"/>
        <w:spacing w:line="560" w:lineRule="exact"/>
        <w:ind w:firstLine="0" w:firstLineChars="0"/>
        <w:rPr>
          <w:rFonts w:hint="eastAsia" w:ascii="黑体" w:hAnsi="黑体" w:eastAsia="黑体" w:cs="黑体"/>
          <w:color w:val="auto"/>
          <w:sz w:val="32"/>
          <w:szCs w:val="32"/>
          <w:highlight w:val="none"/>
          <w:lang w:eastAsia="zh-CN"/>
        </w:rPr>
      </w:pPr>
    </w:p>
    <w:p>
      <w:pPr>
        <w:pStyle w:val="20"/>
        <w:spacing w:line="560" w:lineRule="exact"/>
        <w:ind w:firstLine="0" w:firstLineChars="0"/>
        <w:rPr>
          <w:rFonts w:hint="eastAsia" w:ascii="黑体" w:hAnsi="黑体" w:eastAsia="黑体" w:cs="黑体"/>
          <w:color w:val="auto"/>
          <w:sz w:val="32"/>
          <w:szCs w:val="32"/>
          <w:highlight w:val="none"/>
          <w:lang w:eastAsia="zh-CN"/>
        </w:rPr>
      </w:pPr>
    </w:p>
    <w:p>
      <w:pPr>
        <w:pStyle w:val="20"/>
        <w:spacing w:line="560" w:lineRule="exact"/>
        <w:ind w:firstLine="0" w:firstLineChars="0"/>
        <w:rPr>
          <w:rFonts w:hint="eastAsia" w:ascii="黑体" w:hAnsi="黑体" w:eastAsia="黑体" w:cs="黑体"/>
          <w:color w:val="auto"/>
          <w:sz w:val="32"/>
          <w:szCs w:val="32"/>
          <w:highlight w:val="none"/>
          <w:lang w:eastAsia="zh-CN"/>
        </w:rPr>
      </w:pPr>
    </w:p>
    <w:p>
      <w:pPr>
        <w:pStyle w:val="20"/>
        <w:spacing w:line="560" w:lineRule="exact"/>
        <w:ind w:firstLine="0" w:firstLineChars="0"/>
        <w:rPr>
          <w:rFonts w:hint="eastAsia" w:ascii="黑体" w:hAnsi="黑体" w:eastAsia="黑体" w:cs="黑体"/>
          <w:color w:val="auto"/>
          <w:sz w:val="32"/>
          <w:szCs w:val="32"/>
          <w:highlight w:val="none"/>
          <w:lang w:eastAsia="zh-CN"/>
        </w:rPr>
      </w:pPr>
    </w:p>
    <w:p>
      <w:pPr>
        <w:pStyle w:val="20"/>
        <w:spacing w:line="560" w:lineRule="exact"/>
        <w:ind w:firstLine="0" w:firstLineChars="0"/>
        <w:rPr>
          <w:rFonts w:hint="eastAsia" w:ascii="黑体" w:hAnsi="黑体" w:eastAsia="黑体" w:cs="黑体"/>
          <w:color w:val="auto"/>
          <w:sz w:val="32"/>
          <w:szCs w:val="32"/>
          <w:highlight w:val="none"/>
          <w:lang w:eastAsia="zh-CN"/>
        </w:rPr>
      </w:pPr>
    </w:p>
    <w:p>
      <w:pPr>
        <w:pStyle w:val="20"/>
        <w:spacing w:line="560" w:lineRule="exact"/>
        <w:ind w:firstLine="0" w:firstLineChars="0"/>
        <w:rPr>
          <w:rFonts w:hint="eastAsia" w:ascii="黑体" w:hAnsi="黑体" w:eastAsia="黑体" w:cs="黑体"/>
          <w:color w:val="auto"/>
          <w:sz w:val="32"/>
          <w:szCs w:val="32"/>
          <w:highlight w:val="none"/>
          <w:lang w:eastAsia="zh-CN"/>
        </w:rPr>
      </w:pPr>
    </w:p>
    <w:p>
      <w:pPr>
        <w:pStyle w:val="20"/>
        <w:spacing w:line="560" w:lineRule="exact"/>
        <w:ind w:firstLine="0" w:firstLineChars="0"/>
        <w:rPr>
          <w:rFonts w:hint="eastAsia" w:ascii="黑体" w:hAnsi="黑体" w:eastAsia="黑体" w:cs="黑体"/>
          <w:color w:val="auto"/>
          <w:sz w:val="32"/>
          <w:szCs w:val="32"/>
          <w:highlight w:val="none"/>
          <w:lang w:eastAsia="zh-CN"/>
        </w:rPr>
      </w:pPr>
    </w:p>
    <w:p>
      <w:pPr>
        <w:pStyle w:val="20"/>
        <w:spacing w:line="560" w:lineRule="exact"/>
        <w:ind w:firstLine="0" w:firstLineChars="0"/>
        <w:rPr>
          <w:rFonts w:hint="eastAsia" w:ascii="黑体" w:hAnsi="黑体" w:eastAsia="黑体" w:cs="黑体"/>
          <w:color w:val="auto"/>
          <w:sz w:val="32"/>
          <w:szCs w:val="32"/>
          <w:highlight w:val="none"/>
          <w:lang w:eastAsia="zh-CN"/>
        </w:rPr>
      </w:pPr>
    </w:p>
    <w:p>
      <w:pPr>
        <w:pStyle w:val="20"/>
        <w:spacing w:line="560" w:lineRule="exact"/>
        <w:ind w:firstLine="0" w:firstLineChars="0"/>
        <w:rPr>
          <w:rFonts w:hint="eastAsia" w:ascii="黑体" w:hAnsi="黑体" w:eastAsia="黑体" w:cs="黑体"/>
          <w:color w:val="auto"/>
          <w:sz w:val="32"/>
          <w:szCs w:val="32"/>
          <w:highlight w:val="none"/>
          <w:lang w:eastAsia="zh-CN"/>
        </w:rPr>
      </w:pPr>
    </w:p>
    <w:p>
      <w:pPr>
        <w:pStyle w:val="20"/>
        <w:spacing w:line="560" w:lineRule="exact"/>
        <w:ind w:firstLine="0" w:firstLineChars="0"/>
        <w:rPr>
          <w:rFonts w:hint="eastAsia" w:ascii="黑体" w:hAnsi="黑体" w:eastAsia="黑体" w:cs="黑体"/>
          <w:color w:val="auto"/>
          <w:sz w:val="32"/>
          <w:szCs w:val="32"/>
          <w:highlight w:val="none"/>
          <w:lang w:eastAsia="zh-CN"/>
        </w:rPr>
      </w:pPr>
    </w:p>
    <w:p>
      <w:pPr>
        <w:pStyle w:val="20"/>
        <w:spacing w:line="560" w:lineRule="exact"/>
        <w:ind w:firstLine="0" w:firstLineChars="0"/>
        <w:rPr>
          <w:rFonts w:hint="eastAsia" w:ascii="黑体" w:hAnsi="黑体" w:eastAsia="黑体" w:cs="黑体"/>
          <w:color w:val="auto"/>
          <w:sz w:val="32"/>
          <w:szCs w:val="32"/>
          <w:highlight w:val="none"/>
          <w:lang w:eastAsia="zh-CN"/>
        </w:rPr>
      </w:pPr>
    </w:p>
    <w:p>
      <w:pPr>
        <w:pStyle w:val="20"/>
        <w:spacing w:line="560" w:lineRule="exact"/>
        <w:ind w:firstLine="0" w:firstLineChars="0"/>
        <w:rPr>
          <w:rFonts w:hint="eastAsia" w:ascii="黑体" w:hAnsi="黑体" w:eastAsia="黑体" w:cs="黑体"/>
          <w:color w:val="auto"/>
          <w:sz w:val="32"/>
          <w:szCs w:val="32"/>
          <w:highlight w:val="none"/>
          <w:lang w:eastAsia="zh-CN"/>
        </w:rPr>
      </w:pPr>
    </w:p>
    <w:p>
      <w:pPr>
        <w:pStyle w:val="20"/>
        <w:spacing w:line="560" w:lineRule="exact"/>
        <w:ind w:firstLine="0" w:firstLineChars="0"/>
        <w:rPr>
          <w:rFonts w:hint="eastAsia" w:ascii="黑体" w:hAnsi="黑体" w:eastAsia="黑体" w:cs="黑体"/>
          <w:color w:val="auto"/>
          <w:sz w:val="32"/>
          <w:szCs w:val="32"/>
          <w:highlight w:val="none"/>
          <w:lang w:eastAsia="zh-CN"/>
        </w:rPr>
      </w:pPr>
    </w:p>
    <w:p>
      <w:pPr>
        <w:pStyle w:val="20"/>
        <w:spacing w:line="560" w:lineRule="exact"/>
        <w:ind w:firstLine="0" w:firstLineChars="0"/>
        <w:rPr>
          <w:rFonts w:hint="eastAsia" w:ascii="黑体" w:hAnsi="黑体" w:eastAsia="黑体" w:cs="黑体"/>
          <w:color w:val="auto"/>
          <w:sz w:val="32"/>
          <w:szCs w:val="32"/>
          <w:highlight w:val="none"/>
          <w:lang w:eastAsia="zh-CN"/>
        </w:rPr>
      </w:pPr>
    </w:p>
    <w:p>
      <w:pPr>
        <w:pStyle w:val="20"/>
        <w:spacing w:line="560" w:lineRule="exact"/>
        <w:ind w:firstLine="0" w:firstLineChars="0"/>
        <w:rPr>
          <w:rFonts w:hint="eastAsia" w:ascii="黑体" w:hAnsi="黑体" w:eastAsia="黑体" w:cs="黑体"/>
          <w:color w:val="auto"/>
          <w:sz w:val="32"/>
          <w:szCs w:val="32"/>
          <w:highlight w:val="none"/>
          <w:lang w:eastAsia="zh-CN"/>
        </w:rPr>
      </w:pPr>
    </w:p>
    <w:p>
      <w:pPr>
        <w:pStyle w:val="20"/>
        <w:spacing w:line="560" w:lineRule="exact"/>
        <w:ind w:firstLine="0" w:firstLineChars="0"/>
        <w:rPr>
          <w:rFonts w:hint="eastAsia" w:ascii="黑体" w:hAnsi="黑体" w:eastAsia="黑体" w:cs="黑体"/>
          <w:color w:val="auto"/>
          <w:sz w:val="32"/>
          <w:szCs w:val="32"/>
          <w:highlight w:val="none"/>
          <w:lang w:eastAsia="zh-CN"/>
        </w:rPr>
      </w:pPr>
    </w:p>
    <w:p>
      <w:pPr>
        <w:pStyle w:val="20"/>
        <w:spacing w:line="560" w:lineRule="exact"/>
        <w:ind w:firstLine="0" w:firstLineChars="0"/>
        <w:rPr>
          <w:rFonts w:hint="eastAsia" w:ascii="黑体" w:hAnsi="黑体" w:eastAsia="黑体" w:cs="黑体"/>
          <w:color w:val="auto"/>
          <w:sz w:val="32"/>
          <w:szCs w:val="32"/>
          <w:highlight w:val="none"/>
          <w:lang w:eastAsia="zh-CN"/>
        </w:rPr>
      </w:pPr>
    </w:p>
    <w:p>
      <w:pPr>
        <w:pStyle w:val="20"/>
        <w:spacing w:line="560" w:lineRule="exact"/>
        <w:ind w:firstLine="0" w:firstLineChars="0"/>
        <w:rPr>
          <w:rFonts w:hint="eastAsia" w:ascii="黑体" w:hAnsi="黑体" w:eastAsia="黑体" w:cs="黑体"/>
          <w:color w:val="auto"/>
          <w:sz w:val="32"/>
          <w:szCs w:val="32"/>
          <w:highlight w:val="none"/>
          <w:lang w:eastAsia="zh-CN"/>
        </w:rPr>
      </w:pPr>
    </w:p>
    <w:p>
      <w:pPr>
        <w:pStyle w:val="20"/>
        <w:spacing w:line="560" w:lineRule="exact"/>
        <w:ind w:firstLine="0" w:firstLineChars="0"/>
        <w:rPr>
          <w:rFonts w:hint="eastAsia" w:ascii="黑体" w:hAnsi="黑体" w:eastAsia="黑体" w:cs="黑体"/>
          <w:color w:val="auto"/>
          <w:sz w:val="32"/>
          <w:szCs w:val="32"/>
          <w:highlight w:val="none"/>
          <w:lang w:eastAsia="zh-CN"/>
        </w:rPr>
      </w:pPr>
    </w:p>
    <w:p>
      <w:pPr>
        <w:pStyle w:val="20"/>
        <w:spacing w:line="560" w:lineRule="exact"/>
        <w:ind w:firstLine="0" w:firstLineChars="0"/>
        <w:rPr>
          <w:rFonts w:hint="default" w:ascii="黑体" w:hAnsi="黑体" w:eastAsia="黑体" w:cs="黑体"/>
          <w:color w:val="auto"/>
          <w:sz w:val="32"/>
          <w:szCs w:val="32"/>
          <w:highlight w:val="none"/>
          <w:lang w:val="en-US" w:eastAsia="zh-CN"/>
        </w:rPr>
      </w:pPr>
      <w:bookmarkStart w:id="1" w:name="_GoBack"/>
      <w:bookmarkEnd w:id="1"/>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w:t>
      </w:r>
    </w:p>
    <w:p>
      <w:pPr>
        <w:pStyle w:val="5"/>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color w:val="auto"/>
          <w:highlight w:val="none"/>
          <w:lang w:val="en-US" w:eastAsia="zh-CN"/>
        </w:rPr>
      </w:pPr>
    </w:p>
    <w:p>
      <w:pPr>
        <w:pStyle w:val="7"/>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pStyle w:val="20"/>
        <w:spacing w:line="560" w:lineRule="exact"/>
        <w:ind w:firstLine="0" w:firstLineChars="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p>
    <w:p>
      <w:pPr>
        <w:pStyle w:val="12"/>
        <w:snapToGrid w:val="0"/>
        <w:spacing w:before="0" w:after="0" w:line="560" w:lineRule="exact"/>
        <w:rPr>
          <w:rFonts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供应商基本情况表</w:t>
      </w:r>
    </w:p>
    <w:p>
      <w:pPr>
        <w:spacing w:line="560" w:lineRule="exact"/>
        <w:jc w:val="left"/>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填表单位：（加盖单位公章）</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t xml:space="preserve">   填表日期：    年   月   日</w:t>
      </w:r>
    </w:p>
    <w:tbl>
      <w:tblPr>
        <w:tblStyle w:val="14"/>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采购人</w:t>
            </w:r>
          </w:p>
        </w:tc>
        <w:tc>
          <w:tcPr>
            <w:tcW w:w="2553" w:type="dxa"/>
            <w:gridSpan w:val="2"/>
            <w:noWrap w:val="0"/>
            <w:vAlign w:val="center"/>
          </w:tcPr>
          <w:p>
            <w:pPr>
              <w:jc w:val="left"/>
              <w:rPr>
                <w:rFonts w:ascii="方正仿宋_GBK" w:hAnsi="方正仿宋_GBK" w:eastAsia="方正仿宋_GBK" w:cs="方正仿宋_GBK"/>
                <w:color w:val="auto"/>
                <w:sz w:val="24"/>
                <w:highlight w:val="none"/>
              </w:rPr>
            </w:pPr>
          </w:p>
        </w:tc>
        <w:tc>
          <w:tcPr>
            <w:tcW w:w="1991" w:type="dxa"/>
            <w:gridSpan w:val="2"/>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项目名称</w:t>
            </w:r>
          </w:p>
        </w:tc>
        <w:tc>
          <w:tcPr>
            <w:tcW w:w="3645" w:type="dxa"/>
            <w:gridSpan w:val="2"/>
            <w:noWrap w:val="0"/>
            <w:vAlign w:val="center"/>
          </w:tcPr>
          <w:p>
            <w:pPr>
              <w:jc w:val="left"/>
              <w:rPr>
                <w:rFonts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投标（响应）供应商</w:t>
            </w:r>
          </w:p>
        </w:tc>
        <w:tc>
          <w:tcPr>
            <w:tcW w:w="2553" w:type="dxa"/>
            <w:gridSpan w:val="2"/>
            <w:noWrap w:val="0"/>
            <w:vAlign w:val="center"/>
          </w:tcPr>
          <w:p>
            <w:pPr>
              <w:jc w:val="left"/>
              <w:rPr>
                <w:rFonts w:ascii="方正仿宋_GBK" w:hAnsi="方正仿宋_GBK" w:eastAsia="方正仿宋_GBK" w:cs="方正仿宋_GBK"/>
                <w:color w:val="auto"/>
                <w:sz w:val="24"/>
                <w:highlight w:val="none"/>
              </w:rPr>
            </w:pPr>
          </w:p>
        </w:tc>
        <w:tc>
          <w:tcPr>
            <w:tcW w:w="1991" w:type="dxa"/>
            <w:gridSpan w:val="2"/>
            <w:noWrap w:val="0"/>
            <w:vAlign w:val="center"/>
          </w:tcPr>
          <w:p>
            <w:pPr>
              <w:snapToGrid w:val="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供应商统一社会信用代码</w:t>
            </w:r>
          </w:p>
        </w:tc>
        <w:tc>
          <w:tcPr>
            <w:tcW w:w="3645" w:type="dxa"/>
            <w:gridSpan w:val="2"/>
            <w:noWrap w:val="0"/>
            <w:vAlign w:val="center"/>
          </w:tcPr>
          <w:p>
            <w:pPr>
              <w:jc w:val="left"/>
              <w:rPr>
                <w:rFonts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劳动合同</w:t>
            </w:r>
          </w:p>
          <w:p>
            <w:pPr>
              <w:snapToGrid w:val="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缴纳社会</w:t>
            </w:r>
          </w:p>
          <w:p>
            <w:pPr>
              <w:snapToGrid w:val="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2"/>
                <w:szCs w:val="22"/>
                <w:highlight w:val="none"/>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highlight w:val="none"/>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2"/>
                <w:szCs w:val="22"/>
                <w:highlight w:val="none"/>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highlight w:val="none"/>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color w:val="auto"/>
                <w:sz w:val="24"/>
                <w:highlight w:val="none"/>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color w:val="auto"/>
                <w:sz w:val="24"/>
                <w:highlight w:val="none"/>
              </w:rPr>
            </w:pPr>
          </w:p>
        </w:tc>
        <w:tc>
          <w:tcPr>
            <w:tcW w:w="1500" w:type="dxa"/>
            <w:tcBorders>
              <w:top w:val="single" w:color="auto" w:sz="4" w:space="0"/>
            </w:tcBorders>
            <w:noWrap w:val="0"/>
            <w:vAlign w:val="center"/>
          </w:tcPr>
          <w:p>
            <w:pPr>
              <w:jc w:val="left"/>
              <w:rPr>
                <w:rFonts w:ascii="方正仿宋_GBK" w:hAnsi="方正仿宋_GBK" w:eastAsia="方正仿宋_GBK" w:cs="方正仿宋_GBK"/>
                <w:color w:val="auto"/>
                <w:sz w:val="24"/>
                <w:highlight w:val="none"/>
              </w:rPr>
            </w:pPr>
          </w:p>
        </w:tc>
        <w:tc>
          <w:tcPr>
            <w:tcW w:w="2145" w:type="dxa"/>
            <w:tcBorders>
              <w:top w:val="single" w:color="auto" w:sz="4" w:space="0"/>
            </w:tcBorders>
            <w:noWrap w:val="0"/>
            <w:vAlign w:val="center"/>
          </w:tcPr>
          <w:p>
            <w:pPr>
              <w:jc w:val="left"/>
              <w:rPr>
                <w:rFonts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4</w:t>
            </w:r>
          </w:p>
        </w:tc>
        <w:tc>
          <w:tcPr>
            <w:tcW w:w="2345" w:type="dxa"/>
            <w:gridSpan w:val="2"/>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主要技术人员</w:t>
            </w:r>
          </w:p>
        </w:tc>
        <w:tc>
          <w:tcPr>
            <w:tcW w:w="1270" w:type="dxa"/>
            <w:noWrap w:val="0"/>
            <w:vAlign w:val="center"/>
          </w:tcPr>
          <w:p>
            <w:pPr>
              <w:jc w:val="left"/>
              <w:rPr>
                <w:rFonts w:ascii="方正仿宋_GBK" w:hAnsi="方正仿宋_GBK" w:eastAsia="方正仿宋_GBK" w:cs="方正仿宋_GBK"/>
                <w:color w:val="auto"/>
                <w:sz w:val="24"/>
                <w:highlight w:val="none"/>
              </w:rPr>
            </w:pPr>
          </w:p>
        </w:tc>
        <w:tc>
          <w:tcPr>
            <w:tcW w:w="1991" w:type="dxa"/>
            <w:gridSpan w:val="2"/>
            <w:noWrap w:val="0"/>
            <w:vAlign w:val="center"/>
          </w:tcPr>
          <w:p>
            <w:pPr>
              <w:jc w:val="left"/>
              <w:rPr>
                <w:rFonts w:ascii="方正仿宋_GBK" w:hAnsi="方正仿宋_GBK" w:eastAsia="方正仿宋_GBK" w:cs="方正仿宋_GBK"/>
                <w:color w:val="auto"/>
                <w:sz w:val="24"/>
                <w:highlight w:val="none"/>
              </w:rPr>
            </w:pPr>
          </w:p>
        </w:tc>
        <w:tc>
          <w:tcPr>
            <w:tcW w:w="1500" w:type="dxa"/>
            <w:noWrap w:val="0"/>
            <w:vAlign w:val="center"/>
          </w:tcPr>
          <w:p>
            <w:pPr>
              <w:jc w:val="left"/>
              <w:rPr>
                <w:rFonts w:ascii="方正仿宋_GBK" w:hAnsi="方正仿宋_GBK" w:eastAsia="方正仿宋_GBK" w:cs="方正仿宋_GBK"/>
                <w:color w:val="auto"/>
                <w:sz w:val="24"/>
                <w:highlight w:val="none"/>
              </w:rPr>
            </w:pPr>
          </w:p>
        </w:tc>
        <w:tc>
          <w:tcPr>
            <w:tcW w:w="2145" w:type="dxa"/>
            <w:noWrap w:val="0"/>
            <w:vAlign w:val="center"/>
          </w:tcPr>
          <w:p>
            <w:pPr>
              <w:jc w:val="left"/>
              <w:rPr>
                <w:rFonts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5</w:t>
            </w:r>
          </w:p>
        </w:tc>
        <w:tc>
          <w:tcPr>
            <w:tcW w:w="2345" w:type="dxa"/>
            <w:gridSpan w:val="2"/>
            <w:noWrap w:val="0"/>
            <w:vAlign w:val="center"/>
          </w:tcPr>
          <w:p>
            <w:pPr>
              <w:pStyle w:val="6"/>
              <w:snapToGrid w:val="0"/>
              <w:spacing w:line="240" w:lineRule="auto"/>
              <w:ind w:firstLine="0" w:firstLineChars="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投标文件编制人员</w:t>
            </w:r>
          </w:p>
        </w:tc>
        <w:tc>
          <w:tcPr>
            <w:tcW w:w="1270" w:type="dxa"/>
            <w:noWrap w:val="0"/>
            <w:vAlign w:val="center"/>
          </w:tcPr>
          <w:p>
            <w:pPr>
              <w:jc w:val="left"/>
              <w:rPr>
                <w:rFonts w:ascii="方正仿宋_GBK" w:hAnsi="方正仿宋_GBK" w:eastAsia="方正仿宋_GBK" w:cs="方正仿宋_GBK"/>
                <w:color w:val="auto"/>
                <w:sz w:val="24"/>
                <w:highlight w:val="none"/>
              </w:rPr>
            </w:pPr>
          </w:p>
        </w:tc>
        <w:tc>
          <w:tcPr>
            <w:tcW w:w="1991" w:type="dxa"/>
            <w:gridSpan w:val="2"/>
            <w:noWrap w:val="0"/>
            <w:vAlign w:val="center"/>
          </w:tcPr>
          <w:p>
            <w:pPr>
              <w:jc w:val="left"/>
              <w:rPr>
                <w:rFonts w:ascii="方正仿宋_GBK" w:hAnsi="方正仿宋_GBK" w:eastAsia="方正仿宋_GBK" w:cs="方正仿宋_GBK"/>
                <w:color w:val="auto"/>
                <w:sz w:val="24"/>
                <w:highlight w:val="none"/>
              </w:rPr>
            </w:pPr>
          </w:p>
        </w:tc>
        <w:tc>
          <w:tcPr>
            <w:tcW w:w="1500" w:type="dxa"/>
            <w:noWrap w:val="0"/>
            <w:vAlign w:val="center"/>
          </w:tcPr>
          <w:p>
            <w:pPr>
              <w:jc w:val="left"/>
              <w:rPr>
                <w:rFonts w:ascii="方正仿宋_GBK" w:hAnsi="方正仿宋_GBK" w:eastAsia="方正仿宋_GBK" w:cs="方正仿宋_GBK"/>
                <w:color w:val="auto"/>
                <w:sz w:val="24"/>
                <w:highlight w:val="none"/>
              </w:rPr>
            </w:pPr>
          </w:p>
        </w:tc>
        <w:tc>
          <w:tcPr>
            <w:tcW w:w="2145" w:type="dxa"/>
            <w:noWrap w:val="0"/>
            <w:vAlign w:val="center"/>
          </w:tcPr>
          <w:p>
            <w:pPr>
              <w:jc w:val="left"/>
              <w:rPr>
                <w:rFonts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highlight w:val="none"/>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18"/>
                <w:szCs w:val="18"/>
                <w:highlight w:val="no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highlight w:val="none"/>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说明：同一关联关系类型有多个主体的，应分行填写。</w:t>
            </w:r>
          </w:p>
        </w:tc>
      </w:tr>
    </w:tbl>
    <w:p>
      <w:pPr>
        <w:rPr>
          <w:rFonts w:hint="default"/>
          <w:color w:val="auto"/>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1"/>
        <w:textAlignment w:val="auto"/>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033E5"/>
    <w:multiLevelType w:val="singleLevel"/>
    <w:tmpl w:val="933033E5"/>
    <w:lvl w:ilvl="0" w:tentative="0">
      <w:start w:val="7"/>
      <w:numFmt w:val="chineseCounting"/>
      <w:suff w:val="nothing"/>
      <w:lvlText w:val="%1、"/>
      <w:lvlJc w:val="left"/>
      <w:rPr>
        <w:rFonts w:hint="eastAsia"/>
      </w:rPr>
    </w:lvl>
  </w:abstractNum>
  <w:abstractNum w:abstractNumId="1">
    <w:nsid w:val="5B78F589"/>
    <w:multiLevelType w:val="singleLevel"/>
    <w:tmpl w:val="5B78F58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M2ZmOWMwMWJmYjUwZDMyYmVmMDEyZWFiNmJjYTUifQ=="/>
  </w:docVars>
  <w:rsids>
    <w:rsidRoot w:val="0BC74621"/>
    <w:rsid w:val="042973A7"/>
    <w:rsid w:val="0624284C"/>
    <w:rsid w:val="0BC74621"/>
    <w:rsid w:val="0BF84E2F"/>
    <w:rsid w:val="0E1B7FD7"/>
    <w:rsid w:val="0E7306EC"/>
    <w:rsid w:val="10E50246"/>
    <w:rsid w:val="157306F8"/>
    <w:rsid w:val="16814633"/>
    <w:rsid w:val="171C340D"/>
    <w:rsid w:val="17253C74"/>
    <w:rsid w:val="1A46462D"/>
    <w:rsid w:val="1B0537E4"/>
    <w:rsid w:val="1CC547E8"/>
    <w:rsid w:val="1E430E84"/>
    <w:rsid w:val="1E8E566C"/>
    <w:rsid w:val="1F02489B"/>
    <w:rsid w:val="1F176598"/>
    <w:rsid w:val="1F69491A"/>
    <w:rsid w:val="205D6F90"/>
    <w:rsid w:val="24D6035C"/>
    <w:rsid w:val="2639765F"/>
    <w:rsid w:val="28A70B8F"/>
    <w:rsid w:val="2B1812F9"/>
    <w:rsid w:val="2E8C28D8"/>
    <w:rsid w:val="2F626710"/>
    <w:rsid w:val="2FA554FB"/>
    <w:rsid w:val="327644AD"/>
    <w:rsid w:val="33237BAA"/>
    <w:rsid w:val="38AD720C"/>
    <w:rsid w:val="391377F2"/>
    <w:rsid w:val="3A041B72"/>
    <w:rsid w:val="3B7009E1"/>
    <w:rsid w:val="3C8F37BA"/>
    <w:rsid w:val="3D3C6453"/>
    <w:rsid w:val="41061B71"/>
    <w:rsid w:val="411E0326"/>
    <w:rsid w:val="41324BC9"/>
    <w:rsid w:val="43364CA2"/>
    <w:rsid w:val="43931DE2"/>
    <w:rsid w:val="44896BFF"/>
    <w:rsid w:val="46712183"/>
    <w:rsid w:val="4786744D"/>
    <w:rsid w:val="49C424EF"/>
    <w:rsid w:val="4AA220B1"/>
    <w:rsid w:val="4DB60335"/>
    <w:rsid w:val="4DC31516"/>
    <w:rsid w:val="50BA1E88"/>
    <w:rsid w:val="52175889"/>
    <w:rsid w:val="54102FDB"/>
    <w:rsid w:val="54785C40"/>
    <w:rsid w:val="5AAC51B0"/>
    <w:rsid w:val="5B6E6010"/>
    <w:rsid w:val="5B7D57E1"/>
    <w:rsid w:val="5DE05DC2"/>
    <w:rsid w:val="5E41710F"/>
    <w:rsid w:val="609805E0"/>
    <w:rsid w:val="639574AA"/>
    <w:rsid w:val="66D775DE"/>
    <w:rsid w:val="672C55DE"/>
    <w:rsid w:val="685F3791"/>
    <w:rsid w:val="6D592D33"/>
    <w:rsid w:val="6DA93E2C"/>
    <w:rsid w:val="70B42DD5"/>
    <w:rsid w:val="72730577"/>
    <w:rsid w:val="733809B0"/>
    <w:rsid w:val="73CE2285"/>
    <w:rsid w:val="770373D2"/>
    <w:rsid w:val="780347DB"/>
    <w:rsid w:val="7A1D5740"/>
    <w:rsid w:val="7AA74E9B"/>
    <w:rsid w:val="7CAB0DE9"/>
    <w:rsid w:val="A9FD4FF6"/>
    <w:rsid w:val="EE8EBE10"/>
    <w:rsid w:val="EF77D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adjustRightInd w:val="0"/>
      <w:jc w:val="center"/>
      <w:textAlignment w:val="baseline"/>
      <w:outlineLvl w:val="1"/>
    </w:pPr>
    <w:rPr>
      <w:rFonts w:ascii="宋体" w:hAnsi="宋体"/>
      <w:b/>
      <w:bCs/>
      <w:kern w:val="0"/>
      <w:sz w:val="24"/>
      <w:szCs w:val="20"/>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next w:val="1"/>
    <w:unhideWhenUsed/>
    <w:qFormat/>
    <w:uiPriority w:val="99"/>
    <w:pPr>
      <w:spacing w:after="120"/>
    </w:pPr>
    <w:rPr>
      <w:rFonts w:ascii="Times New Roman" w:hAnsi="Times New Roman" w:eastAsia="宋体" w:cs="Times New Roman"/>
      <w:szCs w:val="20"/>
    </w:rPr>
  </w:style>
  <w:style w:type="paragraph" w:styleId="8">
    <w:name w:val="Block Text"/>
    <w:basedOn w:val="1"/>
    <w:qFormat/>
    <w:uiPriority w:val="0"/>
    <w:pPr>
      <w:tabs>
        <w:tab w:val="left" w:pos="426"/>
      </w:tabs>
      <w:spacing w:after="120"/>
      <w:ind w:left="1440" w:leftChars="700" w:right="1440" w:rightChars="700"/>
    </w:pPr>
  </w:style>
  <w:style w:type="paragraph" w:styleId="9">
    <w:name w:val="Plain Text"/>
    <w:basedOn w:val="1"/>
    <w:unhideWhenUsed/>
    <w:qFormat/>
    <w:uiPriority w:val="99"/>
    <w:rPr>
      <w:rFonts w:ascii="宋体" w:hAnsi="Calibri" w:cs="Courier New"/>
      <w:szCs w:val="21"/>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toc 1"/>
    <w:basedOn w:val="1"/>
    <w:next w:val="1"/>
    <w:qFormat/>
    <w:uiPriority w:val="39"/>
    <w:rPr>
      <w:rFonts w:ascii="Calibri" w:hAnsi="Calibri" w:eastAsia="宋体" w:cs="Times New Roman"/>
    </w:rPr>
  </w:style>
  <w:style w:type="paragraph" w:styleId="12">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USE 1"/>
    <w:basedOn w:val="1"/>
    <w:qFormat/>
    <w:uiPriority w:val="0"/>
    <w:pPr>
      <w:spacing w:line="200" w:lineRule="atLeast"/>
      <w:jc w:val="left"/>
    </w:pPr>
    <w:rPr>
      <w:rFonts w:ascii="宋体" w:hAnsi="宋体"/>
      <w:b/>
      <w:sz w:val="24"/>
      <w:szCs w:val="28"/>
    </w:rPr>
  </w:style>
  <w:style w:type="paragraph" w:styleId="18">
    <w:name w:val="List Paragraph"/>
    <w:basedOn w:val="19"/>
    <w:qFormat/>
    <w:uiPriority w:val="34"/>
    <w:pPr>
      <w:ind w:firstLine="420" w:firstLineChars="200"/>
    </w:pPr>
  </w:style>
  <w:style w:type="paragraph" w:customStyle="1" w:styleId="19">
    <w:name w:val="星耀正文"/>
    <w:basedOn w:val="1"/>
    <w:qFormat/>
    <w:uiPriority w:val="3"/>
    <w:pPr>
      <w:ind w:firstLine="422" w:firstLineChars="200"/>
    </w:pPr>
    <w:rPr>
      <w:rFonts w:ascii="宋体" w:hAnsi="宋体" w:eastAsia="仿宋_GB2312"/>
      <w:bCs/>
    </w:rPr>
  </w:style>
  <w:style w:type="paragraph" w:customStyle="1" w:styleId="20">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6174</Words>
  <Characters>6504</Characters>
  <Lines>0</Lines>
  <Paragraphs>0</Paragraphs>
  <TotalTime>72</TotalTime>
  <ScaleCrop>false</ScaleCrop>
  <LinksUpToDate>false</LinksUpToDate>
  <CharactersWithSpaces>6646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2024-11-01T17:51:00Z</dcterms:created>
  <dc:creator>箭羽</dc:creator>
  <cp:lastModifiedBy>lxy</cp:lastModifiedBy>
  <dcterms:modified xsi:type="dcterms:W3CDTF">2026-05-11T16:56:33Z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9A312592B745EC9BFFE0FE69260D9DBD</vt:lpwstr>
  </property>
  <property fmtid="{D5CDD505-2E9C-101B-9397-08002B2CF9AE}" pid="4" name="KSOTemplateDocerSaveRecord">
    <vt:lpwstr>eyJoZGlkIjoiMTE2ODRjMDdkZmFhMmNkMDkzOGJlNTM5Mjg3NmY2ZGQiLCJ1c2VySWQiOiI1MjQ2ODEwODQifQ==</vt:lpwstr>
  </property>
</Properties>
</file>