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2026年文体旅游行业安全宣教培训项目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tabs>
          <w:tab w:val="left" w:pos="1820"/>
        </w:tabs>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一、项目目标</w:t>
      </w:r>
    </w:p>
    <w:p>
      <w:pPr>
        <w:tabs>
          <w:tab w:val="left" w:pos="1820"/>
        </w:tabs>
        <w:snapToGrid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推进全区文体旅游行业消防与“三防”（防汛、防旱、防风）安全工作的制度化、常态化、规范化建设,通过系统开展消防与“三防”应急演练及专项培训，筑牢龙华区文体旅游行业安全生产防线,切实增强行业经营场所及从业人员的安全防范与风险辨识意识，显著提升其在火灾及自然灾害情形下的识灾、辨灾、防灾、逃灾能力以及自救、互救、共救水平，确保辖区文体旅游行业安全形势持续稳定。</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2"/>
        <w:spacing w:after="0" w:line="560" w:lineRule="exact"/>
        <w:ind w:left="0" w:leftChars="0" w:right="0" w:rightChars="0" w:firstLine="640" w:firstLineChars="200"/>
        <w:jc w:val="both"/>
        <w:rPr>
          <w:rFonts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lang w:val="en-US" w:eastAsia="zh-CN"/>
        </w:rPr>
        <w:t>2026</w:t>
      </w:r>
      <w:r>
        <w:rPr>
          <w:rFonts w:hint="eastAsia" w:ascii="仿宋_GB2312" w:hAnsi="仿宋_GB2312" w:eastAsia="仿宋_GB2312" w:cs="仿宋_GB2312"/>
          <w:color w:val="auto"/>
          <w:sz w:val="32"/>
          <w:szCs w:val="36"/>
        </w:rPr>
        <w:t>年</w:t>
      </w:r>
      <w:r>
        <w:rPr>
          <w:rFonts w:hint="eastAsia" w:ascii="仿宋_GB2312" w:hAnsi="仿宋_GB2312" w:eastAsia="仿宋_GB2312" w:cs="仿宋_GB2312"/>
          <w:color w:val="auto"/>
          <w:sz w:val="32"/>
          <w:szCs w:val="36"/>
          <w:lang w:val="en-US" w:eastAsia="zh-CN"/>
        </w:rPr>
        <w:t>5</w:t>
      </w:r>
      <w:r>
        <w:rPr>
          <w:rFonts w:hint="eastAsia" w:ascii="仿宋_GB2312" w:hAnsi="仿宋_GB2312" w:eastAsia="仿宋_GB2312" w:cs="仿宋_GB2312"/>
          <w:color w:val="auto"/>
          <w:sz w:val="32"/>
          <w:szCs w:val="36"/>
        </w:rPr>
        <w:t>月</w:t>
      </w:r>
      <w:r>
        <w:rPr>
          <w:rFonts w:hint="eastAsia" w:ascii="仿宋_GB2312" w:hAnsi="仿宋_GB2312" w:eastAsia="仿宋_GB2312" w:cs="仿宋_GB2312"/>
          <w:color w:val="auto"/>
          <w:sz w:val="32"/>
          <w:szCs w:val="36"/>
          <w:lang w:val="en-US" w:eastAsia="zh-CN"/>
        </w:rPr>
        <w:t>-2026年7</w:t>
      </w:r>
      <w:r>
        <w:rPr>
          <w:rFonts w:hint="eastAsia" w:ascii="仿宋_GB2312" w:hAnsi="仿宋_GB2312" w:eastAsia="仿宋_GB2312" w:cs="仿宋_GB2312"/>
          <w:color w:val="auto"/>
          <w:sz w:val="32"/>
          <w:szCs w:val="36"/>
        </w:rPr>
        <w:t>月（暂定）</w:t>
      </w:r>
    </w:p>
    <w:p>
      <w:pPr>
        <w:tabs>
          <w:tab w:val="left" w:pos="1820"/>
        </w:tabs>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adjustRightInd w:val="0"/>
        <w:snapToGrid w:val="0"/>
        <w:spacing w:line="560" w:lineRule="exact"/>
        <w:ind w:firstLine="640" w:firstLineChars="200"/>
        <w:jc w:val="both"/>
        <w:rPr>
          <w:rFonts w:hint="eastAsia" w:ascii="楷体_GB2312" w:hAnsi="楷体_GB2312" w:eastAsia="楷体_GB2312" w:cs="楷体_GB2312"/>
          <w:sz w:val="32"/>
          <w:szCs w:val="32"/>
        </w:rPr>
      </w:pPr>
      <w:r>
        <w:rPr>
          <w:rFonts w:hint="eastAsia" w:ascii="仿宋_GB2312" w:hAnsi="仿宋" w:eastAsia="仿宋_GB2312" w:cs="仿宋"/>
          <w:sz w:val="32"/>
          <w:szCs w:val="32"/>
        </w:rPr>
        <w:t>组织区级文体旅游行业安全宣教培训活动，包含1场消防安全应急演练、1场“三防”应急演练，以及1场消防安全专题培训、1场“三防”专题培训，共计4场次（具体时间和地点以实际为准）。项目拟采取线上与线下结合方式，预计参与线下演练人数200人、参与线下培训人数23</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人，同时需留存演练的音像资料，以备后续迎检考核。通过“演练+培训”融合模式，将活动与从业人员安全知识教育、应急救援技能培训深度结合，全面增强从业人员安全防范意识，提升其识灾、辨灾、防灾、逃灾及自救、互助、共救的综合能力。</w:t>
      </w:r>
    </w:p>
    <w:p>
      <w:pPr>
        <w:spacing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adjustRightInd w:val="0"/>
        <w:snapToGrid w:val="0"/>
        <w:spacing w:line="560" w:lineRule="exact"/>
        <w:ind w:firstLine="642" w:firstLineChars="200"/>
        <w:jc w:val="both"/>
        <w:rPr>
          <w:rFonts w:hint="eastAsia" w:ascii="仿宋_GB2312" w:hAnsi="仿宋" w:eastAsia="仿宋_GB2312" w:cs="仿宋"/>
          <w:b/>
          <w:bCs/>
          <w:sz w:val="32"/>
          <w:szCs w:val="32"/>
        </w:rPr>
      </w:pPr>
      <w:r>
        <w:rPr>
          <w:rFonts w:hint="eastAsia" w:ascii="仿宋_GB2312" w:hAnsi="仿宋" w:eastAsia="仿宋_GB2312" w:cs="仿宋"/>
          <w:b/>
          <w:bCs/>
          <w:sz w:val="32"/>
          <w:szCs w:val="32"/>
        </w:rPr>
        <w:t>1.消防安全应急演练要求</w:t>
      </w:r>
    </w:p>
    <w:p>
      <w:pPr>
        <w:adjustRightInd w:val="0"/>
        <w:snapToGrid w:val="0"/>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需周密制定演练方案，涵盖人员组织动员、火情报警响应、应急疏散引导、初期火灾扑救、伤员救护转运等全流程环节，配齐并规范使用各类消防器材装备，确保演练场景真实、处置规范、安全有序。</w:t>
      </w:r>
    </w:p>
    <w:p>
      <w:pPr>
        <w:adjustRightInd w:val="0"/>
        <w:snapToGrid w:val="0"/>
        <w:spacing w:line="560" w:lineRule="exact"/>
        <w:ind w:firstLine="642" w:firstLineChars="200"/>
        <w:jc w:val="both"/>
        <w:rPr>
          <w:rFonts w:hint="eastAsia" w:ascii="仿宋_GB2312" w:hAnsi="仿宋" w:eastAsia="仿宋_GB2312" w:cs="仿宋"/>
          <w:b/>
          <w:bCs/>
          <w:sz w:val="32"/>
          <w:szCs w:val="32"/>
        </w:rPr>
      </w:pPr>
      <w:r>
        <w:rPr>
          <w:rFonts w:hint="eastAsia" w:ascii="仿宋_GB2312" w:hAnsi="仿宋" w:eastAsia="仿宋_GB2312" w:cs="仿宋"/>
          <w:b/>
          <w:bCs/>
          <w:sz w:val="32"/>
          <w:szCs w:val="32"/>
        </w:rPr>
        <w:t>2.消防安全专题培训要求</w:t>
      </w:r>
    </w:p>
    <w:p>
      <w:pPr>
        <w:adjustRightInd w:val="0"/>
        <w:snapToGrid w:val="0"/>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培训内容应系统全面，包括但不限于：火灾风险隐患识别、电气火灾预防、正确逃生自救方法、人员疏散组织技巧；重点开展手提式干粉灭火器规范操作、室内消火栓使用、过滤式消防自救呼吸器佩戴等实操教学；同时须包含心肺复苏（CPR）技能及自动体外除颤仪（AED）使用的现场实操训练，确保参训人员掌握基本急救能力。</w:t>
      </w:r>
    </w:p>
    <w:p>
      <w:pPr>
        <w:adjustRightInd w:val="0"/>
        <w:snapToGrid w:val="0"/>
        <w:spacing w:line="560" w:lineRule="exact"/>
        <w:ind w:firstLine="642" w:firstLineChars="200"/>
        <w:jc w:val="both"/>
        <w:rPr>
          <w:rFonts w:hint="eastAsia" w:ascii="仿宋_GB2312" w:hAnsi="仿宋" w:eastAsia="仿宋_GB2312" w:cs="仿宋"/>
          <w:b/>
          <w:bCs/>
          <w:sz w:val="32"/>
          <w:szCs w:val="32"/>
        </w:rPr>
      </w:pPr>
      <w:r>
        <w:rPr>
          <w:rFonts w:hint="eastAsia" w:ascii="仿宋_GB2312" w:hAnsi="仿宋" w:eastAsia="仿宋_GB2312" w:cs="仿宋"/>
          <w:b/>
          <w:bCs/>
          <w:sz w:val="32"/>
          <w:szCs w:val="32"/>
        </w:rPr>
        <w:t>3.“三防”应急演练要求</w:t>
      </w:r>
    </w:p>
    <w:p>
      <w:pPr>
        <w:adjustRightInd w:val="0"/>
        <w:snapToGrid w:val="0"/>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需结合文体旅游行业特性（如涉山涉水景区、地下空间场馆等），模拟台风、暴雨、洪涝等极端灾害场景，组织开展风险隐患排查、预警信息传递、人员疏散转移、挡水排水设施操作、应急物资调配及险情上报等科目的实战演练。</w:t>
      </w:r>
    </w:p>
    <w:p>
      <w:pPr>
        <w:adjustRightInd w:val="0"/>
        <w:snapToGrid w:val="0"/>
        <w:spacing w:line="560" w:lineRule="exact"/>
        <w:ind w:firstLine="642" w:firstLineChars="200"/>
        <w:jc w:val="both"/>
        <w:rPr>
          <w:rFonts w:hint="eastAsia" w:ascii="仿宋_GB2312" w:hAnsi="仿宋" w:eastAsia="仿宋_GB2312" w:cs="仿宋"/>
          <w:b/>
          <w:bCs/>
          <w:sz w:val="32"/>
          <w:szCs w:val="32"/>
        </w:rPr>
      </w:pPr>
      <w:r>
        <w:rPr>
          <w:rFonts w:hint="eastAsia" w:ascii="仿宋_GB2312" w:hAnsi="仿宋" w:eastAsia="仿宋_GB2312" w:cs="仿宋"/>
          <w:b/>
          <w:bCs/>
          <w:sz w:val="32"/>
          <w:szCs w:val="32"/>
        </w:rPr>
        <w:t>4.“三防”专题培训要求</w:t>
      </w:r>
    </w:p>
    <w:p>
      <w:pPr>
        <w:adjustRightInd w:val="0"/>
        <w:snapToGrid w:val="0"/>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培训内容应聚焦于行业“三防”重点，涵盖气象灾害预警信号识别、防汛防台应急预案解读、地质灾害防范常识、户外文旅活动安全指引以及应急避难场所选择与自救互救知识，切实提高从业人员应对自然灾害的综合防御能力。</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13.58</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sz w:val="32"/>
          <w:szCs w:val="36"/>
          <w:lang w:val="en-US"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75"/>
        <w:gridCol w:w="994"/>
        <w:gridCol w:w="994"/>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2"/>
              <w:spacing w:after="0" w:line="560" w:lineRule="exact"/>
              <w:ind w:left="0" w:leftChars="0" w:right="0" w:rightChars="0" w:firstLine="0" w:firstLine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2026年文体旅游行业安全宣教培训项目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top"/>
          </w:tcPr>
          <w:p>
            <w:pPr>
              <w:pStyle w:val="2"/>
              <w:spacing w:after="0" w:line="560" w:lineRule="exact"/>
              <w:ind w:left="0" w:leftChars="0" w:right="0" w:rightChars="0" w:firstLine="0" w:firstLineChars="0"/>
              <w:jc w:val="left"/>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1875" w:type="dxa"/>
            <w:noWrap w:val="0"/>
            <w:vAlign w:val="top"/>
          </w:tcPr>
          <w:p>
            <w:pPr>
              <w:pStyle w:val="2"/>
              <w:spacing w:after="0" w:line="560" w:lineRule="exact"/>
              <w:ind w:left="0" w:leftChars="0" w:right="0" w:rightChars="0" w:firstLine="0" w:firstLineChars="0"/>
              <w:jc w:val="left"/>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eastAsia="zh-CN"/>
              </w:rPr>
              <w:t>项目</w:t>
            </w:r>
            <w:r>
              <w:rPr>
                <w:rFonts w:hint="eastAsia" w:ascii="仿宋_GB2312" w:hAnsi="仿宋_GB2312" w:eastAsia="仿宋_GB2312" w:cs="仿宋_GB2312"/>
                <w:sz w:val="32"/>
                <w:szCs w:val="32"/>
                <w:highlight w:val="none"/>
                <w:vertAlign w:val="baseline"/>
                <w:lang w:val="en-US" w:eastAsia="zh-CN"/>
              </w:rPr>
              <w:t>/内容</w:t>
            </w:r>
          </w:p>
        </w:tc>
        <w:tc>
          <w:tcPr>
            <w:tcW w:w="994" w:type="dxa"/>
            <w:noWrap w:val="0"/>
            <w:vAlign w:val="top"/>
          </w:tcPr>
          <w:p>
            <w:pPr>
              <w:pStyle w:val="2"/>
              <w:spacing w:after="0" w:line="560" w:lineRule="exact"/>
              <w:ind w:left="0" w:leftChars="0" w:right="0" w:rightChars="0" w:firstLine="0" w:firstLineChars="0"/>
              <w:jc w:val="left"/>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单位</w:t>
            </w:r>
          </w:p>
        </w:tc>
        <w:tc>
          <w:tcPr>
            <w:tcW w:w="994" w:type="dxa"/>
            <w:noWrap w:val="0"/>
            <w:vAlign w:val="top"/>
          </w:tcPr>
          <w:p>
            <w:pPr>
              <w:pStyle w:val="2"/>
              <w:spacing w:after="0" w:line="560" w:lineRule="exact"/>
              <w:ind w:left="0" w:leftChars="0" w:right="0" w:rightChars="0" w:firstLine="0" w:firstLineChars="0"/>
              <w:jc w:val="left"/>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数量</w:t>
            </w:r>
          </w:p>
        </w:tc>
        <w:tc>
          <w:tcPr>
            <w:tcW w:w="3774" w:type="dxa"/>
            <w:noWrap w:val="0"/>
            <w:vAlign w:val="top"/>
          </w:tcPr>
          <w:p>
            <w:pPr>
              <w:pStyle w:val="2"/>
              <w:spacing w:after="0" w:line="560" w:lineRule="exact"/>
              <w:ind w:left="0" w:leftChars="0" w:right="0" w:rightChars="0" w:firstLine="0" w:firstLineChars="0"/>
              <w:jc w:val="left"/>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81"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val="en-US" w:eastAsia="zh-CN"/>
              </w:rPr>
            </w:pPr>
            <w:r>
              <w:rPr>
                <w:rFonts w:hint="eastAsia" w:ascii="仿宋_GB2312" w:hAnsi="仿宋" w:eastAsia="仿宋_GB2312" w:cs="仿宋"/>
                <w:sz w:val="32"/>
                <w:szCs w:val="32"/>
                <w:highlight w:val="none"/>
                <w:vertAlign w:val="baseline"/>
                <w:lang w:val="en-US" w:eastAsia="zh-CN"/>
              </w:rPr>
              <w:t>1</w:t>
            </w:r>
          </w:p>
        </w:tc>
        <w:tc>
          <w:tcPr>
            <w:tcW w:w="1875"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rPr>
              <w:t>应急演练</w:t>
            </w:r>
          </w:p>
        </w:tc>
        <w:tc>
          <w:tcPr>
            <w:tcW w:w="994"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vertAlign w:val="baseline"/>
                <w:lang w:eastAsia="zh-CN"/>
              </w:rPr>
              <w:t>场</w:t>
            </w:r>
          </w:p>
        </w:tc>
        <w:tc>
          <w:tcPr>
            <w:tcW w:w="994" w:type="dxa"/>
            <w:noWrap w:val="0"/>
            <w:vAlign w:val="center"/>
          </w:tcPr>
          <w:p>
            <w:pPr>
              <w:pStyle w:val="2"/>
              <w:spacing w:after="0" w:line="560" w:lineRule="exact"/>
              <w:ind w:left="0" w:leftChars="0" w:right="0" w:rightChars="0"/>
              <w:jc w:val="center"/>
              <w:rPr>
                <w:rFonts w:hint="default"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vertAlign w:val="baseline"/>
                <w:lang w:val="en-US" w:eastAsia="zh-CN"/>
              </w:rPr>
              <w:t>2</w:t>
            </w:r>
          </w:p>
        </w:tc>
        <w:tc>
          <w:tcPr>
            <w:tcW w:w="3774" w:type="dxa"/>
            <w:noWrap w:val="0"/>
            <w:vAlign w:val="top"/>
          </w:tcPr>
          <w:p>
            <w:pPr>
              <w:pStyle w:val="2"/>
              <w:numPr>
                <w:ilvl w:val="0"/>
                <w:numId w:val="0"/>
              </w:numPr>
              <w:spacing w:after="0" w:line="560" w:lineRule="exact"/>
              <w:ind w:right="0" w:rightChars="0"/>
              <w:jc w:val="both"/>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消防安全应急演练</w:t>
            </w:r>
            <w:r>
              <w:rPr>
                <w:rFonts w:hint="eastAsia" w:ascii="仿宋_GB2312" w:hAnsi="仿宋" w:eastAsia="仿宋_GB2312" w:cs="仿宋"/>
                <w:sz w:val="32"/>
                <w:szCs w:val="32"/>
                <w:highlight w:val="none"/>
                <w:lang w:val="en-US" w:eastAsia="zh-CN"/>
              </w:rPr>
              <w:t>1场、</w:t>
            </w:r>
            <w:r>
              <w:rPr>
                <w:rFonts w:hint="eastAsia" w:ascii="仿宋_GB2312" w:hAnsi="仿宋" w:eastAsia="仿宋_GB2312" w:cs="仿宋"/>
                <w:sz w:val="32"/>
                <w:szCs w:val="32"/>
                <w:highlight w:val="none"/>
              </w:rPr>
              <w:t>“三防”应急演练</w:t>
            </w:r>
            <w:r>
              <w:rPr>
                <w:rFonts w:hint="eastAsia" w:ascii="仿宋_GB2312" w:hAnsi="仿宋" w:eastAsia="仿宋_GB2312" w:cs="仿宋"/>
                <w:sz w:val="32"/>
                <w:szCs w:val="32"/>
                <w:highlight w:val="none"/>
                <w:lang w:val="en-US" w:eastAsia="zh-CN"/>
              </w:rPr>
              <w:t>1场</w:t>
            </w:r>
          </w:p>
          <w:p>
            <w:pPr>
              <w:pStyle w:val="2"/>
              <w:numPr>
                <w:ilvl w:val="0"/>
                <w:numId w:val="0"/>
              </w:numPr>
              <w:spacing w:after="0" w:line="560" w:lineRule="exact"/>
              <w:ind w:right="0" w:rightChars="0"/>
              <w:jc w:val="both"/>
              <w:rPr>
                <w:rFonts w:hint="eastAsia"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vertAlign w:val="baseline"/>
                <w:lang w:val="en-US" w:eastAsia="zh-CN"/>
              </w:rPr>
              <w:t>2.</w:t>
            </w:r>
            <w:r>
              <w:rPr>
                <w:rFonts w:hint="eastAsia" w:ascii="仿宋_GB2312" w:hAnsi="仿宋" w:eastAsia="仿宋_GB2312" w:cs="仿宋"/>
                <w:sz w:val="32"/>
                <w:szCs w:val="32"/>
                <w:highlight w:val="none"/>
                <w:vertAlign w:val="baseline"/>
                <w:lang w:eastAsia="zh-CN"/>
              </w:rPr>
              <w:t>线上</w:t>
            </w:r>
            <w:r>
              <w:rPr>
                <w:rFonts w:hint="eastAsia" w:ascii="仿宋_GB2312" w:hAnsi="仿宋" w:eastAsia="仿宋_GB2312" w:cs="仿宋"/>
                <w:sz w:val="32"/>
                <w:szCs w:val="32"/>
                <w:highlight w:val="none"/>
                <w:vertAlign w:val="baseline"/>
                <w:lang w:val="en-US" w:eastAsia="zh-CN"/>
              </w:rPr>
              <w:t>+线下结合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val="en-US" w:eastAsia="zh-CN"/>
              </w:rPr>
            </w:pPr>
            <w:r>
              <w:rPr>
                <w:rFonts w:hint="eastAsia" w:ascii="仿宋_GB2312" w:hAnsi="仿宋" w:eastAsia="仿宋_GB2312" w:cs="仿宋"/>
                <w:sz w:val="32"/>
                <w:szCs w:val="32"/>
                <w:highlight w:val="none"/>
                <w:vertAlign w:val="baseline"/>
                <w:lang w:val="en-US" w:eastAsia="zh-CN"/>
              </w:rPr>
              <w:t>2</w:t>
            </w:r>
          </w:p>
        </w:tc>
        <w:tc>
          <w:tcPr>
            <w:tcW w:w="1875"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rPr>
              <w:t>专题培训</w:t>
            </w:r>
          </w:p>
        </w:tc>
        <w:tc>
          <w:tcPr>
            <w:tcW w:w="994" w:type="dxa"/>
            <w:noWrap w:val="0"/>
            <w:vAlign w:val="center"/>
          </w:tcPr>
          <w:p>
            <w:pPr>
              <w:pStyle w:val="2"/>
              <w:spacing w:after="0" w:line="560" w:lineRule="exact"/>
              <w:ind w:left="0" w:leftChars="0" w:right="0" w:rightChars="0"/>
              <w:jc w:val="center"/>
              <w:rPr>
                <w:rFonts w:hint="eastAsia"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vertAlign w:val="baseline"/>
                <w:lang w:eastAsia="zh-CN"/>
              </w:rPr>
              <w:t>场</w:t>
            </w:r>
          </w:p>
        </w:tc>
        <w:tc>
          <w:tcPr>
            <w:tcW w:w="994" w:type="dxa"/>
            <w:noWrap w:val="0"/>
            <w:vAlign w:val="center"/>
          </w:tcPr>
          <w:p>
            <w:pPr>
              <w:pStyle w:val="2"/>
              <w:spacing w:after="0" w:line="560" w:lineRule="exact"/>
              <w:ind w:left="0" w:leftChars="0" w:right="0" w:rightChars="0"/>
              <w:jc w:val="center"/>
              <w:rPr>
                <w:rFonts w:hint="default"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vertAlign w:val="baseline"/>
                <w:lang w:val="en-US" w:eastAsia="zh-CN"/>
              </w:rPr>
              <w:t>2</w:t>
            </w:r>
          </w:p>
        </w:tc>
        <w:tc>
          <w:tcPr>
            <w:tcW w:w="3774" w:type="dxa"/>
            <w:noWrap w:val="0"/>
            <w:vAlign w:val="top"/>
          </w:tcPr>
          <w:p>
            <w:pPr>
              <w:pStyle w:val="2"/>
              <w:spacing w:after="0" w:line="560" w:lineRule="exact"/>
              <w:ind w:left="0" w:leftChars="0" w:right="0" w:rightChars="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消防安全专题培训1场、“三防”专题培训1场</w:t>
            </w:r>
          </w:p>
          <w:p>
            <w:pPr>
              <w:pStyle w:val="2"/>
              <w:spacing w:after="0" w:line="560" w:lineRule="exact"/>
              <w:ind w:left="0" w:leftChars="0" w:right="0" w:rightChars="0"/>
              <w:jc w:val="left"/>
              <w:rPr>
                <w:rFonts w:hint="default" w:ascii="仿宋_GB2312" w:hAnsi="仿宋" w:eastAsia="仿宋_GB2312" w:cs="仿宋"/>
                <w:sz w:val="32"/>
                <w:szCs w:val="32"/>
                <w:highlight w:val="none"/>
                <w:vertAlign w:val="baseline"/>
                <w:lang w:eastAsia="zh-CN"/>
              </w:rPr>
            </w:pPr>
            <w:r>
              <w:rPr>
                <w:rFonts w:hint="eastAsia"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vertAlign w:val="baseline"/>
                <w:lang w:eastAsia="zh-CN"/>
              </w:rPr>
              <w:t>线上</w:t>
            </w:r>
            <w:r>
              <w:rPr>
                <w:rFonts w:hint="eastAsia" w:ascii="仿宋_GB2312" w:hAnsi="仿宋" w:eastAsia="仿宋_GB2312" w:cs="仿宋"/>
                <w:sz w:val="32"/>
                <w:szCs w:val="32"/>
                <w:highlight w:val="none"/>
                <w:vertAlign w:val="baseline"/>
                <w:lang w:val="en-US" w:eastAsia="zh-CN"/>
              </w:rPr>
              <w:t>+线下结合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2"/>
              <w:spacing w:after="0" w:line="560" w:lineRule="exact"/>
              <w:ind w:left="0" w:leftChars="0" w:right="0" w:rightChars="0" w:firstLine="0" w:firstLineChars="0"/>
              <w:jc w:val="left"/>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eastAsia="zh-CN"/>
              </w:rPr>
              <w:t>投标价格（万元）：</w:t>
            </w:r>
            <w:r>
              <w:rPr>
                <w:rFonts w:hint="eastAsia" w:ascii="仿宋_GB2312" w:hAnsi="仿宋_GB2312" w:eastAsia="仿宋_GB2312" w:cs="仿宋_GB2312"/>
                <w:sz w:val="32"/>
                <w:szCs w:val="32"/>
                <w:highlight w:val="none"/>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w:t>
      </w:r>
      <w:r>
        <w:rPr>
          <w:rFonts w:hint="eastAsia" w:ascii="仿宋_GB2312" w:hAnsi="仿宋" w:eastAsia="仿宋_GB2312" w:cs="仿宋"/>
          <w:sz w:val="32"/>
          <w:szCs w:val="32"/>
          <w:highlight w:val="none"/>
        </w:rPr>
        <w:t>业执照、事业法人证书、社会团体法人登记证书等扫描件）</w:t>
      </w:r>
      <w:r>
        <w:rPr>
          <w:rFonts w:hint="eastAsia" w:ascii="仿宋_GB2312" w:hAnsi="仿宋" w:cs="仿宋"/>
          <w:sz w:val="32"/>
          <w:szCs w:val="32"/>
          <w:highlight w:val="none"/>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4"/>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r>
        <w:rPr>
          <w:rFonts w:hint="eastAsia" w:ascii="仿宋_GB2312" w:hAnsi="仿宋" w:eastAsia="仿宋_GB2312"/>
          <w:sz w:val="32"/>
          <w:highlight w:val="none"/>
          <w:lang w:val="en-US" w:eastAsia="zh-CN"/>
        </w:rPr>
        <w:t>。</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 w:val="24"/>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 w:val="24"/>
                <w:szCs w:val="24"/>
                <w:lang w:val="en-US" w:eastAsia="zh-CN"/>
              </w:rPr>
              <w:t>20</w:t>
            </w:r>
            <w:r>
              <w:rPr>
                <w:rFonts w:hint="eastAsia" w:ascii="仿宋_GB2312" w:hAnsi="仿宋_GB2312" w:eastAsia="仿宋_GB2312" w:cs="仿宋_GB2312"/>
                <w:b w:val="0"/>
                <w:bCs/>
                <w:szCs w:val="24"/>
              </w:rPr>
              <w:t>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每提供一项消防（或“三防”）安全演练、消防（或“三防”）专题培训</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w:t>
            </w:r>
            <w:r>
              <w:rPr>
                <w:rFonts w:hint="eastAsia" w:ascii="仿宋_GB2312" w:hAnsi="仿宋_GB2312" w:eastAsia="仿宋_GB2312" w:cs="仿宋_GB2312"/>
                <w:sz w:val="24"/>
                <w:szCs w:val="24"/>
                <w:lang w:val="en-US" w:eastAsia="zh-CN"/>
              </w:rPr>
              <w:t>有安全相关专业</w:t>
            </w:r>
            <w:r>
              <w:rPr>
                <w:rFonts w:hint="eastAsia" w:ascii="仿宋_GB2312" w:hAnsi="仿宋_GB2312" w:eastAsia="仿宋_GB2312" w:cs="仿宋_GB2312"/>
                <w:sz w:val="24"/>
                <w:szCs w:val="24"/>
                <w:lang w:eastAsia="zh-CN"/>
              </w:rPr>
              <w:t>本科（或以上）学历的，</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中级（或以上）工程师职称</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具备</w:t>
            </w:r>
            <w:r>
              <w:rPr>
                <w:rFonts w:hint="eastAsia" w:ascii="仿宋_GB2312" w:hAnsi="仿宋_GB2312" w:eastAsia="仿宋_GB2312" w:cs="仿宋_GB2312"/>
                <w:sz w:val="24"/>
                <w:szCs w:val="24"/>
                <w:lang w:val="en-US" w:eastAsia="zh-CN"/>
              </w:rPr>
              <w:t>公共安全、消防安全、防灾减灾救灾等安全领域项目</w:t>
            </w:r>
            <w:r>
              <w:rPr>
                <w:rFonts w:hint="eastAsia" w:ascii="仿宋_GB2312" w:hAnsi="仿宋_GB2312" w:eastAsia="仿宋_GB2312" w:cs="仿宋_GB2312"/>
                <w:sz w:val="24"/>
                <w:szCs w:val="24"/>
                <w:lang w:eastAsia="zh-CN"/>
              </w:rPr>
              <w:t>服务工作经验的，得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rPr>
              <w:t>提供毕业证书扫描件、学历信息在学信网查询结果截图，原件备查。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提供相关证书证明材料</w:t>
            </w:r>
            <w:r>
              <w:rPr>
                <w:rFonts w:hint="eastAsia" w:ascii="仿宋_GB2312" w:hAnsi="仿宋_GB2312" w:eastAsia="仿宋_GB2312" w:cs="仿宋_GB2312"/>
                <w:sz w:val="24"/>
                <w:szCs w:val="24"/>
                <w:lang w:eastAsia="zh-CN"/>
              </w:rPr>
              <w:t>及线上查询验证材料</w:t>
            </w:r>
            <w:r>
              <w:rPr>
                <w:rFonts w:hint="eastAsia" w:ascii="仿宋_GB2312" w:hAnsi="仿宋_GB2312" w:eastAsia="仿宋_GB2312" w:cs="仿宋_GB2312"/>
                <w:sz w:val="24"/>
                <w:szCs w:val="24"/>
              </w:rPr>
              <w:t>。</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topLinePunct/>
              <w:adjustRightInd/>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35</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1项目团队人员配置与管理方案；</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2.演练活动实施方案；</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3.培训活动实施方案；</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4.应急响应与后勤保障实施方案。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满足以上任意一项要求得3分，最高得9分，在此基础上，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FF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2"/>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2"/>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2"/>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2"/>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2"/>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2"/>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w:t>
      </w:r>
      <w:r>
        <w:rPr>
          <w:rFonts w:hint="eastAsia" w:ascii="仿宋_GB2312" w:hAnsi="仿宋" w:eastAsia="仿宋_GB2312" w:cs="Times New Roman"/>
          <w:color w:val="auto"/>
          <w:sz w:val="32"/>
          <w:highlight w:val="none"/>
          <w:lang w:val="en-US" w:eastAsia="zh-CN"/>
        </w:rPr>
        <w:t>供5</w:t>
      </w:r>
      <w:r>
        <w:rPr>
          <w:rFonts w:hint="eastAsia" w:ascii="仿宋_GB2312" w:hAnsi="仿宋" w:eastAsia="仿宋_GB2312" w:cs="Times New Roman"/>
          <w:color w:val="auto"/>
          <w:sz w:val="32"/>
          <w:highlight w:val="none"/>
        </w:rPr>
        <w:t>份</w:t>
      </w:r>
      <w:r>
        <w:rPr>
          <w:rFonts w:hint="eastAsia" w:ascii="仿宋_GB2312" w:hAnsi="仿宋" w:eastAsia="仿宋_GB2312" w:cs="Times New Roman"/>
          <w:color w:val="auto"/>
          <w:sz w:val="32"/>
        </w:rPr>
        <w:t>密</w:t>
      </w:r>
      <w:r>
        <w:rPr>
          <w:rFonts w:hint="eastAsia" w:ascii="仿宋_GB2312" w:hAnsi="仿宋" w:eastAsia="仿宋_GB2312" w:cs="Times New Roman"/>
          <w:sz w:val="32"/>
        </w:rPr>
        <w:t>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并在封面备注“2026年文体旅游行业安全宣教培训项目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2"/>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FFB417C"/>
    <w:rsid w:val="13AEC0A0"/>
    <w:rsid w:val="16EB8C75"/>
    <w:rsid w:val="17076EFD"/>
    <w:rsid w:val="27CF255F"/>
    <w:rsid w:val="27F7DDCC"/>
    <w:rsid w:val="3073A82B"/>
    <w:rsid w:val="31F38BCD"/>
    <w:rsid w:val="37F63110"/>
    <w:rsid w:val="37FFED0E"/>
    <w:rsid w:val="38EEDD46"/>
    <w:rsid w:val="3CF8707B"/>
    <w:rsid w:val="3D3FC30D"/>
    <w:rsid w:val="3D5FDCFC"/>
    <w:rsid w:val="3E91808C"/>
    <w:rsid w:val="3E9FE1FD"/>
    <w:rsid w:val="3F3EA234"/>
    <w:rsid w:val="43BC0D62"/>
    <w:rsid w:val="47F782AF"/>
    <w:rsid w:val="4BACAE1E"/>
    <w:rsid w:val="51DF1C6F"/>
    <w:rsid w:val="56DFE8F0"/>
    <w:rsid w:val="5DFD1222"/>
    <w:rsid w:val="5E7B8780"/>
    <w:rsid w:val="5EFD7A63"/>
    <w:rsid w:val="5F2BE56A"/>
    <w:rsid w:val="5F7771CA"/>
    <w:rsid w:val="5FF1180A"/>
    <w:rsid w:val="65EF57C0"/>
    <w:rsid w:val="6CFFD566"/>
    <w:rsid w:val="6DB925B9"/>
    <w:rsid w:val="6DEDA477"/>
    <w:rsid w:val="6EB4130E"/>
    <w:rsid w:val="6EF7FA77"/>
    <w:rsid w:val="6EFFD979"/>
    <w:rsid w:val="6F2F5CFD"/>
    <w:rsid w:val="6FC72380"/>
    <w:rsid w:val="6FDF9F17"/>
    <w:rsid w:val="6FF9C009"/>
    <w:rsid w:val="73FB884D"/>
    <w:rsid w:val="7537C137"/>
    <w:rsid w:val="77CF62C2"/>
    <w:rsid w:val="77DFB1D8"/>
    <w:rsid w:val="77EB6783"/>
    <w:rsid w:val="77F7AED2"/>
    <w:rsid w:val="77FC7AEE"/>
    <w:rsid w:val="77FD27FC"/>
    <w:rsid w:val="7A5F07B1"/>
    <w:rsid w:val="7BF7E217"/>
    <w:rsid w:val="7CEF5493"/>
    <w:rsid w:val="7D3FF64E"/>
    <w:rsid w:val="7D9F3A20"/>
    <w:rsid w:val="7DAE290F"/>
    <w:rsid w:val="7DB67C8E"/>
    <w:rsid w:val="7DD39989"/>
    <w:rsid w:val="7DFE50D7"/>
    <w:rsid w:val="7E3F347B"/>
    <w:rsid w:val="7E5756B6"/>
    <w:rsid w:val="7E5EB564"/>
    <w:rsid w:val="7E9F479A"/>
    <w:rsid w:val="7EE7D68E"/>
    <w:rsid w:val="7EF228DB"/>
    <w:rsid w:val="7F1FE05C"/>
    <w:rsid w:val="7F36D782"/>
    <w:rsid w:val="7F4B46C1"/>
    <w:rsid w:val="7F5B45DD"/>
    <w:rsid w:val="7FBB5E6A"/>
    <w:rsid w:val="7FBE9F41"/>
    <w:rsid w:val="7FBF8F51"/>
    <w:rsid w:val="7FEFD4BF"/>
    <w:rsid w:val="7FFFA74D"/>
    <w:rsid w:val="86BDCB43"/>
    <w:rsid w:val="97F3BE7B"/>
    <w:rsid w:val="99F9045F"/>
    <w:rsid w:val="9EFFBBA7"/>
    <w:rsid w:val="9FF753B3"/>
    <w:rsid w:val="AFCE758C"/>
    <w:rsid w:val="B79E61B9"/>
    <w:rsid w:val="BBFF548B"/>
    <w:rsid w:val="BFBBF021"/>
    <w:rsid w:val="CEAEA899"/>
    <w:rsid w:val="CFF7E648"/>
    <w:rsid w:val="CFFB2783"/>
    <w:rsid w:val="D37DDE43"/>
    <w:rsid w:val="D5DE7CEF"/>
    <w:rsid w:val="DB7B2F03"/>
    <w:rsid w:val="DBBDC4D9"/>
    <w:rsid w:val="DD6720B9"/>
    <w:rsid w:val="DEB7FE68"/>
    <w:rsid w:val="DEBB3314"/>
    <w:rsid w:val="DEE46567"/>
    <w:rsid w:val="DFFF69F1"/>
    <w:rsid w:val="E376E1AF"/>
    <w:rsid w:val="E77E6E49"/>
    <w:rsid w:val="E7ED6E3D"/>
    <w:rsid w:val="EDEE48AA"/>
    <w:rsid w:val="EF2E7326"/>
    <w:rsid w:val="EF77C5C8"/>
    <w:rsid w:val="EFDC993B"/>
    <w:rsid w:val="EFE068D5"/>
    <w:rsid w:val="EFF64497"/>
    <w:rsid w:val="F0DE246A"/>
    <w:rsid w:val="F19AD755"/>
    <w:rsid w:val="F1BF3AC3"/>
    <w:rsid w:val="F36B5565"/>
    <w:rsid w:val="F3F66400"/>
    <w:rsid w:val="F4FD05B3"/>
    <w:rsid w:val="F566E43B"/>
    <w:rsid w:val="F6DFD76E"/>
    <w:rsid w:val="F71EAAD2"/>
    <w:rsid w:val="F77F33CC"/>
    <w:rsid w:val="F7EAE1D6"/>
    <w:rsid w:val="F9B3E732"/>
    <w:rsid w:val="F9BF1366"/>
    <w:rsid w:val="FBCE33EE"/>
    <w:rsid w:val="FBE82D48"/>
    <w:rsid w:val="FBFDDDEC"/>
    <w:rsid w:val="FCE6D570"/>
    <w:rsid w:val="FDB739BB"/>
    <w:rsid w:val="FDBF4E1E"/>
    <w:rsid w:val="FDFFDEC4"/>
    <w:rsid w:val="FF3FB81B"/>
    <w:rsid w:val="FF535E31"/>
    <w:rsid w:val="FF9F633E"/>
    <w:rsid w:val="FF9F81A6"/>
    <w:rsid w:val="FFBB87B5"/>
    <w:rsid w:val="FFBFB86A"/>
    <w:rsid w:val="FFD71C79"/>
    <w:rsid w:val="FFDFE886"/>
    <w:rsid w:val="FFE9EEA5"/>
    <w:rsid w:val="FFEE3CEB"/>
    <w:rsid w:val="FFEE5864"/>
    <w:rsid w:val="FFEF2FC6"/>
    <w:rsid w:val="FFEFAFFC"/>
    <w:rsid w:val="FFEFD287"/>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2025-04-24T09:16:00Z</dcterms:created>
  <dc:creator>yang</dc:creator>
  <cp:lastModifiedBy>lxy</cp:lastModifiedBy>
  <cp:lastPrinted>2026-04-23T14:44:00Z</cp:lastPrinted>
  <dcterms:modified xsi:type="dcterms:W3CDTF">2026-04-30T17:08:51Z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1137E5973A43E98B538AE569965ED678</vt:lpwstr>
  </property>
</Properties>
</file>