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龙华区2026年公益性体育设施更新维护</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项目需求书</w:t>
      </w:r>
    </w:p>
    <w:p>
      <w:pPr>
        <w:pStyle w:val="10"/>
        <w:spacing w:line="560" w:lineRule="exact"/>
        <w:jc w:val="center"/>
        <w:rPr>
          <w:rFonts w:ascii="仿宋" w:hAnsi="仿宋" w:eastAsia="仿宋" w:cs="方正小标宋简体"/>
          <w:spacing w:val="17"/>
          <w:sz w:val="44"/>
          <w:szCs w:val="44"/>
        </w:rPr>
      </w:pPr>
    </w:p>
    <w:p>
      <w:pPr>
        <w:numPr>
          <w:ilvl w:val="-1"/>
          <w:numId w:val="0"/>
        </w:numPr>
        <w:tabs>
          <w:tab w:val="left" w:pos="1820"/>
        </w:tabs>
        <w:snapToGrid w:val="0"/>
        <w:spacing w:line="560" w:lineRule="exact"/>
        <w:ind w:left="0" w:leftChars="0" w:firstLine="640" w:firstLineChars="200"/>
        <w:jc w:val="left"/>
        <w:rPr>
          <w:rFonts w:hint="eastAsia" w:ascii="黑体" w:hAnsi="黑体" w:eastAsia="黑体" w:cs="黑体"/>
          <w:bCs/>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项目目标</w:t>
      </w:r>
    </w:p>
    <w:p>
      <w:pPr>
        <w:widowControl/>
        <w:tabs>
          <w:tab w:val="left" w:pos="1820"/>
        </w:tabs>
        <w:adjustRightInd w:val="0"/>
        <w:snapToGrid w:val="0"/>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lang w:bidi="ar"/>
        </w:rPr>
        <w:t>为深入贯彻落实《广东省体育局关于做好公共场所全民健身器材配建管理工作的通知》《关于加强深圳市公共场所全民健身器材管理工作的通知》等文件精神，提高我区公益性体育设施安全性，满足广大市民的体育锻炼需求，充分发挥公益性体育设施的功能，保障群众参与体育锻炼的安全，现拟开展2026年度龙华区公益性体育设施更新维护工作。</w:t>
      </w:r>
    </w:p>
    <w:p>
      <w:pPr>
        <w:numPr>
          <w:ilvl w:val="-1"/>
          <w:numId w:val="0"/>
        </w:numPr>
        <w:tabs>
          <w:tab w:val="left" w:pos="1820"/>
        </w:tabs>
        <w:snapToGrid w:val="0"/>
        <w:spacing w:line="560" w:lineRule="exact"/>
        <w:ind w:left="0" w:leftChars="0" w:firstLine="640" w:firstLineChars="200"/>
        <w:jc w:val="left"/>
        <w:rPr>
          <w:rFonts w:hint="eastAsia"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服务时间</w:t>
      </w:r>
    </w:p>
    <w:p>
      <w:pPr>
        <w:pStyle w:val="8"/>
        <w:spacing w:after="0" w:line="560"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2026年4月—202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月（暂定）</w:t>
      </w:r>
    </w:p>
    <w:p>
      <w:pPr>
        <w:numPr>
          <w:ilvl w:val="-1"/>
          <w:numId w:val="0"/>
        </w:numPr>
        <w:tabs>
          <w:tab w:val="left" w:pos="1820"/>
        </w:tabs>
        <w:snapToGrid w:val="0"/>
        <w:spacing w:line="560" w:lineRule="exact"/>
        <w:ind w:left="0" w:leftChars="0" w:firstLine="640" w:firstLineChars="200"/>
        <w:jc w:val="left"/>
        <w:rPr>
          <w:rFonts w:hint="eastAsia" w:ascii="黑体" w:hAnsi="黑体" w:eastAsia="黑体" w:cs="黑体"/>
          <w:bCs/>
          <w:sz w:val="32"/>
          <w:szCs w:val="32"/>
        </w:rPr>
      </w:pPr>
      <w:bookmarkStart w:id="0" w:name="OLE_LINK2"/>
      <w:r>
        <w:rPr>
          <w:rFonts w:hint="eastAsia" w:ascii="黑体" w:hAnsi="黑体" w:eastAsia="黑体" w:cs="黑体"/>
          <w:bCs/>
          <w:sz w:val="32"/>
          <w:szCs w:val="32"/>
          <w:lang w:eastAsia="zh-CN"/>
        </w:rPr>
        <w:t>三、</w:t>
      </w:r>
      <w:r>
        <w:rPr>
          <w:rFonts w:hint="eastAsia" w:ascii="黑体" w:hAnsi="黑体" w:eastAsia="黑体" w:cs="黑体"/>
          <w:bCs/>
          <w:sz w:val="32"/>
          <w:szCs w:val="32"/>
        </w:rPr>
        <w:t>项目内容及要求</w:t>
      </w:r>
      <w:bookmarkEnd w:id="0"/>
    </w:p>
    <w:p>
      <w:pPr>
        <w:pStyle w:val="5"/>
        <w:spacing w:line="560"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bidi="ar"/>
        </w:rPr>
        <w:t>经估算龙华区6个街道损坏器材点位及项目过程中巡查发现的损坏设施或因市民投诉引发的维修点位，合计约180处需进行维护更新</w:t>
      </w:r>
      <w:r>
        <w:rPr>
          <w:rFonts w:hint="eastAsia" w:ascii="仿宋_GB2312" w:hAnsi="仿宋_GB2312" w:eastAsia="仿宋_GB2312" w:cs="仿宋_GB2312"/>
          <w:sz w:val="32"/>
          <w:szCs w:val="32"/>
          <w:highlight w:val="none"/>
          <w:lang w:eastAsia="zh-CN" w:bidi="ar"/>
        </w:rPr>
        <w:t>，具体如下：</w:t>
      </w:r>
    </w:p>
    <w:p>
      <w:pPr>
        <w:pStyle w:val="5"/>
        <w:spacing w:line="560"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val="en-US" w:eastAsia="zh-CN" w:bidi="ar"/>
        </w:rPr>
        <w:t>1.</w:t>
      </w:r>
      <w:r>
        <w:rPr>
          <w:rFonts w:hint="eastAsia" w:ascii="仿宋_GB2312" w:hAnsi="仿宋_GB2312" w:eastAsia="仿宋_GB2312" w:cs="仿宋_GB2312"/>
          <w:sz w:val="32"/>
          <w:szCs w:val="32"/>
          <w:highlight w:val="none"/>
          <w:lang w:eastAsia="zh-CN" w:bidi="ar"/>
        </w:rPr>
        <w:t>全面巡检与台账建立</w:t>
      </w:r>
    </w:p>
    <w:p>
      <w:pPr>
        <w:pStyle w:val="5"/>
        <w:spacing w:line="560"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eastAsia="zh-CN" w:bidi="ar"/>
        </w:rPr>
        <w:t>对辖区6个街道所有公益性体育设施开展巡检，记录设施类型、位置、损坏情况等信息，建立动态维护台账，台账应包含文字记录、现场照片等信息，并保持实时更新。</w:t>
      </w:r>
    </w:p>
    <w:p>
      <w:pPr>
        <w:pStyle w:val="5"/>
        <w:spacing w:line="560"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val="en-US" w:eastAsia="zh-CN" w:bidi="ar"/>
        </w:rPr>
        <w:t>2.</w:t>
      </w:r>
      <w:r>
        <w:rPr>
          <w:rFonts w:hint="eastAsia" w:ascii="仿宋_GB2312" w:hAnsi="仿宋_GB2312" w:eastAsia="仿宋_GB2312" w:cs="仿宋_GB2312"/>
          <w:sz w:val="32"/>
          <w:szCs w:val="32"/>
          <w:highlight w:val="none"/>
          <w:lang w:eastAsia="zh-CN" w:bidi="ar"/>
        </w:rPr>
        <w:t>器材设备更换与维修</w:t>
      </w:r>
    </w:p>
    <w:p>
      <w:pPr>
        <w:pStyle w:val="5"/>
        <w:spacing w:line="560"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eastAsia="zh-CN" w:bidi="ar"/>
        </w:rPr>
        <w:t>针对巡检、投诉或日常反馈中发现的损坏器材，及时进行更换或维修。更换的器材须符合国家现行相关标准（如GB19272-2024室外健身器材标准），确保材质、规格、安全性与原设施匹配或更优，维修后须恢复器材正常使用功能。</w:t>
      </w:r>
    </w:p>
    <w:p>
      <w:pPr>
        <w:pStyle w:val="5"/>
        <w:spacing w:line="560"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val="en-US" w:eastAsia="zh-CN" w:bidi="ar"/>
        </w:rPr>
        <w:t>3.</w:t>
      </w:r>
      <w:r>
        <w:rPr>
          <w:rFonts w:hint="eastAsia" w:ascii="仿宋_GB2312" w:hAnsi="仿宋_GB2312" w:eastAsia="仿宋_GB2312" w:cs="仿宋_GB2312"/>
          <w:sz w:val="32"/>
          <w:szCs w:val="32"/>
          <w:highlight w:val="none"/>
          <w:lang w:eastAsia="zh-CN" w:bidi="ar"/>
        </w:rPr>
        <w:t>安全检测与隐患处置</w:t>
      </w:r>
    </w:p>
    <w:p>
      <w:pPr>
        <w:pStyle w:val="5"/>
        <w:spacing w:line="560"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eastAsia="zh-CN" w:bidi="ar"/>
        </w:rPr>
        <w:t>对辖区内公益性体育设施开展安全检测，重点检查器材结构稳定性、连接件牢固性等。对发现的安全隐患须在24小时内采取围挡、停用等措施，并及时完成修复，确保设施安全、可靠运行。</w:t>
      </w:r>
    </w:p>
    <w:p>
      <w:pPr>
        <w:pStyle w:val="5"/>
        <w:spacing w:line="560"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val="en-US" w:eastAsia="zh-CN" w:bidi="ar"/>
        </w:rPr>
        <w:t>4.</w:t>
      </w:r>
      <w:r>
        <w:rPr>
          <w:rFonts w:hint="eastAsia" w:ascii="仿宋_GB2312" w:hAnsi="仿宋_GB2312" w:eastAsia="仿宋_GB2312" w:cs="仿宋_GB2312"/>
          <w:sz w:val="32"/>
          <w:szCs w:val="32"/>
          <w:highlight w:val="none"/>
          <w:lang w:eastAsia="zh-CN" w:bidi="ar"/>
        </w:rPr>
        <w:t>日常巡查与快速响应机制</w:t>
      </w:r>
    </w:p>
    <w:p>
      <w:pPr>
        <w:pStyle w:val="5"/>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eastAsia="zh-CN" w:bidi="ar"/>
        </w:rPr>
        <w:t>建立常态化巡查制度，并设立快速响应机制，对市民投诉或巡查发现的设施问题，应在24小时内到场核实，并及时完成修复或更换。</w:t>
      </w:r>
    </w:p>
    <w:p>
      <w:pPr>
        <w:widowControl/>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lang w:bidi="ar"/>
        </w:rPr>
        <w:t>成立</w:t>
      </w:r>
      <w:r>
        <w:rPr>
          <w:rFonts w:hint="eastAsia" w:ascii="仿宋_GB2312" w:hAnsi="仿宋_GB2312" w:eastAsia="仿宋_GB2312" w:cs="仿宋_GB2312"/>
          <w:color w:val="000000"/>
          <w:kern w:val="0"/>
          <w:sz w:val="32"/>
          <w:szCs w:val="32"/>
          <w:lang w:eastAsia="zh-CN" w:bidi="ar"/>
        </w:rPr>
        <w:t>专门</w:t>
      </w:r>
      <w:r>
        <w:rPr>
          <w:rFonts w:hint="eastAsia" w:ascii="仿宋_GB2312" w:hAnsi="仿宋_GB2312" w:eastAsia="仿宋_GB2312" w:cs="仿宋_GB2312"/>
          <w:color w:val="000000"/>
          <w:kern w:val="0"/>
          <w:sz w:val="32"/>
          <w:szCs w:val="32"/>
          <w:lang w:bidi="ar"/>
        </w:rPr>
        <w:t>项目管理班子，</w:t>
      </w:r>
      <w:r>
        <w:rPr>
          <w:rFonts w:hint="eastAsia" w:ascii="仿宋_GB2312" w:hAnsi="仿宋_GB2312" w:eastAsia="仿宋_GB2312" w:cs="仿宋_GB2312"/>
          <w:color w:val="000000"/>
          <w:kern w:val="0"/>
          <w:sz w:val="32"/>
          <w:szCs w:val="32"/>
          <w:lang w:eastAsia="zh-CN" w:bidi="ar"/>
        </w:rPr>
        <w:t>配备</w:t>
      </w:r>
      <w:r>
        <w:rPr>
          <w:rFonts w:hint="eastAsia" w:ascii="仿宋_GB2312" w:hAnsi="仿宋_GB2312" w:eastAsia="仿宋_GB2312" w:cs="仿宋_GB2312"/>
          <w:color w:val="000000"/>
          <w:kern w:val="0"/>
          <w:sz w:val="32"/>
          <w:szCs w:val="32"/>
          <w:lang w:bidi="ar"/>
        </w:rPr>
        <w:t>专业维修人员，并安排一名专职人员负责建立维护台账和记录，并在项目完成时提交</w:t>
      </w:r>
      <w:r>
        <w:rPr>
          <w:rFonts w:hint="eastAsia" w:ascii="仿宋_GB2312" w:hAnsi="仿宋_GB2312" w:eastAsia="仿宋_GB2312" w:cs="仿宋_GB2312"/>
          <w:color w:val="000000"/>
          <w:kern w:val="0"/>
          <w:sz w:val="32"/>
          <w:szCs w:val="32"/>
          <w:lang w:eastAsia="zh-CN" w:bidi="ar"/>
        </w:rPr>
        <w:t>项目维修总结</w:t>
      </w:r>
      <w:r>
        <w:rPr>
          <w:rFonts w:hint="eastAsia" w:ascii="仿宋_GB2312" w:hAnsi="仿宋_GB2312" w:eastAsia="仿宋_GB2312" w:cs="仿宋_GB2312"/>
          <w:color w:val="000000"/>
          <w:kern w:val="0"/>
          <w:sz w:val="32"/>
          <w:szCs w:val="32"/>
          <w:lang w:bidi="ar"/>
        </w:rPr>
        <w:t>报告。</w:t>
      </w:r>
    </w:p>
    <w:p>
      <w:pPr>
        <w:widowControl/>
        <w:numPr>
          <w:ilvl w:val="-1"/>
          <w:numId w:val="0"/>
        </w:numPr>
        <w:snapToGrid/>
        <w:spacing w:line="560" w:lineRule="exact"/>
        <w:ind w:left="0" w:leftChars="0" w:firstLine="640" w:firstLineChars="200"/>
        <w:jc w:val="left"/>
        <w:rPr>
          <w:rFonts w:hint="eastAsia" w:ascii="黑体" w:hAnsi="黑体" w:eastAsia="黑体" w:cs="黑体"/>
          <w:bCs/>
          <w:sz w:val="32"/>
          <w:szCs w:val="32"/>
        </w:rPr>
      </w:pPr>
      <w:r>
        <w:rPr>
          <w:rFonts w:hint="eastAsia" w:ascii="方正黑体_GBK" w:hAnsi="方正黑体_GBK" w:eastAsia="方正黑体_GBK" w:cs="方正黑体_GBK"/>
          <w:color w:val="000000"/>
          <w:kern w:val="0"/>
          <w:sz w:val="32"/>
          <w:szCs w:val="32"/>
          <w:lang w:eastAsia="zh-CN" w:bidi="ar"/>
        </w:rPr>
        <w:t>四、</w:t>
      </w:r>
      <w:r>
        <w:rPr>
          <w:rFonts w:hint="eastAsia" w:ascii="黑体" w:hAnsi="黑体" w:eastAsia="黑体" w:cs="黑体"/>
          <w:bCs/>
          <w:sz w:val="32"/>
          <w:szCs w:val="32"/>
        </w:rPr>
        <w:t>报价限额</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48万元</w:t>
      </w:r>
      <w:r>
        <w:rPr>
          <w:rFonts w:hint="eastAsia" w:ascii="仿宋_GB2312" w:hAnsi="仿宋_GB2312" w:eastAsia="仿宋_GB2312" w:cs="仿宋_GB2312"/>
          <w:sz w:val="32"/>
          <w:szCs w:val="32"/>
          <w:highlight w:val="none"/>
          <w:lang w:eastAsia="zh-CN"/>
        </w:rPr>
        <w:t>。</w:t>
      </w:r>
    </w:p>
    <w:p>
      <w:pPr>
        <w:ind w:firstLine="640" w:firstLineChars="200"/>
        <w:jc w:val="both"/>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eastAsia="zh-CN"/>
        </w:rPr>
        <w:t>报价要求：</w:t>
      </w:r>
    </w:p>
    <w:p>
      <w:pPr>
        <w:spacing w:line="560" w:lineRule="exact"/>
        <w:ind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sz w:val="32"/>
          <w:szCs w:val="32"/>
        </w:rPr>
        <w:t>本项目要求投标供应商按折扣率进行报价（0＜折扣率＜1，保留小数点后两位）。</w:t>
      </w:r>
    </w:p>
    <w:p>
      <w:pPr>
        <w:spacing w:line="560" w:lineRule="exact"/>
        <w:ind w:firstLine="640" w:firstLineChars="200"/>
        <w:jc w:val="left"/>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lang w:val="en-US" w:eastAsia="zh-CN"/>
        </w:rPr>
        <w:t>2</w:t>
      </w:r>
      <w:r>
        <w:rPr>
          <w:rFonts w:hint="eastAsia" w:ascii="仿宋_GB2312" w:hAnsi="仿宋_GB2312" w:eastAsia="仿宋_GB2312" w:cs="仿宋_GB2312"/>
          <w:b w:val="0"/>
          <w:sz w:val="32"/>
          <w:szCs w:val="32"/>
          <w:lang w:eastAsia="zh-CN"/>
        </w:rPr>
        <w:t>）如折扣率为“80%”请填写“0.8”，请各投标供应商注意。另外，折扣率最多只允许精确到小数点后两位，如0.</w:t>
      </w:r>
      <w:r>
        <w:rPr>
          <w:rFonts w:hint="eastAsia" w:ascii="仿宋_GB2312" w:hAnsi="仿宋_GB2312" w:eastAsia="仿宋_GB2312" w:cs="仿宋_GB2312"/>
          <w:b w:val="0"/>
          <w:sz w:val="32"/>
          <w:szCs w:val="32"/>
          <w:lang w:val="en-US" w:eastAsia="zh-CN"/>
        </w:rPr>
        <w:t>8</w:t>
      </w:r>
      <w:r>
        <w:rPr>
          <w:rFonts w:hint="eastAsia" w:ascii="仿宋_GB2312" w:hAnsi="仿宋_GB2312" w:eastAsia="仿宋_GB2312" w:cs="仿宋_GB2312"/>
          <w:b w:val="0"/>
          <w:sz w:val="32"/>
          <w:szCs w:val="32"/>
          <w:lang w:eastAsia="zh-CN"/>
        </w:rPr>
        <w:t>1、0.</w:t>
      </w:r>
      <w:r>
        <w:rPr>
          <w:rFonts w:hint="eastAsia" w:ascii="仿宋_GB2312" w:hAnsi="仿宋_GB2312" w:eastAsia="仿宋_GB2312" w:cs="仿宋_GB2312"/>
          <w:b w:val="0"/>
          <w:sz w:val="32"/>
          <w:szCs w:val="32"/>
          <w:lang w:val="en-US" w:eastAsia="zh-CN"/>
        </w:rPr>
        <w:t>8</w:t>
      </w:r>
      <w:r>
        <w:rPr>
          <w:rFonts w:hint="eastAsia" w:ascii="仿宋_GB2312" w:hAnsi="仿宋_GB2312" w:eastAsia="仿宋_GB2312" w:cs="仿宋_GB2312"/>
          <w:b w:val="0"/>
          <w:sz w:val="32"/>
          <w:szCs w:val="32"/>
          <w:lang w:eastAsia="zh-CN"/>
        </w:rPr>
        <w:t>2等；举例说明：若某种体育设施维修配件为</w:t>
      </w:r>
      <w:r>
        <w:rPr>
          <w:rFonts w:hint="eastAsia" w:ascii="仿宋_GB2312" w:hAnsi="仿宋_GB2312" w:eastAsia="仿宋_GB2312" w:cs="仿宋_GB2312"/>
          <w:b w:val="0"/>
          <w:sz w:val="32"/>
          <w:szCs w:val="32"/>
          <w:lang w:val="en-US" w:eastAsia="zh-CN"/>
        </w:rPr>
        <w:t>10</w:t>
      </w:r>
      <w:r>
        <w:rPr>
          <w:rFonts w:hint="eastAsia" w:ascii="仿宋_GB2312" w:hAnsi="仿宋_GB2312" w:eastAsia="仿宋_GB2312" w:cs="仿宋_GB2312"/>
          <w:b w:val="0"/>
          <w:sz w:val="32"/>
          <w:szCs w:val="32"/>
          <w:lang w:eastAsia="zh-CN"/>
        </w:rPr>
        <w:t>0元/件，折扣率为0.8</w:t>
      </w:r>
      <w:r>
        <w:rPr>
          <w:rFonts w:hint="eastAsia" w:ascii="仿宋_GB2312" w:hAnsi="仿宋_GB2312" w:eastAsia="仿宋_GB2312" w:cs="仿宋_GB2312"/>
          <w:b w:val="0"/>
          <w:sz w:val="32"/>
          <w:szCs w:val="32"/>
          <w:lang w:val="en-US" w:eastAsia="zh-CN"/>
        </w:rPr>
        <w:t>5</w:t>
      </w:r>
      <w:r>
        <w:rPr>
          <w:rFonts w:hint="eastAsia" w:ascii="仿宋_GB2312" w:hAnsi="仿宋_GB2312" w:eastAsia="仿宋_GB2312" w:cs="仿宋_GB2312"/>
          <w:b w:val="0"/>
          <w:sz w:val="32"/>
          <w:szCs w:val="32"/>
          <w:lang w:eastAsia="zh-CN"/>
        </w:rPr>
        <w:t>，实际采购价为</w:t>
      </w:r>
      <w:r>
        <w:rPr>
          <w:rFonts w:hint="eastAsia" w:ascii="仿宋_GB2312" w:hAnsi="仿宋_GB2312" w:eastAsia="仿宋_GB2312" w:cs="仿宋_GB2312"/>
          <w:b w:val="0"/>
          <w:sz w:val="32"/>
          <w:szCs w:val="32"/>
          <w:lang w:val="en-US" w:eastAsia="zh-CN"/>
        </w:rPr>
        <w:t>10</w:t>
      </w:r>
      <w:r>
        <w:rPr>
          <w:rFonts w:hint="eastAsia" w:ascii="仿宋_GB2312" w:hAnsi="仿宋_GB2312" w:eastAsia="仿宋_GB2312" w:cs="仿宋_GB2312"/>
          <w:b w:val="0"/>
          <w:sz w:val="32"/>
          <w:szCs w:val="32"/>
          <w:lang w:eastAsia="zh-CN"/>
        </w:rPr>
        <w:t>0*0.8</w:t>
      </w:r>
      <w:r>
        <w:rPr>
          <w:rFonts w:hint="eastAsia" w:ascii="仿宋_GB2312" w:hAnsi="仿宋_GB2312" w:eastAsia="仿宋_GB2312" w:cs="仿宋_GB2312"/>
          <w:b w:val="0"/>
          <w:sz w:val="32"/>
          <w:szCs w:val="32"/>
          <w:lang w:val="en-US" w:eastAsia="zh-CN"/>
        </w:rPr>
        <w:t>5</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lang w:val="en-US" w:eastAsia="zh-CN"/>
        </w:rPr>
        <w:t>85</w:t>
      </w:r>
      <w:r>
        <w:rPr>
          <w:rFonts w:hint="eastAsia" w:ascii="仿宋_GB2312" w:hAnsi="仿宋_GB2312" w:eastAsia="仿宋_GB2312" w:cs="仿宋_GB2312"/>
          <w:b w:val="0"/>
          <w:sz w:val="32"/>
          <w:szCs w:val="32"/>
          <w:lang w:eastAsia="zh-CN"/>
        </w:rPr>
        <w:t>元/件。</w:t>
      </w:r>
    </w:p>
    <w:p>
      <w:pPr>
        <w:spacing w:line="560" w:lineRule="exact"/>
        <w:ind w:firstLine="640" w:firstLineChars="200"/>
        <w:jc w:val="left"/>
        <w:rPr>
          <w:rFonts w:hint="eastAsia" w:ascii="仿宋_GB2312" w:hAnsi="仿宋_GB2312" w:eastAsia="仿宋_GB2312" w:cs="仿宋_GB2312"/>
          <w:b w:val="0"/>
          <w:sz w:val="32"/>
          <w:szCs w:val="32"/>
          <w:lang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4"/>
        <w:gridCol w:w="1905"/>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3"/>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龙华区2026年公益性体育设施更新维护项目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项目/内容</w:t>
            </w:r>
          </w:p>
        </w:tc>
        <w:tc>
          <w:tcPr>
            <w:tcW w:w="190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单位</w:t>
            </w:r>
          </w:p>
        </w:tc>
        <w:tc>
          <w:tcPr>
            <w:tcW w:w="205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公益性体育设施维护更新点位</w:t>
            </w:r>
          </w:p>
        </w:tc>
        <w:tc>
          <w:tcPr>
            <w:tcW w:w="190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处</w:t>
            </w:r>
          </w:p>
        </w:tc>
        <w:tc>
          <w:tcPr>
            <w:tcW w:w="205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8" w:type="dxa"/>
            <w:gridSpan w:val="3"/>
            <w:noWrap w:val="0"/>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投标折扣率：        （最多保留两位小数）</w:t>
            </w:r>
          </w:p>
        </w:tc>
      </w:tr>
    </w:tbl>
    <w:p>
      <w:pPr>
        <w:numPr>
          <w:ilvl w:val="-1"/>
          <w:numId w:val="0"/>
        </w:numPr>
        <w:tabs>
          <w:tab w:val="left" w:pos="1820"/>
        </w:tabs>
        <w:snapToGrid w:val="0"/>
        <w:spacing w:line="560" w:lineRule="exact"/>
        <w:ind w:left="0" w:leftChars="0" w:firstLine="640" w:firstLineChars="200"/>
        <w:jc w:val="left"/>
        <w:rPr>
          <w:rFonts w:hint="eastAsia"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供应商的资质要求</w:t>
      </w:r>
    </w:p>
    <w:p>
      <w:pPr>
        <w:pStyle w:val="18"/>
        <w:spacing w:line="560" w:lineRule="exact"/>
        <w:ind w:firstLine="64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一）在中国境内注册的独立法人或其他组织（提供营业执照、事业法人证书、社会团体法人登记证书等扫描件），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8"/>
        <w:spacing w:line="560" w:lineRule="exact"/>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_GB2312" w:cs="仿宋_GB2312"/>
          <w:sz w:val="32"/>
          <w:szCs w:val="32"/>
          <w:lang w:eastAsia="zh-CN"/>
        </w:rPr>
        <w:t>；</w:t>
      </w:r>
    </w:p>
    <w:p>
      <w:pPr>
        <w:pStyle w:val="18"/>
        <w:spacing w:line="560" w:lineRule="exact"/>
        <w:ind w:firstLine="640"/>
        <w:jc w:val="both"/>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三）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同时参加本项目的采购活动</w:t>
      </w:r>
      <w:r>
        <w:rPr>
          <w:rFonts w:hint="eastAsia" w:ascii="仿宋_GB2312" w:hAnsi="仿宋_GB2312" w:cs="仿宋_GB2312"/>
          <w:sz w:val="32"/>
          <w:szCs w:val="32"/>
          <w:lang w:eastAsia="zh-CN"/>
        </w:rPr>
        <w:t>。</w:t>
      </w:r>
    </w:p>
    <w:p>
      <w:pPr>
        <w:numPr>
          <w:ilvl w:val="-1"/>
          <w:numId w:val="0"/>
        </w:numPr>
        <w:tabs>
          <w:tab w:val="left" w:pos="1820"/>
        </w:tabs>
        <w:snapToGrid w:val="0"/>
        <w:spacing w:line="560" w:lineRule="exact"/>
        <w:ind w:left="0" w:leftChars="0" w:firstLine="640" w:firstLineChars="200"/>
        <w:jc w:val="left"/>
        <w:rPr>
          <w:rFonts w:hint="eastAsia" w:ascii="黑体" w:hAnsi="黑体" w:eastAsia="黑体" w:cs="黑体"/>
          <w:bCs/>
          <w:sz w:val="32"/>
          <w:szCs w:val="32"/>
        </w:rPr>
      </w:pPr>
      <w:r>
        <w:rPr>
          <w:rFonts w:hint="eastAsia" w:ascii="黑体" w:hAnsi="黑体" w:eastAsia="黑体" w:cs="黑体"/>
          <w:bCs/>
          <w:sz w:val="32"/>
          <w:szCs w:val="32"/>
          <w:lang w:eastAsia="zh-CN"/>
        </w:rPr>
        <w:t>六、</w:t>
      </w:r>
      <w:r>
        <w:rPr>
          <w:rFonts w:hint="eastAsia" w:ascii="黑体" w:hAnsi="黑体" w:eastAsia="黑体" w:cs="黑体"/>
          <w:bCs/>
          <w:sz w:val="32"/>
          <w:szCs w:val="32"/>
        </w:rPr>
        <w:t>选定供应商方法</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综合评分法</w:t>
      </w:r>
    </w:p>
    <w:p>
      <w:pPr>
        <w:numPr>
          <w:ilvl w:val="-1"/>
          <w:numId w:val="0"/>
        </w:numPr>
        <w:tabs>
          <w:tab w:val="left" w:pos="1820"/>
        </w:tabs>
        <w:snapToGrid w:val="0"/>
        <w:spacing w:line="560" w:lineRule="exact"/>
        <w:ind w:left="0" w:leftChars="0" w:firstLine="640" w:firstLineChars="200"/>
        <w:jc w:val="left"/>
        <w:rPr>
          <w:rFonts w:hint="eastAsia" w:ascii="黑体" w:hAnsi="黑体" w:eastAsia="黑体" w:cs="黑体"/>
          <w:bCs/>
          <w:sz w:val="32"/>
          <w:szCs w:val="32"/>
        </w:rPr>
      </w:pPr>
      <w:r>
        <w:rPr>
          <w:rFonts w:hint="eastAsia" w:ascii="黑体" w:hAnsi="黑体" w:eastAsia="黑体" w:cs="黑体"/>
          <w:bCs/>
          <w:sz w:val="32"/>
          <w:szCs w:val="32"/>
          <w:lang w:eastAsia="zh-CN"/>
        </w:rPr>
        <w:t>七、</w:t>
      </w:r>
      <w:r>
        <w:rPr>
          <w:rFonts w:hint="eastAsia" w:ascii="黑体" w:hAnsi="黑体" w:eastAsia="黑体" w:cs="黑体"/>
          <w:bCs/>
          <w:sz w:val="32"/>
          <w:szCs w:val="32"/>
        </w:rPr>
        <w:t>评分要求</w:t>
      </w:r>
    </w:p>
    <w:p>
      <w:pPr>
        <w:pStyle w:val="20"/>
        <w:spacing w:line="56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（一）评分规则</w:t>
      </w:r>
    </w:p>
    <w:p>
      <w:pPr>
        <w:spacing w:line="560" w:lineRule="exact"/>
        <w:ind w:firstLine="0" w:firstLineChars="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采取综合评分标准，平均分最高的投标人为本项目中标人。</w:t>
      </w:r>
    </w:p>
    <w:p>
      <w:pPr>
        <w:pStyle w:val="20"/>
        <w:spacing w:line="56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（二）评分权重</w:t>
      </w:r>
    </w:p>
    <w:tbl>
      <w:tblPr>
        <w:tblStyle w:val="13"/>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tcPr>
          <w:p>
            <w:pPr>
              <w:pStyle w:val="20"/>
              <w:spacing w:line="560" w:lineRule="exac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评分内容</w:t>
            </w:r>
          </w:p>
        </w:tc>
        <w:tc>
          <w:tcPr>
            <w:tcW w:w="2089" w:type="dxa"/>
            <w:tcBorders>
              <w:top w:val="single" w:color="auto" w:sz="4" w:space="0"/>
              <w:left w:val="single" w:color="auto" w:sz="4" w:space="0"/>
              <w:bottom w:val="single" w:color="auto" w:sz="4" w:space="0"/>
              <w:right w:val="single" w:color="auto" w:sz="4" w:space="0"/>
            </w:tcBorders>
          </w:tcPr>
          <w:p>
            <w:pPr>
              <w:pStyle w:val="20"/>
              <w:spacing w:line="560" w:lineRule="exac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报价</w:t>
            </w:r>
          </w:p>
        </w:tc>
        <w:tc>
          <w:tcPr>
            <w:tcW w:w="2089" w:type="dxa"/>
            <w:tcBorders>
              <w:top w:val="single" w:color="auto" w:sz="4" w:space="0"/>
              <w:left w:val="single" w:color="auto" w:sz="4" w:space="0"/>
              <w:bottom w:val="single" w:color="auto" w:sz="4" w:space="0"/>
              <w:right w:val="single" w:color="auto" w:sz="4" w:space="0"/>
            </w:tcBorders>
          </w:tcPr>
          <w:p>
            <w:pPr>
              <w:pStyle w:val="20"/>
              <w:spacing w:line="560" w:lineRule="exac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技术部分</w:t>
            </w:r>
          </w:p>
        </w:tc>
        <w:tc>
          <w:tcPr>
            <w:tcW w:w="2089" w:type="dxa"/>
            <w:tcBorders>
              <w:top w:val="single" w:color="auto" w:sz="4" w:space="0"/>
              <w:left w:val="single" w:color="auto" w:sz="4" w:space="0"/>
              <w:bottom w:val="single" w:color="auto" w:sz="4" w:space="0"/>
              <w:right w:val="single" w:color="auto" w:sz="4" w:space="0"/>
            </w:tcBorders>
          </w:tcPr>
          <w:p>
            <w:pPr>
              <w:pStyle w:val="20"/>
              <w:spacing w:line="560" w:lineRule="exac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tcPr>
          <w:p>
            <w:pPr>
              <w:pStyle w:val="20"/>
              <w:spacing w:line="560" w:lineRule="exac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分值</w:t>
            </w:r>
          </w:p>
        </w:tc>
        <w:tc>
          <w:tcPr>
            <w:tcW w:w="2089" w:type="dxa"/>
            <w:tcBorders>
              <w:top w:val="single" w:color="auto" w:sz="4" w:space="0"/>
              <w:left w:val="single" w:color="auto" w:sz="4" w:space="0"/>
              <w:bottom w:val="single" w:color="auto" w:sz="4" w:space="0"/>
              <w:right w:val="single" w:color="auto" w:sz="4" w:space="0"/>
            </w:tcBorders>
          </w:tcPr>
          <w:p>
            <w:pPr>
              <w:pStyle w:val="20"/>
              <w:spacing w:line="560" w:lineRule="exac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rPr>
              <w:t>0分</w:t>
            </w:r>
          </w:p>
        </w:tc>
        <w:tc>
          <w:tcPr>
            <w:tcW w:w="2089" w:type="dxa"/>
            <w:tcBorders>
              <w:top w:val="single" w:color="auto" w:sz="4" w:space="0"/>
              <w:left w:val="single" w:color="auto" w:sz="4" w:space="0"/>
              <w:bottom w:val="single" w:color="auto" w:sz="4" w:space="0"/>
              <w:right w:val="single" w:color="auto" w:sz="4" w:space="0"/>
            </w:tcBorders>
          </w:tcPr>
          <w:p>
            <w:pPr>
              <w:pStyle w:val="20"/>
              <w:spacing w:line="560" w:lineRule="exac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60</w:t>
            </w:r>
            <w:r>
              <w:rPr>
                <w:rFonts w:hint="eastAsia" w:ascii="仿宋_GB2312" w:hAnsi="仿宋_GB2312" w:eastAsia="仿宋_GB2312" w:cs="仿宋_GB2312"/>
                <w:b w:val="0"/>
                <w:bCs/>
                <w:sz w:val="24"/>
                <w:szCs w:val="24"/>
              </w:rPr>
              <w:t>分</w:t>
            </w:r>
          </w:p>
        </w:tc>
        <w:tc>
          <w:tcPr>
            <w:tcW w:w="2089" w:type="dxa"/>
            <w:tcBorders>
              <w:top w:val="single" w:color="auto" w:sz="4" w:space="0"/>
              <w:left w:val="single" w:color="auto" w:sz="4" w:space="0"/>
              <w:bottom w:val="single" w:color="auto" w:sz="4" w:space="0"/>
              <w:right w:val="single" w:color="auto" w:sz="4" w:space="0"/>
            </w:tcBorders>
          </w:tcPr>
          <w:p>
            <w:pPr>
              <w:pStyle w:val="20"/>
              <w:spacing w:line="560" w:lineRule="exac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20</w:t>
            </w:r>
            <w:r>
              <w:rPr>
                <w:rFonts w:hint="eastAsia" w:ascii="仿宋_GB2312" w:hAnsi="仿宋_GB2312" w:eastAsia="仿宋_GB2312" w:cs="仿宋_GB2312"/>
                <w:b w:val="0"/>
                <w:bCs/>
                <w:sz w:val="24"/>
                <w:szCs w:val="24"/>
              </w:rPr>
              <w:t>分</w:t>
            </w:r>
          </w:p>
        </w:tc>
      </w:tr>
    </w:tbl>
    <w:p>
      <w:pPr>
        <w:pStyle w:val="2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rPr>
        <w:t>（三）评分标准</w:t>
      </w:r>
    </w:p>
    <w:tbl>
      <w:tblPr>
        <w:tblStyle w:val="14"/>
        <w:tblW w:w="843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18" w:type="dxa"/>
            <w:vMerge w:val="restart"/>
            <w:vAlign w:val="center"/>
          </w:tcPr>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报价</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0分）</w:t>
            </w:r>
          </w:p>
        </w:tc>
        <w:tc>
          <w:tcPr>
            <w:tcW w:w="1170" w:type="dxa"/>
          </w:tcPr>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评分</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因素</w:t>
            </w:r>
          </w:p>
        </w:tc>
        <w:tc>
          <w:tcPr>
            <w:tcW w:w="6143" w:type="dxa"/>
            <w:vAlign w:val="center"/>
          </w:tcPr>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tcPr>
          <w:p>
            <w:pPr>
              <w:spacing w:line="560" w:lineRule="exact"/>
              <w:jc w:val="left"/>
              <w:rPr>
                <w:rFonts w:hint="eastAsia" w:ascii="仿宋_GB2312" w:hAnsi="仿宋_GB2312" w:eastAsia="仿宋_GB2312" w:cs="仿宋_GB2312"/>
                <w:sz w:val="24"/>
                <w:szCs w:val="24"/>
                <w:highlight w:val="none"/>
              </w:rPr>
            </w:pPr>
          </w:p>
        </w:tc>
        <w:tc>
          <w:tcPr>
            <w:tcW w:w="1170" w:type="dxa"/>
            <w:vAlign w:val="center"/>
          </w:tcPr>
          <w:p>
            <w:pPr>
              <w:topLinePunct/>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价格</w:t>
            </w:r>
          </w:p>
        </w:tc>
        <w:tc>
          <w:tcPr>
            <w:tcW w:w="6143" w:type="dxa"/>
            <w:vAlign w:val="center"/>
          </w:tcPr>
          <w:p>
            <w:pPr>
              <w:topLinePunct/>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以本次报价或投标人所报的有效报价中的最低价作为基准报价。投标人报价得分=（基准价/投标人报价）*</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18" w:type="dxa"/>
            <w:vMerge w:val="restart"/>
            <w:vAlign w:val="center"/>
          </w:tcPr>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商务</w:t>
            </w:r>
          </w:p>
          <w:p>
            <w:pPr>
              <w:pStyle w:val="7"/>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部分</w:t>
            </w:r>
          </w:p>
          <w:p>
            <w:pPr>
              <w:pStyle w:val="7"/>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20</w:t>
            </w:r>
            <w:r>
              <w:rPr>
                <w:rFonts w:hint="eastAsia" w:ascii="仿宋_GB2312" w:hAnsi="仿宋_GB2312" w:eastAsia="仿宋_GB2312" w:cs="仿宋_GB2312"/>
                <w:sz w:val="24"/>
                <w:szCs w:val="24"/>
                <w:highlight w:val="none"/>
              </w:rPr>
              <w:t>分）</w:t>
            </w:r>
          </w:p>
        </w:tc>
        <w:tc>
          <w:tcPr>
            <w:tcW w:w="1170" w:type="dxa"/>
          </w:tcPr>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评分</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因素</w:t>
            </w:r>
          </w:p>
        </w:tc>
        <w:tc>
          <w:tcPr>
            <w:tcW w:w="6143" w:type="dxa"/>
            <w:vAlign w:val="center"/>
          </w:tcPr>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tcPr>
          <w:p>
            <w:pPr>
              <w:spacing w:line="560" w:lineRule="exact"/>
              <w:jc w:val="left"/>
              <w:rPr>
                <w:rFonts w:hint="eastAsia" w:ascii="仿宋_GB2312" w:hAnsi="仿宋_GB2312" w:eastAsia="仿宋_GB2312" w:cs="仿宋_GB2312"/>
                <w:sz w:val="24"/>
                <w:szCs w:val="24"/>
                <w:highlight w:val="none"/>
              </w:rPr>
            </w:pPr>
          </w:p>
        </w:tc>
        <w:tc>
          <w:tcPr>
            <w:tcW w:w="1170" w:type="dxa"/>
            <w:vAlign w:val="center"/>
          </w:tcPr>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同类项目经验（</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w:t>
            </w:r>
          </w:p>
        </w:tc>
        <w:tc>
          <w:tcPr>
            <w:tcW w:w="6143" w:type="dxa"/>
            <w:vAlign w:val="top"/>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（一）评审内容：</w:t>
            </w:r>
          </w:p>
          <w:p>
            <w:pPr>
              <w:topLinePunct/>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投标人自2023年1月1日至本项目投标截止日（以合同签订日期为准），每提供一项</w:t>
            </w:r>
            <w:r>
              <w:rPr>
                <w:rFonts w:hint="eastAsia" w:ascii="仿宋_GB2312" w:hAnsi="仿宋_GB2312" w:eastAsia="仿宋_GB2312" w:cs="仿宋_GB2312"/>
                <w:sz w:val="24"/>
                <w:szCs w:val="24"/>
                <w:highlight w:val="none"/>
                <w:lang w:eastAsia="zh-CN"/>
              </w:rPr>
              <w:t>体育设施</w:t>
            </w:r>
            <w:r>
              <w:rPr>
                <w:rFonts w:hint="eastAsia" w:ascii="仿宋_GB2312" w:hAnsi="仿宋_GB2312" w:eastAsia="仿宋_GB2312" w:cs="仿宋_GB2312"/>
                <w:sz w:val="24"/>
                <w:szCs w:val="24"/>
                <w:highlight w:val="none"/>
              </w:rPr>
              <w:t>维护保养同类业绩得</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分，最高得</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w:t>
            </w:r>
          </w:p>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（二）评审依据：</w:t>
            </w:r>
          </w:p>
          <w:p>
            <w:pPr>
              <w:topLinePunct/>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1.每项业绩按以下要求提供完整准确的证明文件，一个合同计算一个业绩，一年一签的续签合同只计算一个业绩：</w:t>
            </w:r>
          </w:p>
          <w:p>
            <w:pPr>
              <w:topLinePunct/>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合同关键页（关键信息包括但不仅限于合同的项目名称、服务内容、合同服务的起止时间、合同双方的盖章、签订日期等）；</w:t>
            </w:r>
          </w:p>
          <w:p>
            <w:pPr>
              <w:topLinePunct/>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1118" w:type="dxa"/>
            <w:vMerge w:val="continue"/>
          </w:tcPr>
          <w:p>
            <w:pPr>
              <w:spacing w:line="560" w:lineRule="exact"/>
              <w:jc w:val="left"/>
              <w:rPr>
                <w:rFonts w:hint="eastAsia" w:ascii="仿宋_GB2312" w:hAnsi="仿宋_GB2312" w:eastAsia="仿宋_GB2312" w:cs="仿宋_GB2312"/>
                <w:sz w:val="24"/>
                <w:szCs w:val="24"/>
                <w:highlight w:val="cyan"/>
              </w:rPr>
            </w:pPr>
          </w:p>
        </w:tc>
        <w:tc>
          <w:tcPr>
            <w:tcW w:w="1170" w:type="dxa"/>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拟安排项目负责人</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lang w:val="en-US" w:eastAsia="zh-CN"/>
              </w:rPr>
              <w:t>（5分）</w:t>
            </w:r>
          </w:p>
        </w:tc>
        <w:tc>
          <w:tcPr>
            <w:tcW w:w="6143" w:type="dxa"/>
            <w:vAlign w:val="center"/>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拟安排的项目负责人（须为自有员工）情况：</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具有专科（或以上）学历的，</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具备体育设施维护</w:t>
            </w:r>
            <w:r>
              <w:rPr>
                <w:rFonts w:hint="eastAsia" w:ascii="仿宋_GB2312" w:hAnsi="仿宋_GB2312" w:eastAsia="仿宋_GB2312" w:cs="仿宋_GB2312"/>
                <w:sz w:val="24"/>
                <w:szCs w:val="24"/>
                <w:lang w:val="en-US" w:eastAsia="zh-CN"/>
              </w:rPr>
              <w:t>相</w:t>
            </w:r>
            <w:r>
              <w:rPr>
                <w:rFonts w:hint="eastAsia" w:ascii="仿宋_GB2312" w:hAnsi="仿宋_GB2312" w:eastAsia="仿宋_GB2312" w:cs="仿宋_GB2312"/>
                <w:sz w:val="24"/>
                <w:szCs w:val="24"/>
                <w:lang w:eastAsia="zh-CN"/>
              </w:rPr>
              <w:t>关工作经验的，得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以上合计最高得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提供毕业证书扫描件、学历信息在学信网查询结果截图，原件备查。</w:t>
            </w:r>
          </w:p>
          <w:p>
            <w:pPr>
              <w:topLinePunct/>
              <w:snapToGrid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合同关键（关键信息包括但不仅限于合同的项目名称、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p>
            <w:pPr>
              <w:widowControl/>
              <w:spacing w:line="360" w:lineRule="auto"/>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sz w:val="24"/>
                <w:szCs w:val="24"/>
                <w:lang w:val="en-US" w:eastAsia="zh-CN"/>
              </w:rPr>
              <w:t>3.以上人员近三月社保缴纳记录。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6" w:hRule="atLeast"/>
        </w:trPr>
        <w:tc>
          <w:tcPr>
            <w:tcW w:w="1118" w:type="dxa"/>
            <w:vMerge w:val="continue"/>
          </w:tcPr>
          <w:p>
            <w:pPr>
              <w:spacing w:line="560" w:lineRule="exact"/>
              <w:jc w:val="left"/>
              <w:rPr>
                <w:rFonts w:hint="eastAsia" w:ascii="仿宋_GB2312" w:hAnsi="仿宋_GB2312" w:eastAsia="仿宋_GB2312" w:cs="仿宋_GB2312"/>
                <w:sz w:val="24"/>
                <w:szCs w:val="24"/>
                <w:highlight w:val="cyan"/>
              </w:rPr>
            </w:pPr>
          </w:p>
        </w:tc>
        <w:tc>
          <w:tcPr>
            <w:tcW w:w="1170" w:type="dxa"/>
            <w:vAlign w:val="center"/>
          </w:tcPr>
          <w:p>
            <w:pPr>
              <w:spacing w:line="560" w:lineRule="exact"/>
              <w:jc w:val="left"/>
              <w:rPr>
                <w:rFonts w:hint="eastAsia" w:ascii="仿宋_GB2312" w:hAnsi="仿宋_GB2312" w:eastAsia="仿宋_GB2312" w:cs="仿宋_GB2312"/>
                <w:sz w:val="24"/>
                <w:szCs w:val="24"/>
                <w:highlight w:val="none"/>
              </w:rPr>
            </w:pPr>
            <w:bookmarkStart w:id="1" w:name="OLE_LINK1"/>
            <w:r>
              <w:rPr>
                <w:rFonts w:hint="eastAsia" w:ascii="仿宋_GB2312" w:hAnsi="仿宋_GB2312" w:eastAsia="仿宋_GB2312" w:cs="仿宋_GB2312"/>
                <w:sz w:val="24"/>
                <w:szCs w:val="24"/>
                <w:highlight w:val="none"/>
              </w:rPr>
              <w:t>项目完成（服务期满）</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后的服务承诺</w:t>
            </w:r>
            <w:bookmarkEnd w:id="1"/>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w:t>
            </w:r>
          </w:p>
        </w:tc>
        <w:tc>
          <w:tcPr>
            <w:tcW w:w="6143" w:type="dxa"/>
            <w:vAlign w:val="center"/>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（一）评审内容：</w:t>
            </w:r>
          </w:p>
          <w:p>
            <w:pPr>
              <w:widowControl/>
              <w:spacing w:line="360" w:lineRule="auto"/>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sz w:val="24"/>
                <w:szCs w:val="24"/>
                <w:highlight w:val="none"/>
              </w:rPr>
              <w:t>根</w:t>
            </w:r>
            <w:r>
              <w:rPr>
                <w:rFonts w:hint="eastAsia" w:ascii="仿宋_GB2312" w:hAnsi="仿宋_GB2312" w:eastAsia="仿宋_GB2312" w:cs="仿宋_GB2312"/>
                <w:b w:val="0"/>
                <w:bCs w:val="0"/>
                <w:kern w:val="0"/>
                <w:sz w:val="24"/>
                <w:szCs w:val="24"/>
                <w:highlight w:val="none"/>
              </w:rPr>
              <w:t>据针对本项目做出的服务承诺，考察包括但不限于以下内容：</w:t>
            </w:r>
            <w:r>
              <w:rPr>
                <w:rFonts w:hint="eastAsia" w:ascii="仿宋_GB2312" w:hAnsi="仿宋_GB2312" w:eastAsia="仿宋_GB2312" w:cs="仿宋_GB2312"/>
                <w:b w:val="0"/>
                <w:bCs w:val="0"/>
                <w:kern w:val="0"/>
                <w:sz w:val="24"/>
                <w:szCs w:val="24"/>
                <w:highlight w:val="none"/>
              </w:rPr>
              <w:br w:type="textWrapping"/>
            </w:r>
            <w:r>
              <w:rPr>
                <w:rFonts w:hint="eastAsia" w:ascii="仿宋_GB2312" w:hAnsi="仿宋_GB2312" w:eastAsia="仿宋_GB2312" w:cs="仿宋_GB2312"/>
                <w:b w:val="0"/>
                <w:bCs w:val="0"/>
                <w:kern w:val="0"/>
                <w:sz w:val="24"/>
                <w:szCs w:val="24"/>
                <w:highlight w:val="none"/>
              </w:rPr>
              <w:t>1.在服务期满后主动交接项目相关资料；</w:t>
            </w:r>
          </w:p>
          <w:p>
            <w:pPr>
              <w:widowControl/>
              <w:spacing w:line="360" w:lineRule="auto"/>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rPr>
              <w:t>2.配合项目检查审计等事项。</w:t>
            </w:r>
          </w:p>
          <w:p>
            <w:pPr>
              <w:widowControl/>
              <w:spacing w:line="360" w:lineRule="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（二）评审依据：</w:t>
            </w:r>
          </w:p>
          <w:p>
            <w:pPr>
              <w:widowControl/>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kern w:val="0"/>
                <w:sz w:val="24"/>
                <w:szCs w:val="24"/>
                <w:highlight w:val="none"/>
              </w:rPr>
              <w:t>提供服务承诺函（格式自拟）并加盖投标人公章，未提供承诺或承诺内容不满足要求不得分。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vAlign w:val="center"/>
          </w:tcPr>
          <w:p>
            <w:pPr>
              <w:spacing w:line="560" w:lineRule="exact"/>
              <w:jc w:val="left"/>
              <w:rPr>
                <w:rFonts w:hint="eastAsia" w:ascii="仿宋_GB2312" w:hAnsi="仿宋_GB2312" w:eastAsia="仿宋_GB2312" w:cs="仿宋_GB2312"/>
                <w:sz w:val="24"/>
                <w:szCs w:val="24"/>
                <w:highlight w:val="none"/>
              </w:rPr>
            </w:pP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技术部分（6</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分）</w:t>
            </w:r>
          </w:p>
        </w:tc>
        <w:tc>
          <w:tcPr>
            <w:tcW w:w="1170" w:type="dxa"/>
            <w:vAlign w:val="center"/>
          </w:tcPr>
          <w:p>
            <w:pPr>
              <w:spacing w:line="560" w:lineRule="exact"/>
              <w:jc w:val="left"/>
              <w:rPr>
                <w:rFonts w:hint="eastAsia" w:ascii="仿宋_GB2312" w:hAnsi="仿宋_GB2312" w:eastAsia="仿宋_GB2312" w:cs="仿宋_GB2312"/>
                <w:sz w:val="24"/>
                <w:szCs w:val="24"/>
                <w:highlight w:val="none"/>
              </w:rPr>
            </w:pP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实施</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方案</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30</w:t>
            </w:r>
            <w:r>
              <w:rPr>
                <w:rFonts w:hint="eastAsia" w:ascii="仿宋_GB2312" w:hAnsi="仿宋_GB2312" w:eastAsia="仿宋_GB2312" w:cs="仿宋_GB2312"/>
                <w:sz w:val="24"/>
                <w:szCs w:val="24"/>
                <w:highlight w:val="none"/>
              </w:rPr>
              <w:t>分）</w:t>
            </w:r>
          </w:p>
        </w:tc>
        <w:tc>
          <w:tcPr>
            <w:tcW w:w="6143" w:type="dxa"/>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（一）评审内容：</w:t>
            </w:r>
          </w:p>
          <w:p>
            <w:pPr>
              <w:widowControl/>
              <w:spacing w:line="360" w:lineRule="auto"/>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sz w:val="24"/>
                <w:szCs w:val="24"/>
                <w:highlight w:val="none"/>
              </w:rPr>
              <w:t>根据投标人提供的实施方案，</w:t>
            </w:r>
            <w:bookmarkStart w:id="2" w:name="OLE_LINK6"/>
            <w:bookmarkStart w:id="3" w:name="OLE_LINK4"/>
            <w:r>
              <w:rPr>
                <w:rFonts w:hint="eastAsia" w:ascii="仿宋_GB2312" w:hAnsi="仿宋_GB2312" w:eastAsia="仿宋_GB2312" w:cs="仿宋_GB2312"/>
                <w:sz w:val="24"/>
                <w:szCs w:val="24"/>
                <w:highlight w:val="none"/>
              </w:rPr>
              <w:t>考察包括但不限于</w:t>
            </w:r>
            <w:bookmarkEnd w:id="2"/>
            <w:bookmarkEnd w:id="3"/>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FF0000"/>
                <w:sz w:val="24"/>
                <w:szCs w:val="24"/>
                <w:highlight w:val="none"/>
              </w:rPr>
              <w:br w:type="textWrapping"/>
            </w:r>
            <w:r>
              <w:rPr>
                <w:rFonts w:hint="eastAsia" w:ascii="仿宋_GB2312" w:hAnsi="仿宋_GB2312" w:eastAsia="仿宋_GB2312" w:cs="仿宋_GB2312"/>
                <w:b w:val="0"/>
                <w:bCs w:val="0"/>
                <w:kern w:val="0"/>
                <w:sz w:val="24"/>
                <w:szCs w:val="24"/>
                <w:highlight w:val="none"/>
              </w:rPr>
              <w:t>1</w:t>
            </w:r>
            <w:r>
              <w:rPr>
                <w:rFonts w:hint="eastAsia" w:ascii="仿宋_GB2312" w:hAnsi="仿宋_GB2312" w:eastAsia="仿宋_GB2312" w:cs="仿宋_GB2312"/>
                <w:b w:val="0"/>
                <w:bCs w:val="0"/>
                <w:kern w:val="0"/>
                <w:sz w:val="24"/>
                <w:szCs w:val="24"/>
                <w:highlight w:val="none"/>
                <w:lang w:val="en-US" w:eastAsia="zh-CN"/>
              </w:rPr>
              <w:t>.</w:t>
            </w:r>
            <w:r>
              <w:rPr>
                <w:rFonts w:hint="eastAsia" w:ascii="仿宋_GB2312" w:hAnsi="仿宋_GB2312" w:eastAsia="仿宋_GB2312" w:cs="仿宋_GB2312"/>
                <w:b w:val="0"/>
                <w:bCs w:val="0"/>
                <w:kern w:val="0"/>
                <w:sz w:val="24"/>
                <w:szCs w:val="24"/>
                <w:highlight w:val="none"/>
              </w:rPr>
              <w:t>投标人对本项目业务需求理解</w:t>
            </w:r>
            <w:r>
              <w:rPr>
                <w:rFonts w:hint="eastAsia" w:ascii="仿宋_GB2312" w:hAnsi="仿宋_GB2312" w:eastAsia="仿宋_GB2312" w:cs="仿宋_GB2312"/>
                <w:b w:val="0"/>
                <w:bCs w:val="0"/>
                <w:kern w:val="0"/>
                <w:sz w:val="24"/>
                <w:szCs w:val="24"/>
                <w:highlight w:val="none"/>
                <w:lang w:eastAsia="zh-CN"/>
              </w:rPr>
              <w:t>情况</w:t>
            </w:r>
            <w:r>
              <w:rPr>
                <w:rFonts w:hint="eastAsia" w:ascii="仿宋_GB2312" w:hAnsi="仿宋_GB2312" w:eastAsia="仿宋_GB2312" w:cs="仿宋_GB2312"/>
                <w:b w:val="0"/>
                <w:bCs w:val="0"/>
                <w:kern w:val="0"/>
                <w:sz w:val="24"/>
                <w:szCs w:val="24"/>
                <w:highlight w:val="none"/>
              </w:rPr>
              <w:t>；</w:t>
            </w:r>
          </w:p>
          <w:p>
            <w:pPr>
              <w:widowControl/>
              <w:spacing w:line="360" w:lineRule="auto"/>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rPr>
              <w:t>2</w:t>
            </w:r>
            <w:r>
              <w:rPr>
                <w:rFonts w:hint="eastAsia" w:ascii="仿宋_GB2312" w:hAnsi="仿宋_GB2312" w:eastAsia="仿宋_GB2312" w:cs="仿宋_GB2312"/>
                <w:b w:val="0"/>
                <w:bCs w:val="0"/>
                <w:kern w:val="0"/>
                <w:sz w:val="24"/>
                <w:szCs w:val="24"/>
                <w:highlight w:val="none"/>
                <w:lang w:val="en-US" w:eastAsia="zh-CN"/>
              </w:rPr>
              <w:t>.项目实施计划与进度方案</w:t>
            </w:r>
            <w:r>
              <w:rPr>
                <w:rFonts w:hint="eastAsia" w:ascii="仿宋_GB2312" w:hAnsi="仿宋_GB2312" w:eastAsia="仿宋_GB2312" w:cs="仿宋_GB2312"/>
                <w:b w:val="0"/>
                <w:bCs w:val="0"/>
                <w:kern w:val="0"/>
                <w:sz w:val="24"/>
                <w:szCs w:val="24"/>
                <w:highlight w:val="none"/>
              </w:rPr>
              <w:t>；</w:t>
            </w:r>
          </w:p>
          <w:p>
            <w:pPr>
              <w:spacing w:line="360" w:lineRule="auto"/>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3.项目所投</w:t>
            </w:r>
            <w:r>
              <w:rPr>
                <w:rFonts w:hint="eastAsia" w:ascii="仿宋_GB2312" w:hAnsi="仿宋_GB2312" w:eastAsia="仿宋_GB2312" w:cs="仿宋_GB2312"/>
                <w:b w:val="0"/>
                <w:bCs w:val="0"/>
                <w:kern w:val="0"/>
                <w:sz w:val="24"/>
                <w:szCs w:val="24"/>
                <w:highlight w:val="none"/>
              </w:rPr>
              <w:t>备品备件的选型、材质及综合性能情况；</w:t>
            </w:r>
          </w:p>
          <w:p>
            <w:pPr>
              <w:spacing w:line="360" w:lineRule="auto"/>
              <w:rPr>
                <w:rFonts w:hint="default"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4.项目应急保障方案。</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满足以上任意一项要求得5分，最高得20分，在此基础上，</w:t>
            </w:r>
            <w:r>
              <w:rPr>
                <w:rFonts w:hint="eastAsia" w:ascii="仿宋_GB2312" w:hAnsi="仿宋_GB2312" w:eastAsia="仿宋_GB2312" w:cs="仿宋_GB2312"/>
                <w:color w:val="auto"/>
                <w:sz w:val="24"/>
                <w:szCs w:val="24"/>
              </w:rPr>
              <w:t>根</w:t>
            </w:r>
            <w:r>
              <w:rPr>
                <w:rFonts w:hint="eastAsia" w:ascii="仿宋_GB2312" w:hAnsi="仿宋_GB2312" w:eastAsia="仿宋_GB2312" w:cs="仿宋_GB2312"/>
                <w:sz w:val="24"/>
                <w:szCs w:val="24"/>
              </w:rPr>
              <w:t>据供应商的具体响应内容按照量化的评审因素指标进一步评审，设定优、良、中、差四个评分标准：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1.优：项目实施方案内容全面、具体、针对性强、科学合理、可操作性强得10分；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2.良：项目实施方案内容较丰富、较具体、针对性较强、较科学合理、可操作性较强得7分；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3.中：项目实施方案内容、针对性、可操作性一般得4分；</w:t>
            </w:r>
          </w:p>
          <w:p>
            <w:pPr>
              <w:topLinePunct/>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0" w:hRule="atLeast"/>
        </w:trPr>
        <w:tc>
          <w:tcPr>
            <w:tcW w:w="1118" w:type="dxa"/>
            <w:vMerge w:val="continue"/>
          </w:tcPr>
          <w:p>
            <w:pPr>
              <w:spacing w:line="560" w:lineRule="exact"/>
              <w:jc w:val="left"/>
              <w:rPr>
                <w:rFonts w:hint="eastAsia" w:ascii="仿宋_GB2312" w:hAnsi="仿宋_GB2312" w:eastAsia="仿宋_GB2312" w:cs="仿宋_GB2312"/>
                <w:sz w:val="24"/>
                <w:szCs w:val="24"/>
                <w:highlight w:val="cyan"/>
              </w:rPr>
            </w:pPr>
          </w:p>
        </w:tc>
        <w:tc>
          <w:tcPr>
            <w:tcW w:w="1170" w:type="dxa"/>
            <w:vAlign w:val="center"/>
          </w:tcPr>
          <w:p>
            <w:pPr>
              <w:pStyle w:val="7"/>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项目重点难点分析、应对措施及相关的合理化建议</w:t>
            </w:r>
          </w:p>
          <w:p>
            <w:pPr>
              <w:pStyle w:val="7"/>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（15分）</w:t>
            </w:r>
          </w:p>
        </w:tc>
        <w:tc>
          <w:tcPr>
            <w:tcW w:w="6143" w:type="dxa"/>
          </w:tcPr>
          <w:p>
            <w:pPr>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（一）评审内容：</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考察对项目工作量、可完成度等重点难点问题的识别和分析能力，并就识别出的重点难点提出可行的应对措施及合理化建议。</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包括但不限于以下内容：</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1.详细阐述本项目存在的重难点问题；</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2.根据项目重难点，详细阐述对应的应对措施；</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3.向招标方提出项目实施具体建议。</w:t>
            </w:r>
          </w:p>
          <w:p>
            <w:pPr>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（二）评审依据：</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满足以上任意一项要求得3分，最高得9分，在此基础上，根据供应商的具体响应内容按照量化的评审因素指标进一步评审，设定优、良、中、差四个评分标准：</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1.优：以上项目重点难点分析、应对措施及相关的合理化建议的三点内容全面具体、针对性强、可操作性强</w:t>
            </w:r>
            <w:r>
              <w:rPr>
                <w:rFonts w:hint="eastAsia" w:ascii="仿宋_GB2312" w:hAnsi="仿宋_GB2312" w:eastAsia="仿宋_GB2312" w:cs="仿宋_GB2312"/>
                <w:sz w:val="24"/>
                <w:szCs w:val="24"/>
                <w:highlight w:val="none"/>
                <w:lang w:eastAsia="zh-CN"/>
              </w:rPr>
              <w:t>，加</w:t>
            </w:r>
            <w:r>
              <w:rPr>
                <w:rFonts w:hint="eastAsia" w:ascii="仿宋_GB2312" w:hAnsi="仿宋_GB2312" w:eastAsia="仿宋_GB2312" w:cs="仿宋_GB2312"/>
                <w:sz w:val="24"/>
                <w:szCs w:val="24"/>
                <w:highlight w:val="none"/>
              </w:rPr>
              <w:t>6分；</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2.良：以上项目重点难点分析、应对措施及相关的合理化建议的三点内容较丰富、针对性较强、可操作性较强</w:t>
            </w:r>
            <w:r>
              <w:rPr>
                <w:rFonts w:hint="eastAsia" w:ascii="仿宋_GB2312" w:hAnsi="仿宋_GB2312" w:eastAsia="仿宋_GB2312" w:cs="仿宋_GB2312"/>
                <w:sz w:val="24"/>
                <w:szCs w:val="24"/>
                <w:highlight w:val="none"/>
                <w:lang w:eastAsia="zh-CN"/>
              </w:rPr>
              <w:t>，加</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分；</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3.中：以上项目重点难点分析、应对措施及相关的合理化建议的三点内容完整性、针对性、可操作性均一般</w:t>
            </w:r>
            <w:r>
              <w:rPr>
                <w:rFonts w:hint="eastAsia" w:ascii="仿宋_GB2312" w:hAnsi="仿宋_GB2312" w:eastAsia="仿宋_GB2312" w:cs="仿宋_GB2312"/>
                <w:sz w:val="24"/>
                <w:szCs w:val="24"/>
                <w:highlight w:val="none"/>
                <w:lang w:eastAsia="zh-CN"/>
              </w:rPr>
              <w:t>，加</w:t>
            </w:r>
            <w:r>
              <w:rPr>
                <w:rFonts w:hint="eastAsia" w:ascii="仿宋_GB2312" w:hAnsi="仿宋_GB2312" w:eastAsia="仿宋_GB2312" w:cs="仿宋_GB2312"/>
                <w:sz w:val="24"/>
                <w:szCs w:val="24"/>
                <w:highlight w:val="none"/>
              </w:rPr>
              <w:t>2分；</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tcPr>
          <w:p>
            <w:pPr>
              <w:spacing w:line="560" w:lineRule="exact"/>
              <w:jc w:val="left"/>
              <w:rPr>
                <w:rFonts w:hint="eastAsia" w:ascii="仿宋_GB2312" w:hAnsi="仿宋_GB2312" w:eastAsia="仿宋_GB2312" w:cs="仿宋_GB2312"/>
                <w:sz w:val="24"/>
                <w:szCs w:val="24"/>
                <w:highlight w:val="cyan"/>
              </w:rPr>
            </w:pPr>
          </w:p>
        </w:tc>
        <w:tc>
          <w:tcPr>
            <w:tcW w:w="1170" w:type="dxa"/>
            <w:vAlign w:val="center"/>
          </w:tcPr>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质量保障措施及方案</w:t>
            </w:r>
          </w:p>
          <w:p>
            <w:pPr>
              <w:pStyle w:val="7"/>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15</w:t>
            </w:r>
            <w:r>
              <w:rPr>
                <w:rFonts w:hint="eastAsia" w:ascii="仿宋_GB2312" w:hAnsi="仿宋_GB2312" w:eastAsia="仿宋_GB2312" w:cs="仿宋_GB2312"/>
                <w:sz w:val="24"/>
                <w:szCs w:val="24"/>
                <w:highlight w:val="none"/>
              </w:rPr>
              <w:t>分）</w:t>
            </w:r>
          </w:p>
        </w:tc>
        <w:tc>
          <w:tcPr>
            <w:tcW w:w="6143" w:type="dxa"/>
          </w:tcPr>
          <w:p>
            <w:pPr>
              <w:topLinePunct/>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（一）评审内容：</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根据对项目的理解及自身管理经验，针对本项目提出质量（完成时间、安全）保障措施及方案。包括但不限于以下内容：</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1.具备详细的完成时间保障措施及承诺；</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2.详细阐述项目人员管理措施；</w:t>
            </w:r>
          </w:p>
          <w:p>
            <w:pPr>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3.详细阐述项目质量管理措施</w:t>
            </w:r>
            <w:r>
              <w:rPr>
                <w:rFonts w:hint="eastAsia" w:ascii="仿宋_GB2312" w:hAnsi="仿宋_GB2312" w:eastAsia="仿宋_GB2312" w:cs="仿宋_GB2312"/>
                <w:sz w:val="24"/>
                <w:szCs w:val="24"/>
                <w:highlight w:val="none"/>
                <w:lang w:eastAsia="zh-CN"/>
              </w:rPr>
              <w:t>。</w:t>
            </w:r>
          </w:p>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二、评分标准：</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rPr>
              <w:t>满足以上任意一项要求得</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分，最高得</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分，在此基础上，</w:t>
            </w:r>
            <w:r>
              <w:rPr>
                <w:rFonts w:hint="eastAsia" w:ascii="仿宋_GB2312" w:hAnsi="仿宋_GB2312" w:eastAsia="仿宋_GB2312" w:cs="仿宋_GB2312"/>
                <w:sz w:val="24"/>
                <w:szCs w:val="24"/>
                <w:highlight w:val="none"/>
              </w:rPr>
              <w:t>根据供应商的具体响应内容按照量化的评审因素指标进一步评审，设定优、良、中、差四个评分标准：</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1.优：以上项目质量保障措施及方案三点内容全面具体、针对性强、可操作性强，加</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分；</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2.良：以上项目质量保障措施及方案的三点内容较丰富、针对性较强、可操作性较强，加</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分；</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3.中：以上项目质量保障措施及方案三点内容完整性、针对性、可操作性均一般，加</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w:t>
            </w:r>
          </w:p>
          <w:p>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4.差：其它情况不得分。</w:t>
            </w:r>
          </w:p>
        </w:tc>
      </w:tr>
    </w:tbl>
    <w:p>
      <w:pPr>
        <w:pStyle w:val="20"/>
        <w:spacing w:line="560" w:lineRule="exact"/>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八、供应商提供资料清单（均需每页加盖公章）</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1.营业执照、事业法人证书、社会团体法人登记证书；</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2.法定代表人身份证复印件；</w:t>
      </w:r>
    </w:p>
    <w:p>
      <w:pPr>
        <w:pStyle w:val="8"/>
        <w:spacing w:after="0" w:line="560" w:lineRule="exact"/>
        <w:ind w:left="0" w:leftChars="0" w:right="0" w:rightChars="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3.项目报价表</w:t>
      </w:r>
      <w:r>
        <w:rPr>
          <w:rFonts w:hint="eastAsia" w:ascii="仿宋_GB2312" w:hAnsi="仿宋_GB2312" w:eastAsia="仿宋_GB2312" w:cs="仿宋_GB2312"/>
          <w:b/>
          <w:bCs/>
          <w:sz w:val="32"/>
          <w:szCs w:val="32"/>
        </w:rPr>
        <w:t>（需按格式提供）</w:t>
      </w:r>
      <w:r>
        <w:rPr>
          <w:rFonts w:hint="eastAsia" w:ascii="仿宋_GB2312" w:hAnsi="仿宋_GB2312" w:eastAsia="仿宋_GB2312" w:cs="仿宋_GB2312"/>
          <w:sz w:val="32"/>
          <w:szCs w:val="32"/>
        </w:rPr>
        <w:t>；</w:t>
      </w:r>
    </w:p>
    <w:p>
      <w:pPr>
        <w:pStyle w:val="8"/>
        <w:spacing w:after="0" w:line="560" w:lineRule="exact"/>
        <w:ind w:left="0" w:leftChars="0" w:right="0" w:rightChars="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4.评分规则所需资料（同类业绩证明、方案等）；</w:t>
      </w:r>
    </w:p>
    <w:p>
      <w:pPr>
        <w:pStyle w:val="8"/>
        <w:spacing w:after="0" w:line="560" w:lineRule="exact"/>
        <w:ind w:left="0" w:leftChars="0" w:right="0" w:rightChars="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5.诚信承诺书（详见附件1）；</w:t>
      </w:r>
    </w:p>
    <w:p>
      <w:pPr>
        <w:pStyle w:val="8"/>
        <w:spacing w:after="0" w:line="560" w:lineRule="exact"/>
        <w:ind w:left="0" w:leftChars="0" w:right="0" w:rightChars="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填写《供应商基本情况表》（加盖公章，详见附件2）并提供表中投标（响应）供应商相关人员的近三个月社保缴纳情况，若本月社保未能提供，则提供前三个月的社保情况，如供应商为新成立企业且成立时间不足3个月的，可提供加盖公章的情况说明或其他相关证明材料。</w:t>
      </w:r>
    </w:p>
    <w:p>
      <w:pPr>
        <w:pStyle w:val="8"/>
        <w:spacing w:after="0" w:line="560" w:lineRule="exact"/>
        <w:ind w:left="0" w:leftChars="0" w:right="0" w:rightChars="0" w:firstLine="640"/>
        <w:jc w:val="lef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九、其他注意事项</w:t>
      </w:r>
    </w:p>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1.供应商需深圳政府采购自行采购系统完成供应商注册（网址：https://zxcg.szggzy.com/home/index.html），请于本项目投标截止时间前完成注册，否则如中标/成交，可能影响采购结果的发布。</w:t>
      </w:r>
    </w:p>
    <w:p>
      <w:pPr>
        <w:pStyle w:val="8"/>
        <w:spacing w:after="0" w:line="560" w:lineRule="exact"/>
        <w:ind w:left="0" w:leftChars="0" w:right="0" w:rightChars="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2.供应商需以邮寄方式提供</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份密封纸质版投标资料至本单位，并在封面备注“</w:t>
      </w:r>
      <w:r>
        <w:rPr>
          <w:rFonts w:hint="eastAsia" w:ascii="仿宋_GB2312" w:hAnsi="仿宋_GB2312" w:eastAsia="仿宋_GB2312" w:cs="仿宋_GB2312"/>
          <w:color w:val="000000"/>
          <w:kern w:val="0"/>
          <w:sz w:val="32"/>
          <w:szCs w:val="32"/>
        </w:rPr>
        <w:t>龙华区2026年公益性体育设施更新维护”项目+公司全称+日期+联系人+联系方式”。</w:t>
      </w:r>
    </w:p>
    <w:p>
      <w:pPr>
        <w:pStyle w:val="8"/>
        <w:spacing w:after="0" w:line="560" w:lineRule="exact"/>
        <w:ind w:left="0" w:leftChars="0"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bookmarkStart w:id="4" w:name="OLE_LINK5"/>
      <w:r>
        <w:rPr>
          <w:rFonts w:hint="eastAsia" w:ascii="仿宋_GB2312" w:hAnsi="仿宋_GB2312" w:eastAsia="仿宋_GB2312" w:cs="仿宋_GB2312"/>
          <w:sz w:val="32"/>
          <w:szCs w:val="32"/>
        </w:rPr>
        <w:t>深圳市龙华区龙华街道富康行政服务办公区</w:t>
      </w:r>
      <w:bookmarkEnd w:id="4"/>
    </w:p>
    <w:p>
      <w:pPr>
        <w:pStyle w:val="21"/>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收件人：吴先生</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eastAsia="zh-CN"/>
        </w:rPr>
        <w:t>：</w:t>
      </w:r>
      <w:bookmarkStart w:id="5" w:name="_GoBack"/>
      <w:bookmarkEnd w:id="5"/>
      <w:r>
        <w:rPr>
          <w:rFonts w:hint="eastAsia" w:ascii="仿宋_GB2312" w:hAnsi="仿宋_GB2312" w:eastAsia="仿宋_GB2312" w:cs="仿宋_GB2312"/>
          <w:sz w:val="32"/>
          <w:szCs w:val="32"/>
        </w:rPr>
        <w:t>0755-23338140</w:t>
      </w:r>
    </w:p>
    <w:p>
      <w:pPr>
        <w:pStyle w:val="21"/>
        <w:spacing w:line="560" w:lineRule="exact"/>
        <w:ind w:firstLine="0" w:firstLineChars="0"/>
        <w:rPr>
          <w:rFonts w:hint="default" w:ascii="黑体" w:hAnsi="黑体" w:eastAsia="黑体" w:cs="黑体"/>
          <w:color w:val="000000"/>
          <w:sz w:val="32"/>
          <w:szCs w:val="32"/>
          <w:lang w:val="en-US" w:eastAsia="zh-CN"/>
        </w:rPr>
      </w:pPr>
      <w:r>
        <w:rPr>
          <w:rFonts w:ascii="仿宋" w:hAnsi="仿宋" w:eastAsia="仿宋"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7"/>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21"/>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2"/>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4"/>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3</w:t>
      </w:r>
    </w:p>
    <w:tbl>
      <w:tblPr>
        <w:tblStyle w:val="13"/>
        <w:tblW w:w="10073" w:type="dxa"/>
        <w:tblInd w:w="-9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660"/>
        <w:gridCol w:w="2760"/>
        <w:gridCol w:w="1875"/>
        <w:gridCol w:w="660"/>
        <w:gridCol w:w="1035"/>
        <w:gridCol w:w="2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07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体育设施货物产品单价表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普通常规健身路径</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告示牌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太空漫步机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6856</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平步机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步行器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5520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蹬力器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6330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椭圆机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钟摆器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4745</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钟摆扭腰器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骑马器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三人扭腰器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太极揉推器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5703</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太极推手器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肩关节康复器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上肢牵引器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自重训练器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3427</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单位腹肌板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双位腹肌板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3685</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腰背按摩器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坐立式腰背按摩器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腰背伸展器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3427</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臂力训练器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腿部按摩器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1955</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按摩揉推器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四级压腿按摩器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压腿器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扭腰步道</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多功能训练器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4862</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直立健身车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斜趟式健身车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轨道式象棋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轨道式围棋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普通棋牌桌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单杠</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双杠</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5417</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天梯</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8590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肋木架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综合训练器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含改装，运费、安装，调试，通过GB19272-2024室外健身器材标准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双立柱1.5代健身路径</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椭圆机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15420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太极揉推器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12230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太空漫步机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13436</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钟摆器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12520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背腹肌训练器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上下肢训练器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身体素质测试器材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太阳能遮阳棚及休闲椅</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19960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户外智能健身房设施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智能互动大屏</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23500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战绳</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6783</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综合训练器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10320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室外儿童游乐园</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儿童乐园（不含地垫）</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秋千（双人）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秋千（三人）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13392</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摇乐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跷跷板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55</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乒乓球台</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室外乒乓球桌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室内乒乓球桌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含改装，运费、安装，调试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57</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移动式篮球架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含运费、安装、场地恢复流程全包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地埋式篮球架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含运费、安装、场地恢复流程全包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59</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普通常规健身路径配件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（手部腿部按摩器、四级压腿按摩器、按摩揉推器、腰背按摩器、蹬力器）按摩棒</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太空漫步机更换扶手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腰背伸展器更换伸展板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太极揉推器（工程塑料推手盘）</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肩关节康复器（镀锌铁推盘）</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太极推手器（手柄）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坐立式腰背按摩器、晃板扭腰器、三人扭腰器（扭腰盘）</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（太空漫步机、椭圆机、步行器、钟摆器）摆腿、摆腿臂</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腰背按摩器按摩器按摩总成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1255</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划船器划船总成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1695</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蹬力器座椅</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蹬力器蹬腿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臂力盘</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上肢牵引器牵引绳索</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上肢牵引器牵引铁索</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直立健身车脚踏踏板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骑马器底座支撑总成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1233</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单杠扶手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骑马器座板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棋牌桌桌面</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3261</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铝合金盖帽</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普通盖帽</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普通象棋桌、坐立式腰背按摩器凳子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轨道式象棋凳子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告示牌牌面</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更换螺丝</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维修调试工作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喷漆工作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88</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双立柱1.5代健身路径</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亚克力使用说明告示牌牌面</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1959</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（太空漫步机、椭圆机、钟摆器、上下肢训练器）摆腿、摆腿臂</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太空漫步机扶手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自重推举把手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防盗盖帽</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更换25°限位块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揉推盘</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上下肢牵引绳</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米黄色梯形座板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靠背按摩棒</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靠背双滚轮总轴</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1736</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米黄色梯形座板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米黄色梯形背板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pc耐力棚板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智能遮阳棚张拉膜顶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户外设施智能太阳能板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887</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户外设施智能LED灯</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户外设施智能灯罩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4411</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户外设施智能蓄电池</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1731</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智能竞赛车电路板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5789</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智能竞赛车喇叭</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智能竞赛车座包</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智能竞赛车座板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智能竞赛车盖板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1064</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身体素质测试器材（智能电路面板）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1197</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14</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户外智能健身设备配件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智能健身房设施告示牌牌面</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2601</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智能五方位体测亭（蓝牙/人脸识别）(带棚)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智能自发电推胸划船训练器(带棚)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智能自发电高拉推举训练器(带棚)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智能自发电踢腿曲腿训练器(带棚)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智能自发电深蹲训练器(带棚)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智能自发电腹背肌训练器(带棚)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智能自发电肱二头肌训练器(带棚)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智能自发电立式健身车(带棚)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智能自发电立式手摇车(带棚)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智慧竞赛车立式健身车(带棚)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智慧竞赛车立式手摇车(带棚)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GFYS01-02/GFYS02-02电子表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GFY-01电子表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力量器材通用电子表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力量器材通用防水开关</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力量器材通用把手上下壳含心率片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力量器材通用链条108节</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力量器材通用室外低压自发电控制器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有氧通用脚踏板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通用MCU转接板插件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GFTS5通用反应时模块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力量器材通用速度感应棒</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智能竞赛车磁控轮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智能竞赛车（上肢）显示面板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智能竞赛车（上肢）按键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智能竞赛车（上肢）手摇式手柄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智能竞赛车（上肢）黑白点盖板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智能自发电深蹲训练器护肩块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智能自发电深蹲训练器深蹲把手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智能自发电深蹲训练器深蹲架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智能自发电深蹲训练器显示面板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5287</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休闲凳</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2783</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智能发电踢腿曲腿训练器黑白点盖板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1277</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智能发电踢腿曲腿训练器黑白点靠板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1332</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智能发电踢腿曲腿训练器黑白点座板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智能发电踢腿曲腿训练器扶手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智能发电踢腿曲腿训练器屈伸脚踏板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智能自发电高拉推举训练器推举手臂</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智能自发电肱二头肌训练器扶手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智能自发电腹背肌训练器靠背双滚轮总轴</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2491</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自重式高拉训练器把手胶套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自重式高拉训练器扶手横杆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57</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力量健身路径配件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配重块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配重臂手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配重穿杠</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配重滑块、含滑扣和顶边盖</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扩胸训练器横梁靠背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把手护套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拉力训练器拉力牵引绳</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健身路径（力量）整件设备报废不含更新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乒乓球台配件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更换乒乓球铁栏网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67</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儿童游乐配件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儿童乐园扶手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儿童乐园滑道(单道)</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儿童乐园滑道(双道)</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儿童乐园滑道(旋转道)</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儿童乐园立柱</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儿童乐园护栏</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秋千铁链</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秋千座椅</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秋千卡扣环</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儿童滑梯挡板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滑梯飞碟</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儿童游乐数字球含杆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179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儿童滑梯链接透明罩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铁件楼梯</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塑料楼梯</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滑梯帽盖</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滑梯环扣</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滑梯支撑杆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滑梯瓦片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摇马弹簧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187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玩具造型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188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跷跷板坐垫</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189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跷跷板扶手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190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球场设施配件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推水器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191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(羽毛球、网球)球柱</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192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193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休息凳（不含棚）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194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篮板护条</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标准护条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195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安全防护垫</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196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球架盖板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197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篮板拉杆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198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篮板（玻璃）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标准钢化菠萝</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199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防风网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48"/>
                <w:lang w:val="en-US" w:eastAsia="zh-CN" w:bidi="ar"/>
              </w:rPr>
              <w:t>²</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标准网</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48"/>
                <w:lang w:val="en-US" w:eastAsia="zh-CN" w:bidi="ar"/>
              </w:rPr>
              <w:t>²</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围网（含立柱）</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48"/>
                <w:lang w:val="en-US" w:eastAsia="zh-CN" w:bidi="ar"/>
              </w:rPr>
              <w:t>²</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围网大门（单开）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围网大门（双开）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球场灯柱</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高6.50-8.50m悬臂800mm(含悬空高度)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球场灯光200瓦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球场灯光300瓦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球场灯光400瓦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球场灯光500瓦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地面材料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球场面层-丙烯酸（硅pu）</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按平方结算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48"/>
                <w:lang w:val="en-US" w:eastAsia="zh-CN" w:bidi="ar"/>
              </w:rPr>
              <w:t>²</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拼装地板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按平方结算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EPDM地面</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按平方结算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安全地垫</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按平方结算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人造草面层</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定制翻新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PVC地胶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按平方结算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17</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地面清理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水泥或沥青基础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10公分C25混凝土，千分之五坡度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建筑垃圾清运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清运工作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球场老基础打磨及平整</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打磨基础修复工作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排水沟清淤，井盖，修复</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清理，修护更换工作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23</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脚手架施工</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按需单次使用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电线更换</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电箱及配件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门铰与门锁</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推水器刮片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排水地漏口</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围网拆卸</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球架打磨喷漆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喷漆工作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篮球架拆卸报废</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清理设备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围网立柱加固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整件健身路径报废拆除（不涉及更换设备）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篮球架拆除篮筐（不涉及更换篮筐）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6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全区6个街道合计约1</w:t>
            </w: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0处</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480000元（约）</w:t>
            </w:r>
          </w:p>
        </w:tc>
      </w:tr>
    </w:tbl>
    <w:p>
      <w:pPr>
        <w:rPr>
          <w:rFonts w:hint="default" w:ascii="黑体" w:hAnsi="黑体" w:eastAsia="黑体" w:cs="黑体"/>
          <w:color w:val="000000"/>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0013460"/>
    <w:rsid w:val="000F0F35"/>
    <w:rsid w:val="001B0176"/>
    <w:rsid w:val="00232152"/>
    <w:rsid w:val="002D3128"/>
    <w:rsid w:val="002F4945"/>
    <w:rsid w:val="00310914"/>
    <w:rsid w:val="003D56DC"/>
    <w:rsid w:val="003F559C"/>
    <w:rsid w:val="004A05CE"/>
    <w:rsid w:val="004A5064"/>
    <w:rsid w:val="005816E3"/>
    <w:rsid w:val="005F79F8"/>
    <w:rsid w:val="006B2BEF"/>
    <w:rsid w:val="006D361A"/>
    <w:rsid w:val="008F7F68"/>
    <w:rsid w:val="009D7F94"/>
    <w:rsid w:val="00B12958"/>
    <w:rsid w:val="00C17980"/>
    <w:rsid w:val="00E878C2"/>
    <w:rsid w:val="00EC1655"/>
    <w:rsid w:val="16EB8C75"/>
    <w:rsid w:val="1FF9BF4D"/>
    <w:rsid w:val="3AA13275"/>
    <w:rsid w:val="3BF9499C"/>
    <w:rsid w:val="3D5FDCFC"/>
    <w:rsid w:val="3EEDE188"/>
    <w:rsid w:val="3EFF9ACF"/>
    <w:rsid w:val="3FBF1308"/>
    <w:rsid w:val="3FFB761C"/>
    <w:rsid w:val="4DEA6DAC"/>
    <w:rsid w:val="52FE34D9"/>
    <w:rsid w:val="533D7E9F"/>
    <w:rsid w:val="55393082"/>
    <w:rsid w:val="59FA96B2"/>
    <w:rsid w:val="5F2BE56A"/>
    <w:rsid w:val="697F1796"/>
    <w:rsid w:val="69CC141C"/>
    <w:rsid w:val="6CFFD566"/>
    <w:rsid w:val="6FC72380"/>
    <w:rsid w:val="701A27E1"/>
    <w:rsid w:val="73FB884D"/>
    <w:rsid w:val="773F2394"/>
    <w:rsid w:val="77DD54A8"/>
    <w:rsid w:val="79BB8401"/>
    <w:rsid w:val="79D86AEA"/>
    <w:rsid w:val="7BF7E217"/>
    <w:rsid w:val="7CF029DB"/>
    <w:rsid w:val="7D9F3A20"/>
    <w:rsid w:val="7DD39989"/>
    <w:rsid w:val="7E2D2C81"/>
    <w:rsid w:val="7E9F479A"/>
    <w:rsid w:val="7EDF02DA"/>
    <w:rsid w:val="7EDFCE4A"/>
    <w:rsid w:val="7F7B2C5F"/>
    <w:rsid w:val="7F9DDE72"/>
    <w:rsid w:val="7F9FC14B"/>
    <w:rsid w:val="7FB9A566"/>
    <w:rsid w:val="7FD707FA"/>
    <w:rsid w:val="7FD8BF84"/>
    <w:rsid w:val="7FF9FFBF"/>
    <w:rsid w:val="7FFFEF1A"/>
    <w:rsid w:val="9EFFBBA7"/>
    <w:rsid w:val="9FB7FF2B"/>
    <w:rsid w:val="9FF753B3"/>
    <w:rsid w:val="A5BF6AD6"/>
    <w:rsid w:val="A97DE89F"/>
    <w:rsid w:val="B720C73F"/>
    <w:rsid w:val="B7FF3225"/>
    <w:rsid w:val="B9FEA41E"/>
    <w:rsid w:val="BBFF548B"/>
    <w:rsid w:val="BD3F142A"/>
    <w:rsid w:val="BFBEF091"/>
    <w:rsid w:val="CCFE5636"/>
    <w:rsid w:val="CEAEA899"/>
    <w:rsid w:val="CF4E772D"/>
    <w:rsid w:val="CFFBE405"/>
    <w:rsid w:val="D3B9421C"/>
    <w:rsid w:val="DB649321"/>
    <w:rsid w:val="DBEF446F"/>
    <w:rsid w:val="DBFEE116"/>
    <w:rsid w:val="DD7780F4"/>
    <w:rsid w:val="DEB7FE68"/>
    <w:rsid w:val="DFEF9077"/>
    <w:rsid w:val="DFFF6587"/>
    <w:rsid w:val="DFFF69F1"/>
    <w:rsid w:val="E376E1AF"/>
    <w:rsid w:val="E77E6E49"/>
    <w:rsid w:val="E85DB7F6"/>
    <w:rsid w:val="EEEC4620"/>
    <w:rsid w:val="EFF64497"/>
    <w:rsid w:val="F1F4BC51"/>
    <w:rsid w:val="F377FE51"/>
    <w:rsid w:val="F7F7018E"/>
    <w:rsid w:val="F7F7F45C"/>
    <w:rsid w:val="F9ED4BC3"/>
    <w:rsid w:val="FBF63D73"/>
    <w:rsid w:val="FBFFCC7D"/>
    <w:rsid w:val="FC77F10A"/>
    <w:rsid w:val="FDEFA95B"/>
    <w:rsid w:val="FDFD7EA4"/>
    <w:rsid w:val="FDFF0826"/>
    <w:rsid w:val="FDFFDEC4"/>
    <w:rsid w:val="FE233492"/>
    <w:rsid w:val="FE7D9706"/>
    <w:rsid w:val="FF6A7453"/>
    <w:rsid w:val="FF7AA3AA"/>
    <w:rsid w:val="FF942496"/>
    <w:rsid w:val="FFBFB86A"/>
    <w:rsid w:val="FFE7441B"/>
    <w:rsid w:val="FFEF2FC6"/>
    <w:rsid w:val="FFFB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7">
    <w:name w:val="Body Text"/>
    <w:basedOn w:val="1"/>
    <w:next w:val="1"/>
    <w:qFormat/>
    <w:uiPriority w:val="1"/>
    <w:pPr>
      <w:spacing w:after="120"/>
    </w:pPr>
  </w:style>
  <w:style w:type="paragraph" w:styleId="8">
    <w:name w:val="Block Text"/>
    <w:basedOn w:val="1"/>
    <w:qFormat/>
    <w:uiPriority w:val="0"/>
    <w:pPr>
      <w:tabs>
        <w:tab w:val="left" w:pos="426"/>
      </w:tabs>
      <w:spacing w:after="120"/>
      <w:ind w:left="1440" w:leftChars="700" w:right="1440" w:rightChars="700"/>
    </w:pPr>
  </w:style>
  <w:style w:type="paragraph" w:styleId="9">
    <w:name w:val="toc 5"/>
    <w:basedOn w:val="1"/>
    <w:next w:val="1"/>
    <w:unhideWhenUsed/>
    <w:qFormat/>
    <w:uiPriority w:val="39"/>
    <w:pPr>
      <w:ind w:left="840"/>
      <w:jc w:val="left"/>
    </w:pPr>
    <w:rPr>
      <w:rFonts w:cs="Calibri"/>
      <w:sz w:val="24"/>
      <w:szCs w:val="18"/>
    </w:rPr>
  </w:style>
  <w:style w:type="paragraph" w:styleId="10">
    <w:name w:val="Plain Text"/>
    <w:basedOn w:val="1"/>
    <w:unhideWhenUsed/>
    <w:qFormat/>
    <w:uiPriority w:val="99"/>
    <w:rPr>
      <w:rFonts w:ascii="宋体" w:cs="Courier New"/>
      <w:szCs w:val="21"/>
    </w:rPr>
  </w:style>
  <w:style w:type="paragraph" w:styleId="11">
    <w:name w:val="Body Text 2"/>
    <w:basedOn w:val="1"/>
    <w:qFormat/>
    <w:uiPriority w:val="0"/>
    <w:pPr>
      <w:spacing w:line="360" w:lineRule="auto"/>
    </w:pPr>
    <w:rPr>
      <w:sz w:val="24"/>
    </w:rPr>
  </w:style>
  <w:style w:type="paragraph" w:styleId="12">
    <w:name w:val="Title"/>
    <w:basedOn w:val="1"/>
    <w:next w:val="1"/>
    <w:qFormat/>
    <w:uiPriority w:val="0"/>
    <w:pPr>
      <w:spacing w:before="240" w:after="60"/>
      <w:jc w:val="center"/>
      <w:outlineLvl w:val="0"/>
    </w:pPr>
    <w:rPr>
      <w:rFonts w:ascii="等线 Light" w:hAnsi="等线 Light"/>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basedOn w:val="15"/>
    <w:unhideWhenUsed/>
    <w:qFormat/>
    <w:uiPriority w:val="99"/>
    <w:rPr>
      <w:color w:val="800080"/>
      <w:u w:val="single"/>
    </w:rPr>
  </w:style>
  <w:style w:type="character" w:styleId="17">
    <w:name w:val="Hyperlink"/>
    <w:basedOn w:val="15"/>
    <w:unhideWhenUsed/>
    <w:qFormat/>
    <w:uiPriority w:val="99"/>
    <w:rPr>
      <w:color w:val="0000FF"/>
      <w:u w:val="single"/>
    </w:rPr>
  </w:style>
  <w:style w:type="paragraph" w:styleId="18">
    <w:name w:val="List Paragraph"/>
    <w:basedOn w:val="19"/>
    <w:qFormat/>
    <w:uiPriority w:val="34"/>
    <w:pPr>
      <w:ind w:firstLine="420"/>
    </w:pPr>
  </w:style>
  <w:style w:type="paragraph" w:customStyle="1" w:styleId="19">
    <w:name w:val="星耀正文"/>
    <w:basedOn w:val="1"/>
    <w:qFormat/>
    <w:uiPriority w:val="3"/>
    <w:pPr>
      <w:ind w:firstLine="422" w:firstLineChars="200"/>
    </w:pPr>
    <w:rPr>
      <w:rFonts w:ascii="宋体" w:hAnsi="宋体" w:eastAsia="仿宋_GB2312"/>
      <w:bCs/>
    </w:rPr>
  </w:style>
  <w:style w:type="paragraph" w:customStyle="1" w:styleId="20">
    <w:name w:val="USE 1"/>
    <w:basedOn w:val="1"/>
    <w:qFormat/>
    <w:uiPriority w:val="0"/>
    <w:pPr>
      <w:spacing w:line="200" w:lineRule="atLeast"/>
      <w:jc w:val="left"/>
    </w:pPr>
    <w:rPr>
      <w:rFonts w:ascii="宋体" w:hAnsi="宋体"/>
      <w:b/>
      <w:sz w:val="24"/>
      <w:szCs w:val="28"/>
    </w:rPr>
  </w:style>
  <w:style w:type="paragraph" w:customStyle="1" w:styleId="21">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22">
    <w:name w:val="_Style 3"/>
    <w:basedOn w:val="1"/>
    <w:next w:val="1"/>
    <w:qFormat/>
    <w:uiPriority w:val="99"/>
    <w:pPr>
      <w:spacing w:line="360" w:lineRule="auto"/>
      <w:ind w:firstLine="420" w:firstLineChars="200"/>
    </w:pPr>
  </w:style>
  <w:style w:type="character" w:customStyle="1" w:styleId="23">
    <w:name w:val="font31"/>
    <w:basedOn w:val="15"/>
    <w:qFormat/>
    <w:uiPriority w:val="0"/>
    <w:rPr>
      <w:rFonts w:hint="eastAsia" w:ascii="宋体" w:hAnsi="宋体" w:eastAsia="宋体" w:cs="宋体"/>
      <w:color w:val="000000"/>
      <w:sz w:val="20"/>
      <w:szCs w:val="20"/>
      <w:u w:val="none"/>
    </w:rPr>
  </w:style>
  <w:style w:type="character" w:customStyle="1" w:styleId="24">
    <w:name w:val="标题 1 Char"/>
    <w:basedOn w:val="15"/>
    <w:link w:val="2"/>
    <w:qFormat/>
    <w:uiPriority w:val="9"/>
    <w:rPr>
      <w:rFonts w:asciiTheme="minorHAnsi" w:hAnsiTheme="minorHAnsi" w:eastAsiaTheme="minorEastAsia" w:cstheme="minorBidi"/>
      <w:b/>
      <w:bCs/>
      <w:kern w:val="44"/>
      <w:sz w:val="44"/>
      <w:szCs w:val="44"/>
    </w:rPr>
  </w:style>
  <w:style w:type="character" w:customStyle="1" w:styleId="25">
    <w:name w:val="font11"/>
    <w:basedOn w:val="15"/>
    <w:qFormat/>
    <w:uiPriority w:val="0"/>
    <w:rPr>
      <w:rFonts w:hint="eastAsia" w:ascii="宋体" w:hAnsi="宋体" w:eastAsia="宋体" w:cs="宋体"/>
      <w:color w:val="000000"/>
      <w:sz w:val="21"/>
      <w:szCs w:val="21"/>
      <w:u w:val="none"/>
    </w:rPr>
  </w:style>
  <w:style w:type="paragraph" w:customStyle="1" w:styleId="26">
    <w:name w:val="font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8">
    <w:name w:val="xl6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9">
    <w:name w:val="xl68"/>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30">
    <w:name w:val="xl6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3">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4">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character" w:customStyle="1" w:styleId="45">
    <w:name w:val="font51"/>
    <w:basedOn w:val="15"/>
    <w:qFormat/>
    <w:uiPriority w:val="0"/>
    <w:rPr>
      <w:rFonts w:ascii="方正书宋_GBK" w:hAnsi="方正书宋_GBK" w:eastAsia="方正书宋_GBK" w:cs="方正书宋_GBK"/>
      <w:color w:val="000000"/>
      <w:sz w:val="20"/>
      <w:szCs w:val="20"/>
      <w:u w:val="none"/>
    </w:rPr>
  </w:style>
  <w:style w:type="character" w:customStyle="1" w:styleId="46">
    <w:name w:val="font61"/>
    <w:basedOn w:val="15"/>
    <w:qFormat/>
    <w:uiPriority w:val="0"/>
    <w:rPr>
      <w:rFonts w:hint="eastAsia" w:ascii="宋体" w:hAnsi="宋体" w:eastAsia="宋体" w:cs="宋体"/>
      <w:color w:val="000000"/>
      <w:sz w:val="20"/>
      <w:szCs w:val="20"/>
      <w:u w:val="none"/>
    </w:rPr>
  </w:style>
  <w:style w:type="character" w:customStyle="1" w:styleId="47">
    <w:name w:val="font41"/>
    <w:basedOn w:val="15"/>
    <w:qFormat/>
    <w:uiPriority w:val="0"/>
    <w:rPr>
      <w:rFonts w:hint="eastAsia" w:ascii="宋体" w:hAnsi="宋体" w:eastAsia="宋体" w:cs="宋体"/>
      <w:color w:val="000000"/>
      <w:sz w:val="20"/>
      <w:szCs w:val="20"/>
      <w:u w:val="none"/>
    </w:rPr>
  </w:style>
  <w:style w:type="character" w:customStyle="1" w:styleId="48">
    <w:name w:val="font21"/>
    <w:basedOn w:val="15"/>
    <w:qFormat/>
    <w:uiPriority w:val="0"/>
    <w:rPr>
      <w:rFonts w:ascii="方正书宋_GBK" w:hAnsi="方正书宋_GBK" w:eastAsia="方正书宋_GBK" w:cs="方正书宋_GBK"/>
      <w:color w:val="000000"/>
      <w:sz w:val="20"/>
      <w:szCs w:val="20"/>
      <w:u w:val="none"/>
    </w:rPr>
  </w:style>
  <w:style w:type="paragraph" w:styleId="4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2266</Words>
  <Characters>12919</Characters>
  <Lines>107</Lines>
  <Paragraphs>30</Paragraphs>
  <TotalTime>16</TotalTime>
  <ScaleCrop>false</ScaleCrop>
  <LinksUpToDate>false</LinksUpToDate>
  <CharactersWithSpaces>15155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2026-03-31T14:45:00Z</dcterms:created>
  <dc:creator>yang</dc:creator>
  <cp:lastModifiedBy>lxy</cp:lastModifiedBy>
  <cp:lastPrinted>2026-04-10T03:29:00Z</cp:lastPrinted>
  <dcterms:modified xsi:type="dcterms:W3CDTF">2026-04-21T17:45:55Z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A0C97F84CDA2FBE439C9CC69563DC64B</vt:lpwstr>
  </property>
</Properties>
</file>