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56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5-2026</w:t>
      </w:r>
      <w:r>
        <w:rPr>
          <w:rFonts w:hint="eastAsia" w:ascii="方正小标宋简体" w:hAnsi="方正小标宋简体" w:eastAsia="方正小标宋简体" w:cs="方正小标宋简体"/>
          <w:sz w:val="44"/>
          <w:szCs w:val="44"/>
        </w:rPr>
        <w:t>年产业发展监管协议履约核查</w:t>
      </w:r>
      <w:r>
        <w:rPr>
          <w:rFonts w:hint="eastAsia" w:ascii="方正小标宋简体" w:hAnsi="方正小标宋简体" w:eastAsia="方正小标宋简体" w:cs="方正小标宋简体"/>
          <w:sz w:val="44"/>
          <w:szCs w:val="44"/>
          <w:lang w:eastAsia="zh-CN"/>
        </w:rPr>
        <w:t>协助服务</w:t>
      </w:r>
      <w:r>
        <w:rPr>
          <w:rFonts w:hint="eastAsia" w:ascii="方正小标宋简体" w:hAnsi="方正小标宋简体" w:eastAsia="方正小标宋简体" w:cs="方正小标宋简体"/>
          <w:sz w:val="44"/>
          <w:szCs w:val="44"/>
        </w:rPr>
        <w:t>项目需求书</w:t>
      </w:r>
    </w:p>
    <w:p>
      <w:pPr>
        <w:pStyle w:val="2"/>
        <w:keepNext w:val="0"/>
        <w:keepLines w:val="0"/>
        <w:pageBreakBefore w:val="0"/>
        <w:kinsoku/>
        <w:wordWrap/>
        <w:overflowPunct/>
        <w:topLinePunct w:val="0"/>
        <w:autoSpaceDE/>
        <w:autoSpaceDN/>
        <w:bidi w:val="0"/>
        <w:spacing w:after="0" w:line="560" w:lineRule="exact"/>
        <w:textAlignment w:val="auto"/>
        <w:rPr>
          <w:rFonts w:hint="eastAsia"/>
          <w:sz w:val="32"/>
          <w:szCs w:val="32"/>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一、项目目的</w:t>
      </w:r>
    </w:p>
    <w:p>
      <w:pPr>
        <w:keepNext w:val="0"/>
        <w:keepLines w:val="0"/>
        <w:pageBreakBefore w:val="0"/>
        <w:widowControl/>
        <w:suppressLineNumbers w:val="0"/>
        <w:kinsoku/>
        <w:wordWrap/>
        <w:overflowPunct/>
        <w:topLinePunct w:val="0"/>
        <w:autoSpaceDE/>
        <w:autoSpaceDN/>
        <w:bidi w:val="0"/>
        <w:adjustRightInd/>
        <w:snapToGrid/>
        <w:spacing w:after="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根据《深圳市人民政府关于印发工业及其他产业用地供应管理办法的通知》（</w:t>
      </w:r>
      <w:r>
        <w:rPr>
          <w:rFonts w:ascii="仿宋_GB2312" w:hAnsi="宋体" w:eastAsia="仿宋_GB2312" w:cs="仿宋_GB2312"/>
          <w:color w:val="000000"/>
          <w:kern w:val="0"/>
          <w:sz w:val="32"/>
          <w:szCs w:val="32"/>
          <w:lang w:val="en-US" w:eastAsia="zh-CN" w:bidi="ar"/>
        </w:rPr>
        <w:t>深府规〔2019〕4号</w:t>
      </w:r>
      <w:r>
        <w:rPr>
          <w:rFonts w:hint="eastAsia" w:ascii="仿宋_GB2312" w:hAnsi="仿宋_GB2312" w:eastAsia="仿宋_GB2312" w:cs="仿宋_GB2312"/>
          <w:sz w:val="32"/>
          <w:szCs w:val="32"/>
          <w:highlight w:val="none"/>
          <w:lang w:val="en-US" w:eastAsia="zh-CN"/>
        </w:rPr>
        <w:t>）、《龙华区重点产业项目遴选办法（试行）》（</w:t>
      </w:r>
      <w:r>
        <w:rPr>
          <w:rFonts w:ascii="仿宋_GB2312" w:hAnsi="宋体" w:eastAsia="仿宋_GB2312" w:cs="仿宋_GB2312"/>
          <w:color w:val="000000"/>
          <w:kern w:val="0"/>
          <w:sz w:val="32"/>
          <w:szCs w:val="32"/>
          <w:lang w:val="en-US" w:eastAsia="zh-CN" w:bidi="ar"/>
        </w:rPr>
        <w:t>深龙华府〔2017〕12号</w:t>
      </w:r>
      <w:r>
        <w:rPr>
          <w:rFonts w:hint="eastAsia" w:ascii="仿宋_GB2312" w:hAnsi="仿宋_GB2312" w:eastAsia="仿宋_GB2312" w:cs="仿宋_GB2312"/>
          <w:sz w:val="32"/>
          <w:szCs w:val="32"/>
          <w:highlight w:val="none"/>
          <w:lang w:val="en-US" w:eastAsia="zh-CN"/>
        </w:rPr>
        <w:t>）、《深圳市总部项目遴选及用地供应管理办法》（深府规〔2018〕1号）、《深圳市工业楼宇及配套用房转让管理办法》（</w:t>
      </w:r>
      <w:r>
        <w:rPr>
          <w:rFonts w:ascii="仿宋_GB2312" w:hAnsi="宋体" w:eastAsia="仿宋_GB2312" w:cs="仿宋_GB2312"/>
          <w:color w:val="000000"/>
          <w:kern w:val="0"/>
          <w:sz w:val="32"/>
          <w:szCs w:val="32"/>
          <w:lang w:val="en-US" w:eastAsia="zh-CN" w:bidi="ar"/>
        </w:rPr>
        <w:t>深府办规〔2020〕2号</w:t>
      </w:r>
      <w:r>
        <w:rPr>
          <w:rFonts w:hint="eastAsia" w:ascii="仿宋_GB2312" w:hAnsi="仿宋_GB2312" w:eastAsia="仿宋_GB2312" w:cs="仿宋_GB2312"/>
          <w:sz w:val="32"/>
          <w:szCs w:val="32"/>
          <w:highlight w:val="none"/>
          <w:lang w:val="en-US" w:eastAsia="zh-CN"/>
        </w:rPr>
        <w:t>）等相关政策要求，为开展</w:t>
      </w:r>
      <w:r>
        <w:rPr>
          <w:rFonts w:hint="eastAsia" w:ascii="仿宋_GB2312" w:hAnsi="仿宋_GB2312" w:eastAsia="仿宋_GB2312" w:cs="仿宋_GB2312"/>
          <w:sz w:val="32"/>
          <w:szCs w:val="32"/>
        </w:rPr>
        <w:t>已签订</w:t>
      </w:r>
      <w:r>
        <w:rPr>
          <w:rFonts w:hint="eastAsia" w:ascii="仿宋_GB2312" w:hAnsi="仿宋_GB2312" w:eastAsia="仿宋_GB2312" w:cs="仿宋_GB2312"/>
          <w:sz w:val="32"/>
          <w:szCs w:val="32"/>
          <w:lang w:eastAsia="zh-CN"/>
        </w:rPr>
        <w:t>产业</w:t>
      </w:r>
      <w:r>
        <w:rPr>
          <w:rFonts w:hint="eastAsia" w:ascii="仿宋_GB2312" w:hAnsi="仿宋_GB2312" w:eastAsia="仿宋_GB2312" w:cs="仿宋_GB2312"/>
          <w:sz w:val="32"/>
          <w:szCs w:val="32"/>
        </w:rPr>
        <w:t>监管协议</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履约情况核查等</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highlight w:val="none"/>
          <w:lang w:val="en-US" w:eastAsia="zh-CN"/>
        </w:rPr>
        <w:t>我科室拟申请购买产业监管履约核查协助服务。</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二、项目形式</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sz w:val="32"/>
          <w:szCs w:val="32"/>
        </w:rPr>
        <w:t>在合同期内为龙华区工业和信息化局提供</w:t>
      </w:r>
      <w:r>
        <w:rPr>
          <w:rFonts w:hint="eastAsia" w:ascii="仿宋_GB2312" w:hAnsi="仿宋_GB2312" w:eastAsia="仿宋_GB2312" w:cs="仿宋_GB2312"/>
          <w:sz w:val="32"/>
          <w:szCs w:val="32"/>
          <w:highlight w:val="none"/>
          <w:lang w:val="en-US" w:eastAsia="zh-CN"/>
        </w:rPr>
        <w:t>产业监管现场核查及履约核查协助服务</w:t>
      </w:r>
      <w:r>
        <w:rPr>
          <w:rFonts w:hint="eastAsia" w:ascii="仿宋_GB2312" w:hAnsi="华文仿宋" w:eastAsia="仿宋_GB2312" w:cs="经典仿宋简"/>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三、时间安排</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bookmarkStart w:id="0" w:name="_GoBack"/>
      <w:r>
        <w:rPr>
          <w:rFonts w:hint="eastAsia" w:ascii="仿宋_GB2312" w:hAnsi="仿宋_GB2312" w:eastAsia="仿宋_GB2312" w:cs="仿宋_GB2312"/>
          <w:color w:val="auto"/>
          <w:sz w:val="32"/>
          <w:szCs w:val="32"/>
        </w:rPr>
        <w:t>自</w:t>
      </w:r>
      <w:r>
        <w:rPr>
          <w:rFonts w:hint="eastAsia" w:ascii="仿宋_GB2312" w:hAnsi="仿宋_GB2312" w:eastAsia="仿宋_GB2312" w:cs="仿宋_GB2312"/>
          <w:color w:val="auto"/>
          <w:sz w:val="32"/>
          <w:szCs w:val="32"/>
          <w:lang w:eastAsia="zh-CN"/>
        </w:rPr>
        <w:t>合同签订之日起，为期</w:t>
      </w:r>
      <w:r>
        <w:rPr>
          <w:rFonts w:hint="eastAsia" w:ascii="仿宋_GB2312" w:hAnsi="仿宋_GB2312" w:eastAsia="仿宋_GB2312" w:cs="仿宋_GB2312"/>
          <w:color w:val="auto"/>
          <w:sz w:val="32"/>
          <w:szCs w:val="32"/>
          <w:lang w:val="en-US" w:eastAsia="zh-CN"/>
        </w:rPr>
        <w:t>12个月。</w:t>
      </w:r>
    </w:p>
    <w:bookmarkEnd w:id="0"/>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四、项目内容</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一）协助龙华区工业和信息化局定期更新已签订的产业发展监管协议建立履约核查台账，按月梳理各项目存在的违约情况并起草相关企业提醒函。结合核查结果，针对后续需签订的产业发展监管协议提出相关意见。</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二）协助龙华区工业和信息化局在正式核查节点三个月前提示被核查项目方并督促其准备相关材料，对自签订合同之日起一年内到达履约核查节点的项目开展项目总投资额、项目投资强度、企业注册地址及股权关系、产值能耗、土地产出率、企业产值及纳税等核查工作，出具核查报告，预计为1</w:t>
      </w:r>
      <w:r>
        <w:rPr>
          <w:rFonts w:hint="eastAsia" w:ascii="仿宋_GB2312" w:hAnsi="仿宋_GB2312" w:eastAsia="仿宋_GB2312" w:cs="仿宋_GB2312"/>
          <w:sz w:val="32"/>
          <w:szCs w:val="32"/>
          <w:highlight w:val="none"/>
          <w:lang w:val="en-US" w:eastAsia="zh-CN"/>
        </w:rPr>
        <w:t>5</w:t>
      </w:r>
      <w:r>
        <w:rPr>
          <w:rFonts w:hint="default" w:ascii="仿宋_GB2312" w:hAnsi="仿宋_GB2312" w:eastAsia="仿宋_GB2312" w:cs="仿宋_GB2312"/>
          <w:sz w:val="32"/>
          <w:szCs w:val="32"/>
          <w:highlight w:val="none"/>
          <w:lang w:val="en-US" w:eastAsia="zh-CN"/>
        </w:rPr>
        <w:t>个项目，按实际审计报告数量据实结算。</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五、报价限额和资质要求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楷体_GB2312" w:hAnsi="楷体_GB2312" w:eastAsia="楷体_GB2312" w:cs="楷体_GB2312"/>
          <w:color w:val="FF0000"/>
          <w:sz w:val="32"/>
          <w:szCs w:val="32"/>
          <w:highlight w:val="none"/>
          <w:lang w:val="en-US" w:eastAsia="zh-CN"/>
        </w:rPr>
      </w:pPr>
      <w:r>
        <w:rPr>
          <w:rFonts w:hint="eastAsia" w:ascii="仿宋_GB2312" w:hAnsi="仿宋_GB2312" w:eastAsia="仿宋_GB2312" w:cs="仿宋_GB2312"/>
          <w:sz w:val="32"/>
          <w:szCs w:val="32"/>
          <w:highlight w:val="none"/>
          <w:lang w:val="en-US" w:eastAsia="zh-CN"/>
        </w:rPr>
        <w:t>该项目费用总计不超过42万元，需具备会计师事务所执业证书。</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黑体" w:hAnsi="黑体" w:eastAsia="黑体" w:cs="仿宋_GB2312"/>
          <w:bCs/>
          <w:color w:val="000000"/>
          <w:sz w:val="32"/>
          <w:szCs w:val="32"/>
          <w:highlight w:val="none"/>
        </w:rPr>
      </w:pPr>
      <w:r>
        <w:rPr>
          <w:rFonts w:hint="eastAsia" w:ascii="黑体" w:hAnsi="黑体" w:eastAsia="黑体" w:cs="仿宋_GB2312"/>
          <w:bCs/>
          <w:color w:val="000000"/>
          <w:sz w:val="32"/>
          <w:szCs w:val="32"/>
          <w:highlight w:val="none"/>
          <w:lang w:eastAsia="zh-CN"/>
        </w:rPr>
        <w:t>六、</w:t>
      </w:r>
      <w:r>
        <w:rPr>
          <w:rFonts w:hint="eastAsia" w:ascii="黑体" w:hAnsi="黑体" w:eastAsia="黑体" w:cs="仿宋_GB2312"/>
          <w:bCs/>
          <w:color w:val="000000"/>
          <w:sz w:val="32"/>
          <w:szCs w:val="32"/>
          <w:highlight w:val="none"/>
        </w:rPr>
        <w:t>评分要求</w:t>
      </w:r>
    </w:p>
    <w:p>
      <w:pPr>
        <w:pStyle w:val="9"/>
        <w:keepNext w:val="0"/>
        <w:keepLines w:val="0"/>
        <w:pageBreakBefore w:val="0"/>
        <w:widowControl/>
        <w:kinsoku/>
        <w:wordWrap/>
        <w:overflowPunct/>
        <w:topLinePunct w:val="0"/>
        <w:autoSpaceDE/>
        <w:autoSpaceDN/>
        <w:bidi w:val="0"/>
        <w:adjustRightInd/>
        <w:snapToGrid/>
        <w:spacing w:after="0" w:line="560" w:lineRule="exact"/>
        <w:ind w:right="0" w:rightChars="0" w:firstLine="640" w:firstLineChars="200"/>
        <w:textAlignment w:val="auto"/>
        <w:rPr>
          <w:rFonts w:hint="eastAsia" w:ascii="楷体" w:hAnsi="楷体" w:eastAsia="楷体" w:cs="楷体"/>
          <w:b w:val="0"/>
          <w:bCs/>
          <w:color w:val="000000"/>
          <w:sz w:val="32"/>
          <w:szCs w:val="32"/>
          <w:highlight w:val="none"/>
          <w:lang w:eastAsia="zh-CN"/>
        </w:rPr>
      </w:pPr>
      <w:r>
        <w:rPr>
          <w:rFonts w:hint="eastAsia" w:ascii="楷体" w:hAnsi="楷体" w:eastAsia="楷体" w:cs="楷体"/>
          <w:b w:val="0"/>
          <w:bCs/>
          <w:color w:val="000000"/>
          <w:sz w:val="32"/>
          <w:szCs w:val="32"/>
          <w:highlight w:val="none"/>
          <w:lang w:eastAsia="zh-CN"/>
        </w:rPr>
        <w:t>（一）评分规则</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黑体" w:hAnsi="黑体" w:eastAsia="黑体" w:cs="仿宋_GB2312"/>
          <w:bCs/>
          <w:color w:val="000000"/>
          <w:sz w:val="32"/>
          <w:szCs w:val="32"/>
          <w:highlight w:val="none"/>
        </w:rPr>
      </w:pPr>
      <w:r>
        <w:rPr>
          <w:rFonts w:hint="eastAsia" w:ascii="仿宋_GB2312" w:eastAsia="仿宋_GB2312"/>
          <w:color w:val="000000"/>
          <w:sz w:val="32"/>
          <w:szCs w:val="32"/>
          <w:highlight w:val="none"/>
        </w:rPr>
        <w:t>采取综合评分标准，</w:t>
      </w:r>
      <w:r>
        <w:rPr>
          <w:rFonts w:hint="eastAsia" w:ascii="仿宋_GB2312" w:eastAsia="仿宋_GB2312"/>
          <w:color w:val="000000"/>
          <w:sz w:val="32"/>
          <w:szCs w:val="32"/>
          <w:highlight w:val="none"/>
          <w:lang w:eastAsia="zh-CN"/>
        </w:rPr>
        <w:t>平均分</w:t>
      </w:r>
      <w:r>
        <w:rPr>
          <w:rFonts w:hint="eastAsia" w:ascii="仿宋_GB2312" w:eastAsia="仿宋_GB2312"/>
          <w:color w:val="000000"/>
          <w:sz w:val="32"/>
          <w:szCs w:val="32"/>
          <w:highlight w:val="none"/>
        </w:rPr>
        <w:t>最高的</w:t>
      </w:r>
      <w:r>
        <w:rPr>
          <w:rFonts w:hint="eastAsia" w:ascii="仿宋_GB2312" w:hAnsi="仿宋" w:eastAsia="仿宋_GB2312" w:cs="仿宋_GB2312"/>
          <w:color w:val="auto"/>
          <w:sz w:val="32"/>
          <w:szCs w:val="32"/>
          <w:highlight w:val="none"/>
        </w:rPr>
        <w:t>报价或投标</w:t>
      </w:r>
      <w:r>
        <w:rPr>
          <w:rFonts w:hint="eastAsia" w:ascii="仿宋_GB2312" w:eastAsia="仿宋_GB2312"/>
          <w:color w:val="000000"/>
          <w:sz w:val="32"/>
          <w:szCs w:val="32"/>
          <w:highlight w:val="none"/>
        </w:rPr>
        <w:t>人为本项目中标人。</w:t>
      </w:r>
    </w:p>
    <w:p>
      <w:pPr>
        <w:pStyle w:val="9"/>
        <w:keepNext w:val="0"/>
        <w:keepLines w:val="0"/>
        <w:pageBreakBefore w:val="0"/>
        <w:widowControl/>
        <w:numPr>
          <w:ilvl w:val="0"/>
          <w:numId w:val="1"/>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楷体" w:hAnsi="楷体" w:eastAsia="楷体" w:cs="楷体"/>
          <w:b w:val="0"/>
          <w:bCs/>
          <w:color w:val="000000"/>
          <w:sz w:val="32"/>
          <w:szCs w:val="32"/>
          <w:highlight w:val="none"/>
        </w:rPr>
      </w:pPr>
      <w:r>
        <w:rPr>
          <w:rFonts w:hint="eastAsia" w:ascii="楷体" w:hAnsi="楷体" w:eastAsia="楷体" w:cs="楷体"/>
          <w:b w:val="0"/>
          <w:bCs/>
          <w:color w:val="000000"/>
          <w:sz w:val="32"/>
          <w:szCs w:val="32"/>
          <w:highlight w:val="none"/>
        </w:rPr>
        <w:t>评分权重</w:t>
      </w:r>
    </w:p>
    <w:tbl>
      <w:tblPr>
        <w:tblStyle w:val="7"/>
        <w:tblW w:w="8755"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883"/>
        <w:gridCol w:w="1681"/>
        <w:gridCol w:w="1724"/>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评分内容</w:t>
            </w:r>
          </w:p>
        </w:tc>
        <w:tc>
          <w:tcPr>
            <w:tcW w:w="1883" w:type="dxa"/>
            <w:noWrap w:val="0"/>
            <w:vAlign w:val="top"/>
          </w:tcPr>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eastAsia="zh-CN"/>
              </w:rPr>
              <w:t>商务能力</w:t>
            </w:r>
          </w:p>
        </w:tc>
        <w:tc>
          <w:tcPr>
            <w:tcW w:w="1681" w:type="dxa"/>
            <w:noWrap w:val="0"/>
            <w:vAlign w:val="top"/>
          </w:tcPr>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eastAsia="zh-CN"/>
              </w:rPr>
              <w:t>技术能力</w:t>
            </w:r>
          </w:p>
        </w:tc>
        <w:tc>
          <w:tcPr>
            <w:tcW w:w="1724" w:type="dxa"/>
            <w:noWrap w:val="0"/>
            <w:vAlign w:val="top"/>
          </w:tcPr>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人员配备</w:t>
            </w:r>
          </w:p>
        </w:tc>
        <w:tc>
          <w:tcPr>
            <w:tcW w:w="1808" w:type="dxa"/>
            <w:noWrap w:val="0"/>
            <w:vAlign w:val="top"/>
          </w:tcPr>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分值</w:t>
            </w:r>
          </w:p>
        </w:tc>
        <w:tc>
          <w:tcPr>
            <w:tcW w:w="1883" w:type="dxa"/>
            <w:noWrap w:val="0"/>
            <w:vAlign w:val="top"/>
          </w:tcPr>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20</w:t>
            </w:r>
            <w:r>
              <w:rPr>
                <w:rFonts w:hint="eastAsia" w:ascii="仿宋_GB2312" w:hAnsi="仿宋_GB2312" w:eastAsia="仿宋_GB2312" w:cs="仿宋_GB2312"/>
                <w:b w:val="0"/>
                <w:bCs/>
                <w:color w:val="000000"/>
                <w:sz w:val="24"/>
                <w:szCs w:val="24"/>
                <w:highlight w:val="none"/>
              </w:rPr>
              <w:t>分</w:t>
            </w:r>
          </w:p>
        </w:tc>
        <w:tc>
          <w:tcPr>
            <w:tcW w:w="1681" w:type="dxa"/>
            <w:noWrap w:val="0"/>
            <w:vAlign w:val="top"/>
          </w:tcPr>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40</w:t>
            </w:r>
            <w:r>
              <w:rPr>
                <w:rFonts w:hint="eastAsia" w:ascii="仿宋_GB2312" w:hAnsi="仿宋_GB2312" w:eastAsia="仿宋_GB2312" w:cs="仿宋_GB2312"/>
                <w:b w:val="0"/>
                <w:bCs/>
                <w:color w:val="000000"/>
                <w:sz w:val="24"/>
                <w:szCs w:val="24"/>
                <w:highlight w:val="none"/>
              </w:rPr>
              <w:t>分</w:t>
            </w:r>
          </w:p>
        </w:tc>
        <w:tc>
          <w:tcPr>
            <w:tcW w:w="1724" w:type="dxa"/>
            <w:noWrap w:val="0"/>
            <w:vAlign w:val="top"/>
          </w:tcPr>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2</w:t>
            </w:r>
            <w:r>
              <w:rPr>
                <w:rFonts w:hint="eastAsia" w:ascii="仿宋_GB2312" w:hAnsi="仿宋_GB2312" w:eastAsia="仿宋_GB2312" w:cs="仿宋_GB2312"/>
                <w:b w:val="0"/>
                <w:bCs/>
                <w:color w:val="000000"/>
                <w:sz w:val="24"/>
                <w:szCs w:val="24"/>
                <w:highlight w:val="none"/>
              </w:rPr>
              <w:t>0分</w:t>
            </w:r>
          </w:p>
        </w:tc>
        <w:tc>
          <w:tcPr>
            <w:tcW w:w="1808" w:type="dxa"/>
            <w:noWrap w:val="0"/>
            <w:vAlign w:val="top"/>
          </w:tcPr>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20分</w:t>
            </w:r>
          </w:p>
        </w:tc>
      </w:tr>
    </w:tbl>
    <w:p>
      <w:pPr>
        <w:pStyle w:val="9"/>
        <w:keepNext w:val="0"/>
        <w:keepLines w:val="0"/>
        <w:pageBreakBefore w:val="0"/>
        <w:widowControl/>
        <w:kinsoku/>
        <w:wordWrap/>
        <w:overflowPunct/>
        <w:topLinePunct w:val="0"/>
        <w:autoSpaceDE/>
        <w:autoSpaceDN/>
        <w:bidi w:val="0"/>
        <w:adjustRightInd/>
        <w:snapToGrid/>
        <w:spacing w:after="0" w:line="560" w:lineRule="exact"/>
        <w:ind w:right="0" w:rightChars="0" w:firstLine="640" w:firstLineChars="200"/>
        <w:textAlignment w:val="auto"/>
        <w:rPr>
          <w:rFonts w:hint="eastAsia" w:ascii="楷体" w:hAnsi="楷体" w:eastAsia="楷体" w:cs="楷体"/>
          <w:b w:val="0"/>
          <w:bCs/>
          <w:color w:val="000000"/>
          <w:sz w:val="32"/>
          <w:szCs w:val="32"/>
          <w:highlight w:val="none"/>
        </w:rPr>
      </w:pPr>
      <w:r>
        <w:rPr>
          <w:rFonts w:hint="eastAsia" w:ascii="楷体" w:hAnsi="楷体" w:eastAsia="楷体" w:cs="楷体"/>
          <w:b w:val="0"/>
          <w:bCs/>
          <w:color w:val="000000"/>
          <w:sz w:val="32"/>
          <w:szCs w:val="32"/>
          <w:highlight w:val="none"/>
          <w:lang w:eastAsia="zh-CN"/>
        </w:rPr>
        <w:t>（三）评分标准</w:t>
      </w:r>
    </w:p>
    <w:p>
      <w:pPr>
        <w:keepNext w:val="0"/>
        <w:keepLines w:val="0"/>
        <w:pageBreakBefore w:val="0"/>
        <w:widowControl/>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1.商务能力</w:t>
      </w:r>
    </w:p>
    <w:tbl>
      <w:tblPr>
        <w:tblStyle w:val="6"/>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261"/>
        <w:gridCol w:w="5156"/>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项目</w:t>
            </w:r>
          </w:p>
        </w:tc>
        <w:tc>
          <w:tcPr>
            <w:tcW w:w="1815" w:type="dxa"/>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6" w:hRule="atLeast"/>
        </w:trPr>
        <w:tc>
          <w:tcPr>
            <w:tcW w:w="519" w:type="dxa"/>
            <w:vMerge w:val="restart"/>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商务</w:t>
            </w:r>
            <w:r>
              <w:rPr>
                <w:rFonts w:hint="eastAsia" w:ascii="仿宋_GB2312" w:hAnsi="仿宋_GB2312" w:eastAsia="仿宋_GB2312" w:cs="仿宋_GB2312"/>
                <w:b w:val="0"/>
                <w:bCs/>
                <w:color w:val="auto"/>
                <w:sz w:val="24"/>
                <w:szCs w:val="24"/>
                <w:highlight w:val="none"/>
                <w:lang w:eastAsia="zh-CN"/>
              </w:rPr>
              <w:t>能力</w:t>
            </w:r>
            <w:r>
              <w:rPr>
                <w:rFonts w:hint="eastAsia" w:ascii="仿宋_GB2312" w:hAnsi="仿宋_GB2312" w:eastAsia="仿宋_GB2312" w:cs="仿宋_GB2312"/>
                <w:b w:val="0"/>
                <w:bCs/>
                <w:color w:val="auto"/>
                <w:sz w:val="24"/>
                <w:szCs w:val="24"/>
                <w:highlight w:val="none"/>
              </w:rPr>
              <w:t>评分</w:t>
            </w:r>
            <w:r>
              <w:rPr>
                <w:rFonts w:hint="eastAsia" w:ascii="仿宋_GB2312" w:hAnsi="仿宋_GB2312" w:eastAsia="仿宋_GB2312" w:cs="仿宋_GB2312"/>
                <w:b w:val="0"/>
                <w:bCs/>
                <w:color w:val="auto"/>
                <w:sz w:val="24"/>
                <w:szCs w:val="24"/>
                <w:highlight w:val="none"/>
                <w:lang w:val="en-US" w:eastAsia="zh-CN"/>
              </w:rPr>
              <w:t>2</w:t>
            </w:r>
            <w:r>
              <w:rPr>
                <w:rFonts w:hint="eastAsia" w:ascii="仿宋_GB2312" w:hAnsi="仿宋_GB2312" w:eastAsia="仿宋_GB2312" w:cs="仿宋_GB2312"/>
                <w:b w:val="0"/>
                <w:bCs/>
                <w:color w:val="auto"/>
                <w:sz w:val="24"/>
                <w:szCs w:val="24"/>
                <w:highlight w:val="none"/>
              </w:rPr>
              <w:t>0分</w:t>
            </w:r>
          </w:p>
        </w:tc>
        <w:tc>
          <w:tcPr>
            <w:tcW w:w="1261"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经验</w:t>
            </w:r>
          </w:p>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sz w:val="24"/>
                <w:szCs w:val="24"/>
                <w:highlight w:val="none"/>
              </w:rPr>
              <w:t>（</w:t>
            </w:r>
            <w:r>
              <w:rPr>
                <w:rFonts w:hint="eastAsia" w:ascii="仿宋_GB2312" w:hAnsi="仿宋_GB2312" w:eastAsia="仿宋_GB2312" w:cs="仿宋_GB2312"/>
                <w:b w:val="0"/>
                <w:bCs/>
                <w:color w:val="auto"/>
                <w:sz w:val="24"/>
                <w:szCs w:val="24"/>
                <w:highlight w:val="none"/>
                <w:lang w:val="en-US" w:eastAsia="zh-CN"/>
              </w:rPr>
              <w:t>15</w:t>
            </w:r>
            <w:r>
              <w:rPr>
                <w:rFonts w:hint="eastAsia" w:ascii="仿宋_GB2312" w:hAnsi="仿宋_GB2312" w:eastAsia="仿宋_GB2312" w:cs="仿宋_GB2312"/>
                <w:b w:val="0"/>
                <w:bCs/>
                <w:color w:val="auto"/>
                <w:sz w:val="24"/>
                <w:szCs w:val="24"/>
                <w:highlight w:val="none"/>
              </w:rPr>
              <w:t>分）</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ind w:right="0" w:rightChars="0"/>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Cs/>
                <w:color w:val="auto"/>
                <w:sz w:val="24"/>
              </w:rPr>
              <w:t>近3年具有</w:t>
            </w:r>
            <w:r>
              <w:rPr>
                <w:rFonts w:hint="eastAsia" w:ascii="仿宋_GB2312" w:hAnsi="仿宋_GB2312" w:eastAsia="仿宋_GB2312" w:cs="仿宋_GB2312"/>
                <w:bCs/>
                <w:color w:val="auto"/>
                <w:sz w:val="24"/>
                <w:lang w:eastAsia="zh-CN"/>
              </w:rPr>
              <w:t>审计</w:t>
            </w:r>
            <w:r>
              <w:rPr>
                <w:rFonts w:hint="eastAsia" w:ascii="仿宋_GB2312" w:hAnsi="仿宋_GB2312" w:eastAsia="仿宋_GB2312" w:cs="仿宋_GB2312"/>
                <w:bCs/>
                <w:color w:val="auto"/>
                <w:sz w:val="24"/>
                <w:lang w:val="en-US" w:eastAsia="zh-CN"/>
              </w:rPr>
              <w:t>/审核/咨询等相关专业</w:t>
            </w:r>
            <w:r>
              <w:rPr>
                <w:rFonts w:hint="eastAsia" w:ascii="仿宋_GB2312" w:hAnsi="仿宋_GB2312" w:eastAsia="仿宋_GB2312" w:cs="仿宋_GB2312"/>
                <w:bCs/>
                <w:color w:val="auto"/>
                <w:sz w:val="24"/>
              </w:rPr>
              <w:t>经验，每提供一项以往项目经验得</w:t>
            </w:r>
            <w:r>
              <w:rPr>
                <w:rFonts w:hint="eastAsia" w:ascii="仿宋_GB2312" w:hAnsi="仿宋_GB2312" w:eastAsia="仿宋_GB2312" w:cs="仿宋_GB2312"/>
                <w:bCs/>
                <w:color w:val="auto"/>
                <w:sz w:val="24"/>
                <w:lang w:val="en-US" w:eastAsia="zh-CN"/>
              </w:rPr>
              <w:t>5</w:t>
            </w:r>
            <w:r>
              <w:rPr>
                <w:rFonts w:hint="eastAsia" w:ascii="仿宋_GB2312" w:hAnsi="仿宋_GB2312" w:eastAsia="仿宋_GB2312" w:cs="仿宋_GB2312"/>
                <w:bCs/>
                <w:color w:val="auto"/>
                <w:sz w:val="24"/>
              </w:rPr>
              <w:t>分，</w:t>
            </w:r>
            <w:r>
              <w:rPr>
                <w:rFonts w:hint="eastAsia" w:ascii="仿宋_GB2312" w:hAnsi="仿宋_GB2312" w:eastAsia="仿宋_GB2312" w:cs="仿宋_GB2312"/>
                <w:b w:val="0"/>
                <w:bCs/>
                <w:color w:val="auto"/>
                <w:sz w:val="24"/>
                <w:szCs w:val="24"/>
                <w:highlight w:val="none"/>
                <w:lang w:val="en-US" w:eastAsia="zh-CN"/>
              </w:rPr>
              <w:t>2个可得10分，3个及以上得15分</w:t>
            </w:r>
            <w:r>
              <w:rPr>
                <w:rFonts w:hint="eastAsia" w:ascii="仿宋_GB2312" w:hAnsi="仿宋_GB2312" w:eastAsia="仿宋_GB2312" w:cs="仿宋_GB2312"/>
                <w:b w:val="0"/>
                <w:bCs/>
                <w:color w:val="auto"/>
                <w:sz w:val="24"/>
                <w:szCs w:val="24"/>
                <w:highlight w:val="none"/>
                <w:lang w:eastAsia="zh-CN"/>
              </w:rPr>
              <w:t>。</w:t>
            </w:r>
          </w:p>
        </w:tc>
        <w:tc>
          <w:tcPr>
            <w:tcW w:w="1815"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left"/>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提供</w:t>
            </w:r>
            <w:r>
              <w:rPr>
                <w:rFonts w:hint="eastAsia" w:ascii="仿宋_GB2312" w:hAnsi="仿宋_GB2312" w:eastAsia="仿宋_GB2312" w:cs="仿宋_GB2312"/>
                <w:b w:val="0"/>
                <w:bCs/>
                <w:color w:val="auto"/>
                <w:sz w:val="24"/>
                <w:szCs w:val="24"/>
                <w:highlight w:val="none"/>
                <w:lang w:eastAsia="zh-CN"/>
              </w:rPr>
              <w:t>项目经验材料（如合同、成果）</w:t>
            </w:r>
            <w:r>
              <w:rPr>
                <w:rFonts w:hint="eastAsia" w:ascii="仿宋_GB2312" w:hAnsi="仿宋_GB2312" w:eastAsia="仿宋_GB2312" w:cs="仿宋_GB2312"/>
                <w:b w:val="0"/>
                <w:bCs/>
                <w:color w:val="auto"/>
                <w:sz w:val="24"/>
                <w:szCs w:val="24"/>
                <w:highlight w:val="none"/>
              </w:rPr>
              <w:t>证明复印件</w:t>
            </w: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rPr>
              <w:t>并加盖公章</w:t>
            </w:r>
            <w:r>
              <w:rPr>
                <w:rFonts w:hint="eastAsia" w:ascii="仿宋_GB2312" w:hAnsi="仿宋_GB2312" w:eastAsia="仿宋_GB2312" w:cs="仿宋_GB2312"/>
                <w:b w:val="0"/>
                <w:bCs/>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auto"/>
                <w:sz w:val="24"/>
                <w:szCs w:val="24"/>
                <w:highlight w:val="none"/>
              </w:rPr>
            </w:pPr>
          </w:p>
        </w:tc>
        <w:tc>
          <w:tcPr>
            <w:tcW w:w="1261"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信誉</w:t>
            </w:r>
          </w:p>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5分</w:t>
            </w:r>
            <w:r>
              <w:rPr>
                <w:rFonts w:hint="eastAsia" w:ascii="仿宋_GB2312" w:hAnsi="仿宋_GB2312" w:eastAsia="仿宋_GB2312" w:cs="仿宋_GB2312"/>
                <w:b w:val="0"/>
                <w:bCs/>
                <w:color w:val="auto"/>
                <w:sz w:val="24"/>
                <w:szCs w:val="24"/>
                <w:highlight w:val="none"/>
                <w:lang w:eastAsia="zh-CN"/>
              </w:rPr>
              <w:t>）</w:t>
            </w:r>
          </w:p>
        </w:tc>
        <w:tc>
          <w:tcPr>
            <w:tcW w:w="5156" w:type="dxa"/>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eastAsia="zh-CN"/>
              </w:rPr>
              <w:t>在业界具有良好的诚信和美誉度，公共信用信息报告时间需在一个月内，无投标诚信问题，可得满分</w:t>
            </w:r>
            <w:r>
              <w:rPr>
                <w:rFonts w:hint="eastAsia" w:ascii="仿宋_GB2312" w:hAnsi="仿宋_GB2312" w:eastAsia="仿宋_GB2312" w:cs="仿宋_GB2312"/>
                <w:b w:val="0"/>
                <w:bCs/>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根据《深圳市政府采购供应商诚信管理暂行办法》相关规定，投标单位在参与政府采购活动中出现诚信相关问题且在相关主管部门处理措施实施期限内的本项不得分。</w:t>
            </w:r>
          </w:p>
        </w:tc>
        <w:tc>
          <w:tcPr>
            <w:tcW w:w="1815" w:type="dxa"/>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rPr>
              <w:t>须提供《诚信承诺函》原件加盖投标人公章，按招标文件格式要求提供，不提供不得分。如被认定提供的陈述与事实不符的，依法追究其责任。近三年内无行贿犯罪记录、无不良记录承诺函</w:t>
            </w:r>
            <w:r>
              <w:rPr>
                <w:rFonts w:hint="eastAsia" w:ascii="仿宋_GB2312" w:hAnsi="仿宋_GB2312" w:eastAsia="仿宋_GB2312" w:cs="仿宋_GB2312"/>
                <w:b w:val="0"/>
                <w:bCs/>
                <w:color w:val="auto"/>
                <w:sz w:val="24"/>
                <w:szCs w:val="24"/>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480" w:firstLineChars="200"/>
        <w:jc w:val="both"/>
        <w:textAlignment w:val="auto"/>
        <w:outlineLvl w:val="9"/>
        <w:rPr>
          <w:rFonts w:hint="eastAsia" w:ascii="仿宋_GB2312" w:eastAsia="仿宋_GB2312"/>
          <w:color w:val="000000"/>
          <w:sz w:val="32"/>
          <w:szCs w:val="32"/>
          <w:highlight w:val="none"/>
          <w:lang w:val="en-US" w:eastAsia="zh-CN"/>
        </w:rPr>
      </w:pPr>
      <w:r>
        <w:rPr>
          <w:rFonts w:hint="eastAsia" w:ascii="宋体" w:hAnsi="宋体" w:eastAsia="宋体"/>
          <w:b w:val="0"/>
          <w:bCs/>
          <w:color w:val="000000"/>
          <w:sz w:val="24"/>
          <w:highlight w:val="none"/>
          <w:lang w:eastAsia="zh-CN"/>
        </w:rPr>
        <w:t>注：</w:t>
      </w:r>
      <w:r>
        <w:rPr>
          <w:rFonts w:hint="eastAsia" w:ascii="宋体" w:hAnsi="宋体"/>
          <w:b w:val="0"/>
          <w:bCs/>
          <w:color w:val="000000"/>
          <w:sz w:val="24"/>
          <w:highlight w:val="none"/>
        </w:rPr>
        <w:t>不提供证明文件或提供的证明文件不合格者，不得分。</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2.技术能力</w:t>
      </w:r>
    </w:p>
    <w:tbl>
      <w:tblPr>
        <w:tblStyle w:val="6"/>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22"/>
        <w:gridCol w:w="5295"/>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kern w:val="0"/>
                <w:sz w:val="24"/>
                <w:szCs w:val="24"/>
                <w:highlight w:val="none"/>
              </w:rPr>
              <w:t>项目</w:t>
            </w:r>
          </w:p>
        </w:tc>
        <w:tc>
          <w:tcPr>
            <w:tcW w:w="1815" w:type="dxa"/>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kern w:val="0"/>
                <w:sz w:val="24"/>
                <w:szCs w:val="24"/>
                <w:highlight w:val="none"/>
                <w:lang w:eastAsia="zh-CN"/>
              </w:rPr>
            </w:pPr>
            <w:r>
              <w:rPr>
                <w:rFonts w:hint="eastAsia" w:ascii="仿宋_GB2312" w:hAnsi="仿宋_GB2312" w:eastAsia="仿宋_GB2312" w:cs="仿宋_GB2312"/>
                <w:b w:val="0"/>
                <w:bCs/>
                <w:color w:val="000000"/>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trPr>
        <w:tc>
          <w:tcPr>
            <w:tcW w:w="519" w:type="dxa"/>
            <w:vMerge w:val="restart"/>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技术能力</w:t>
            </w:r>
            <w:r>
              <w:rPr>
                <w:rFonts w:hint="eastAsia" w:ascii="仿宋_GB2312" w:hAnsi="仿宋_GB2312" w:eastAsia="仿宋_GB2312" w:cs="仿宋_GB2312"/>
                <w:b w:val="0"/>
                <w:bCs/>
                <w:color w:val="000000"/>
                <w:sz w:val="24"/>
                <w:szCs w:val="24"/>
                <w:highlight w:val="none"/>
              </w:rPr>
              <w:t>评分</w:t>
            </w:r>
            <w:r>
              <w:rPr>
                <w:rFonts w:hint="eastAsia" w:ascii="仿宋_GB2312" w:hAnsi="仿宋_GB2312" w:eastAsia="仿宋_GB2312" w:cs="仿宋_GB2312"/>
                <w:b w:val="0"/>
                <w:bCs/>
                <w:color w:val="000000"/>
                <w:sz w:val="24"/>
                <w:szCs w:val="24"/>
                <w:highlight w:val="none"/>
                <w:lang w:val="en-US" w:eastAsia="zh-CN"/>
              </w:rPr>
              <w:t>40</w:t>
            </w:r>
            <w:r>
              <w:rPr>
                <w:rFonts w:hint="eastAsia" w:ascii="仿宋_GB2312" w:hAnsi="仿宋_GB2312" w:eastAsia="仿宋_GB2312" w:cs="仿宋_GB2312"/>
                <w:b w:val="0"/>
                <w:bCs/>
                <w:color w:val="000000"/>
                <w:sz w:val="24"/>
                <w:szCs w:val="24"/>
                <w:highlight w:val="none"/>
              </w:rPr>
              <w:t>分</w:t>
            </w:r>
          </w:p>
        </w:tc>
        <w:tc>
          <w:tcPr>
            <w:tcW w:w="1122"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方案</w:t>
            </w:r>
          </w:p>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rPr>
              <w:t>（</w:t>
            </w:r>
            <w:r>
              <w:rPr>
                <w:rFonts w:hint="eastAsia" w:ascii="仿宋_GB2312" w:hAnsi="仿宋_GB2312" w:eastAsia="仿宋_GB2312" w:cs="仿宋_GB2312"/>
                <w:b w:val="0"/>
                <w:bCs/>
                <w:color w:val="000000"/>
                <w:sz w:val="24"/>
                <w:szCs w:val="24"/>
                <w:highlight w:val="none"/>
                <w:lang w:val="en-US" w:eastAsia="zh-CN"/>
              </w:rPr>
              <w:t>10</w:t>
            </w:r>
            <w:r>
              <w:rPr>
                <w:rFonts w:hint="eastAsia" w:ascii="仿宋_GB2312" w:hAnsi="仿宋_GB2312" w:eastAsia="仿宋_GB2312" w:cs="仿宋_GB2312"/>
                <w:b w:val="0"/>
                <w:bCs/>
                <w:color w:val="000000"/>
                <w:sz w:val="24"/>
                <w:szCs w:val="24"/>
                <w:highlight w:val="none"/>
              </w:rPr>
              <w:t>分）</w:t>
            </w:r>
          </w:p>
        </w:tc>
        <w:tc>
          <w:tcPr>
            <w:tcW w:w="5295"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left"/>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项目方案（工作措施、工作方法、工作手段、工作流程）</w:t>
            </w:r>
          </w:p>
        </w:tc>
        <w:tc>
          <w:tcPr>
            <w:tcW w:w="1815" w:type="dxa"/>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519" w:type="dxa"/>
            <w:vMerge w:val="continue"/>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sz w:val="24"/>
                <w:szCs w:val="24"/>
                <w:highlight w:val="none"/>
              </w:rPr>
            </w:pPr>
          </w:p>
        </w:tc>
        <w:tc>
          <w:tcPr>
            <w:tcW w:w="1122" w:type="dxa"/>
            <w:noWrap w:val="0"/>
            <w:vAlign w:val="center"/>
          </w:tcPr>
          <w:p>
            <w:pPr>
              <w:keepNext w:val="0"/>
              <w:keepLines w:val="0"/>
              <w:pageBreakBefore w:val="0"/>
              <w:kinsoku/>
              <w:wordWrap/>
              <w:overflowPunct/>
              <w:topLinePunct w:val="0"/>
              <w:autoSpaceDE/>
              <w:autoSpaceDN/>
              <w:bidi w:val="0"/>
              <w:spacing w:after="0" w:line="560" w:lineRule="exact"/>
              <w:ind w:right="0" w:rightChars="0"/>
              <w:jc w:val="center"/>
              <w:textAlignment w:val="auto"/>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rPr>
              <w:t>重难点分析</w:t>
            </w:r>
          </w:p>
          <w:p>
            <w:pPr>
              <w:keepNext w:val="0"/>
              <w:keepLines w:val="0"/>
              <w:pageBreakBefore w:val="0"/>
              <w:kinsoku/>
              <w:wordWrap/>
              <w:overflowPunct/>
              <w:topLinePunct w:val="0"/>
              <w:autoSpaceDE/>
              <w:autoSpaceDN/>
              <w:bidi w:val="0"/>
              <w:spacing w:after="0" w:line="560" w:lineRule="exact"/>
              <w:ind w:right="0" w:rightChars="0"/>
              <w:jc w:val="center"/>
              <w:textAlignment w:val="auto"/>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Cs/>
                <w:color w:val="000000"/>
                <w:sz w:val="24"/>
                <w:highlight w:val="none"/>
              </w:rPr>
              <w:t>（10分）</w:t>
            </w:r>
          </w:p>
        </w:tc>
        <w:tc>
          <w:tcPr>
            <w:tcW w:w="5295" w:type="dxa"/>
            <w:noWrap w:val="0"/>
            <w:vAlign w:val="center"/>
          </w:tcPr>
          <w:p>
            <w:pPr>
              <w:keepNext w:val="0"/>
              <w:keepLines w:val="0"/>
              <w:pageBreakBefore w:val="0"/>
              <w:kinsoku/>
              <w:wordWrap/>
              <w:overflowPunct/>
              <w:topLinePunct w:val="0"/>
              <w:autoSpaceDE/>
              <w:autoSpaceDN/>
              <w:bidi w:val="0"/>
              <w:spacing w:after="0" w:line="560" w:lineRule="exact"/>
              <w:ind w:right="0" w:rightChars="0"/>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Cs/>
                <w:color w:val="000000"/>
                <w:sz w:val="24"/>
                <w:highlight w:val="none"/>
              </w:rPr>
              <w:t>项目重点难点分析、应对措施及相关的合理化建议</w:t>
            </w:r>
          </w:p>
        </w:tc>
        <w:tc>
          <w:tcPr>
            <w:tcW w:w="1815"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left"/>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sz w:val="24"/>
                <w:szCs w:val="24"/>
                <w:highlight w:val="none"/>
              </w:rPr>
            </w:pPr>
          </w:p>
        </w:tc>
        <w:tc>
          <w:tcPr>
            <w:tcW w:w="1122"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成果</w:t>
            </w:r>
          </w:p>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15分</w:t>
            </w:r>
            <w:r>
              <w:rPr>
                <w:rFonts w:hint="eastAsia" w:ascii="仿宋_GB2312" w:hAnsi="仿宋_GB2312" w:eastAsia="仿宋_GB2312" w:cs="仿宋_GB2312"/>
                <w:b w:val="0"/>
                <w:bCs/>
                <w:color w:val="000000"/>
                <w:sz w:val="24"/>
                <w:szCs w:val="24"/>
                <w:highlight w:val="none"/>
                <w:lang w:eastAsia="zh-CN"/>
              </w:rPr>
              <w:t>）</w:t>
            </w:r>
          </w:p>
        </w:tc>
        <w:tc>
          <w:tcPr>
            <w:tcW w:w="5295"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项目预期效果与项目需求的切合程度</w:t>
            </w:r>
          </w:p>
        </w:tc>
        <w:tc>
          <w:tcPr>
            <w:tcW w:w="1815"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left"/>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sz w:val="24"/>
                <w:szCs w:val="24"/>
                <w:highlight w:val="none"/>
              </w:rPr>
            </w:pPr>
          </w:p>
        </w:tc>
        <w:tc>
          <w:tcPr>
            <w:tcW w:w="1122"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服务承诺</w:t>
            </w:r>
          </w:p>
          <w:p>
            <w:pPr>
              <w:keepNext w:val="0"/>
              <w:keepLines w:val="0"/>
              <w:pageBreakBefore w:val="0"/>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5分</w:t>
            </w:r>
            <w:r>
              <w:rPr>
                <w:rFonts w:hint="eastAsia" w:ascii="仿宋_GB2312" w:hAnsi="仿宋_GB2312" w:eastAsia="仿宋_GB2312" w:cs="仿宋_GB2312"/>
                <w:b w:val="0"/>
                <w:bCs/>
                <w:color w:val="000000"/>
                <w:sz w:val="24"/>
                <w:szCs w:val="24"/>
                <w:highlight w:val="none"/>
                <w:lang w:eastAsia="zh-CN"/>
              </w:rPr>
              <w:t>）</w:t>
            </w:r>
          </w:p>
        </w:tc>
        <w:tc>
          <w:tcPr>
            <w:tcW w:w="5295"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textAlignment w:val="auto"/>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项目完成后的服务承诺和违约承诺</w:t>
            </w:r>
          </w:p>
        </w:tc>
        <w:tc>
          <w:tcPr>
            <w:tcW w:w="1815" w:type="dxa"/>
            <w:noWrap w:val="0"/>
            <w:vAlign w:val="center"/>
          </w:tcPr>
          <w:p>
            <w:pPr>
              <w:keepNext w:val="0"/>
              <w:keepLines w:val="0"/>
              <w:pageBreakBefore w:val="0"/>
              <w:kinsoku/>
              <w:wordWrap/>
              <w:overflowPunct/>
              <w:topLinePunct w:val="0"/>
              <w:autoSpaceDE/>
              <w:autoSpaceDN/>
              <w:bidi w:val="0"/>
              <w:adjustRightInd/>
              <w:snapToGrid/>
              <w:spacing w:after="0" w:line="560" w:lineRule="exact"/>
              <w:ind w:right="0" w:rightChars="0"/>
              <w:jc w:val="left"/>
              <w:textAlignment w:val="auto"/>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bl>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3.人员配备</w:t>
      </w:r>
    </w:p>
    <w:tbl>
      <w:tblPr>
        <w:tblStyle w:val="6"/>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22"/>
        <w:gridCol w:w="5295"/>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color w:val="auto"/>
                <w:kern w:val="0"/>
                <w:sz w:val="24"/>
              </w:rPr>
            </w:pPr>
            <w:r>
              <w:rPr>
                <w:rFonts w:hint="eastAsia" w:ascii="仿宋_GB2312" w:hAnsi="仿宋_GB2312" w:eastAsia="仿宋_GB2312" w:cs="仿宋_GB2312"/>
                <w:b/>
                <w:color w:val="auto"/>
                <w:kern w:val="0"/>
                <w:sz w:val="24"/>
              </w:rPr>
              <w:t>项目</w:t>
            </w:r>
          </w:p>
        </w:tc>
        <w:tc>
          <w:tcPr>
            <w:tcW w:w="1815"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
                <w:color w:val="auto"/>
                <w:kern w:val="0"/>
                <w:sz w:val="24"/>
              </w:rPr>
            </w:pPr>
            <w:r>
              <w:rPr>
                <w:rFonts w:hint="eastAsia" w:ascii="仿宋_GB2312" w:hAnsi="仿宋_GB2312" w:eastAsia="仿宋_GB2312" w:cs="仿宋_GB2312"/>
                <w:b/>
                <w:color w:val="auto"/>
                <w:kern w:val="0"/>
                <w:sz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519"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Cs/>
                <w:color w:val="auto"/>
                <w:sz w:val="24"/>
              </w:rPr>
            </w:pPr>
            <w:r>
              <w:rPr>
                <w:rFonts w:hint="eastAsia" w:ascii="仿宋_GB2312" w:hAnsi="仿宋_GB2312" w:eastAsia="仿宋_GB2312" w:cs="仿宋_GB2312"/>
                <w:b/>
                <w:color w:val="auto"/>
                <w:sz w:val="24"/>
              </w:rPr>
              <w:t>人员配备评分20分</w:t>
            </w:r>
          </w:p>
        </w:tc>
        <w:tc>
          <w:tcPr>
            <w:tcW w:w="1122" w:type="dxa"/>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服务团队人数（</w:t>
            </w:r>
            <w:r>
              <w:rPr>
                <w:rFonts w:hint="eastAsia" w:ascii="仿宋_GB2312" w:hAnsi="仿宋_GB2312" w:eastAsia="仿宋_GB2312" w:cs="仿宋_GB2312"/>
                <w:bCs/>
                <w:color w:val="auto"/>
                <w:sz w:val="24"/>
                <w:lang w:val="en-US" w:eastAsia="zh-CN"/>
              </w:rPr>
              <w:t>5</w:t>
            </w:r>
            <w:r>
              <w:rPr>
                <w:rFonts w:hint="eastAsia" w:ascii="仿宋_GB2312" w:hAnsi="仿宋_GB2312" w:eastAsia="仿宋_GB2312" w:cs="仿宋_GB2312"/>
                <w:bCs/>
                <w:color w:val="auto"/>
                <w:sz w:val="24"/>
              </w:rPr>
              <w:t>分）</w:t>
            </w:r>
          </w:p>
        </w:tc>
        <w:tc>
          <w:tcPr>
            <w:tcW w:w="5295" w:type="dxa"/>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left"/>
              <w:textAlignment w:val="auto"/>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分档评分：</w:t>
            </w:r>
            <w:r>
              <w:rPr>
                <w:rFonts w:hint="eastAsia" w:ascii="仿宋_GB2312" w:hAnsi="仿宋_GB2312" w:eastAsia="仿宋_GB2312" w:cs="仿宋_GB2312"/>
                <w:bCs/>
                <w:color w:val="auto"/>
                <w:sz w:val="24"/>
                <w:lang w:val="en-US" w:eastAsia="zh-CN"/>
              </w:rPr>
              <w:t>2</w:t>
            </w:r>
            <w:r>
              <w:rPr>
                <w:rFonts w:hint="eastAsia" w:ascii="仿宋_GB2312" w:hAnsi="仿宋_GB2312" w:eastAsia="仿宋_GB2312" w:cs="仿宋_GB2312"/>
                <w:bCs/>
                <w:color w:val="auto"/>
                <w:sz w:val="24"/>
              </w:rPr>
              <w:t>人得</w:t>
            </w:r>
            <w:r>
              <w:rPr>
                <w:rFonts w:hint="eastAsia" w:ascii="仿宋_GB2312" w:hAnsi="仿宋_GB2312" w:eastAsia="仿宋_GB2312" w:cs="仿宋_GB2312"/>
                <w:bCs/>
                <w:color w:val="auto"/>
                <w:sz w:val="24"/>
                <w:lang w:val="en-US" w:eastAsia="zh-CN"/>
              </w:rPr>
              <w:t>3</w:t>
            </w:r>
            <w:r>
              <w:rPr>
                <w:rFonts w:hint="eastAsia" w:ascii="仿宋_GB2312" w:hAnsi="仿宋_GB2312" w:eastAsia="仿宋_GB2312" w:cs="仿宋_GB2312"/>
                <w:bCs/>
                <w:color w:val="auto"/>
                <w:sz w:val="24"/>
              </w:rPr>
              <w:t>分，</w:t>
            </w:r>
            <w:r>
              <w:rPr>
                <w:rFonts w:hint="eastAsia" w:ascii="仿宋_GB2312" w:hAnsi="仿宋_GB2312" w:eastAsia="仿宋_GB2312" w:cs="仿宋_GB2312"/>
                <w:bCs/>
                <w:color w:val="auto"/>
                <w:sz w:val="24"/>
                <w:lang w:val="en-US" w:eastAsia="zh-CN"/>
              </w:rPr>
              <w:t>3人及以上的得5分</w:t>
            </w:r>
            <w:r>
              <w:rPr>
                <w:rFonts w:hint="eastAsia" w:ascii="仿宋_GB2312" w:hAnsi="仿宋_GB2312" w:eastAsia="仿宋_GB2312" w:cs="仿宋_GB2312"/>
                <w:bCs/>
                <w:color w:val="auto"/>
                <w:sz w:val="24"/>
              </w:rPr>
              <w:t>。</w:t>
            </w:r>
          </w:p>
        </w:tc>
        <w:tc>
          <w:tcPr>
            <w:tcW w:w="1815" w:type="dxa"/>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left"/>
              <w:textAlignment w:val="auto"/>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2" w:hRule="atLeast"/>
        </w:trPr>
        <w:tc>
          <w:tcPr>
            <w:tcW w:w="519"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Cs/>
                <w:color w:val="auto"/>
                <w:sz w:val="24"/>
              </w:rPr>
            </w:pPr>
          </w:p>
        </w:tc>
        <w:tc>
          <w:tcPr>
            <w:tcW w:w="1122" w:type="dxa"/>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center"/>
              <w:textAlignment w:val="auto"/>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专业人员（</w:t>
            </w:r>
            <w:r>
              <w:rPr>
                <w:rFonts w:hint="eastAsia" w:ascii="仿宋_GB2312" w:hAnsi="仿宋_GB2312" w:eastAsia="仿宋_GB2312" w:cs="仿宋_GB2312"/>
                <w:bCs/>
                <w:color w:val="auto"/>
                <w:sz w:val="24"/>
                <w:lang w:val="en-US" w:eastAsia="zh-CN"/>
              </w:rPr>
              <w:t>15</w:t>
            </w:r>
            <w:r>
              <w:rPr>
                <w:rFonts w:hint="eastAsia" w:ascii="仿宋_GB2312" w:hAnsi="仿宋_GB2312" w:eastAsia="仿宋_GB2312" w:cs="仿宋_GB2312"/>
                <w:bCs/>
                <w:color w:val="auto"/>
                <w:sz w:val="24"/>
              </w:rPr>
              <w:t>分）</w:t>
            </w:r>
          </w:p>
        </w:tc>
        <w:tc>
          <w:tcPr>
            <w:tcW w:w="5295" w:type="dxa"/>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left"/>
              <w:textAlignment w:val="auto"/>
              <w:rPr>
                <w:rFonts w:hint="default"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eastAsia="zh-CN"/>
              </w:rPr>
              <w:t>配</w:t>
            </w:r>
            <w:r>
              <w:rPr>
                <w:rFonts w:hint="eastAsia" w:ascii="仿宋_GB2312" w:hAnsi="仿宋_GB2312" w:eastAsia="仿宋_GB2312" w:cs="仿宋_GB2312"/>
                <w:bCs/>
                <w:color w:val="auto"/>
                <w:sz w:val="24"/>
                <w:lang w:eastAsia="zh-CN"/>
              </w:rPr>
              <w:t>备项目负责人1名，</w:t>
            </w:r>
            <w:r>
              <w:rPr>
                <w:rFonts w:hint="eastAsia" w:ascii="仿宋_GB2312" w:hAnsi="仿宋_GB2312" w:eastAsia="仿宋_GB2312" w:cs="仿宋_GB2312"/>
                <w:bCs/>
                <w:color w:val="auto"/>
                <w:sz w:val="24"/>
                <w:lang w:val="en-US" w:eastAsia="zh-CN"/>
              </w:rPr>
              <w:t>需具有注册会计师执业证书</w:t>
            </w:r>
            <w:r>
              <w:rPr>
                <w:rFonts w:hint="eastAsia" w:ascii="仿宋_GB2312" w:hAnsi="仿宋_GB2312" w:eastAsia="仿宋_GB2312" w:cs="仿宋_GB2312"/>
                <w:bCs/>
                <w:color w:val="auto"/>
                <w:sz w:val="24"/>
                <w:highlight w:val="none"/>
                <w:lang w:val="en-US" w:eastAsia="zh-CN"/>
              </w:rPr>
              <w:t>，得8分；</w:t>
            </w:r>
            <w:r>
              <w:rPr>
                <w:rFonts w:hint="eastAsia" w:ascii="仿宋_GB2312" w:hAnsi="仿宋_GB2312" w:eastAsia="仿宋_GB2312" w:cs="仿宋_GB2312"/>
                <w:bCs/>
                <w:color w:val="auto"/>
                <w:sz w:val="24"/>
                <w:highlight w:val="none"/>
                <w:lang w:eastAsia="zh-CN"/>
              </w:rPr>
              <w:t>项目成员</w:t>
            </w:r>
            <w:r>
              <w:rPr>
                <w:rFonts w:hint="eastAsia" w:ascii="仿宋_GB2312" w:hAnsi="仿宋_GB2312" w:eastAsia="仿宋_GB2312" w:cs="仿宋_GB2312"/>
                <w:bCs/>
                <w:color w:val="auto"/>
                <w:sz w:val="24"/>
                <w:highlight w:val="none"/>
                <w:lang w:val="en-US" w:eastAsia="zh-CN"/>
              </w:rPr>
              <w:t>2</w:t>
            </w:r>
            <w:r>
              <w:rPr>
                <w:rFonts w:hint="eastAsia" w:ascii="仿宋_GB2312" w:hAnsi="仿宋_GB2312" w:eastAsia="仿宋_GB2312" w:cs="仿宋_GB2312"/>
                <w:bCs/>
                <w:color w:val="auto"/>
                <w:sz w:val="24"/>
                <w:highlight w:val="none"/>
                <w:lang w:eastAsia="zh-CN"/>
              </w:rPr>
              <w:t>名及以上，</w:t>
            </w:r>
            <w:r>
              <w:rPr>
                <w:rFonts w:hint="eastAsia" w:ascii="仿宋_GB2312" w:hAnsi="仿宋_GB2312" w:eastAsia="仿宋_GB2312" w:cs="仿宋_GB2312"/>
                <w:bCs/>
                <w:color w:val="auto"/>
                <w:sz w:val="24"/>
                <w:highlight w:val="none"/>
                <w:lang w:val="en-US" w:eastAsia="zh-CN"/>
              </w:rPr>
              <w:t>具有</w:t>
            </w:r>
            <w:r>
              <w:rPr>
                <w:rFonts w:hint="eastAsia" w:ascii="仿宋_GB2312" w:hAnsi="仿宋_GB2312" w:eastAsia="仿宋_GB2312" w:cs="仿宋_GB2312"/>
                <w:bCs/>
                <w:color w:val="auto"/>
                <w:sz w:val="24"/>
                <w:highlight w:val="none"/>
                <w:lang w:eastAsia="zh-CN"/>
              </w:rPr>
              <w:t>初级会计师或</w:t>
            </w:r>
            <w:r>
              <w:rPr>
                <w:rFonts w:hint="eastAsia" w:ascii="仿宋_GB2312" w:hAnsi="仿宋_GB2312" w:eastAsia="仿宋_GB2312" w:cs="仿宋_GB2312"/>
                <w:bCs/>
                <w:color w:val="auto"/>
                <w:sz w:val="24"/>
                <w:highlight w:val="none"/>
                <w:lang w:val="en-US" w:eastAsia="zh-CN"/>
              </w:rPr>
              <w:t>中级会计师</w:t>
            </w:r>
            <w:r>
              <w:rPr>
                <w:rFonts w:hint="eastAsia" w:ascii="仿宋_GB2312" w:hAnsi="仿宋_GB2312" w:eastAsia="仿宋_GB2312" w:cs="仿宋_GB2312"/>
                <w:bCs/>
                <w:color w:val="auto"/>
                <w:sz w:val="24"/>
                <w:highlight w:val="none"/>
                <w:lang w:eastAsia="zh-CN"/>
              </w:rPr>
              <w:t>证书的，每提供</w:t>
            </w:r>
            <w:r>
              <w:rPr>
                <w:rFonts w:hint="eastAsia" w:ascii="仿宋_GB2312" w:hAnsi="仿宋_GB2312" w:eastAsia="仿宋_GB2312" w:cs="仿宋_GB2312"/>
                <w:bCs/>
                <w:color w:val="auto"/>
                <w:sz w:val="24"/>
                <w:highlight w:val="none"/>
                <w:lang w:val="en-US" w:eastAsia="zh-CN"/>
              </w:rPr>
              <w:t>1名，</w:t>
            </w:r>
            <w:r>
              <w:rPr>
                <w:rFonts w:hint="eastAsia" w:ascii="仿宋_GB2312" w:hAnsi="仿宋_GB2312" w:eastAsia="仿宋_GB2312" w:cs="仿宋_GB2312"/>
                <w:bCs/>
                <w:color w:val="auto"/>
                <w:sz w:val="24"/>
                <w:highlight w:val="none"/>
                <w:lang w:eastAsia="zh-CN"/>
              </w:rPr>
              <w:t>得</w:t>
            </w:r>
            <w:r>
              <w:rPr>
                <w:rFonts w:hint="eastAsia" w:ascii="仿宋_GB2312" w:hAnsi="仿宋_GB2312" w:eastAsia="仿宋_GB2312" w:cs="仿宋_GB2312"/>
                <w:bCs/>
                <w:color w:val="auto"/>
                <w:sz w:val="24"/>
                <w:highlight w:val="none"/>
                <w:lang w:val="en-US" w:eastAsia="zh-CN"/>
              </w:rPr>
              <w:t>3.5分，满分7分。</w:t>
            </w:r>
          </w:p>
        </w:tc>
        <w:tc>
          <w:tcPr>
            <w:tcW w:w="1815" w:type="dxa"/>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0" w:rightChars="0"/>
              <w:jc w:val="left"/>
              <w:textAlignment w:val="auto"/>
              <w:rPr>
                <w:rFonts w:hint="default" w:ascii="仿宋_GB2312" w:hAnsi="仿宋_GB2312" w:eastAsia="仿宋_GB2312" w:cs="仿宋_GB2312"/>
                <w:bCs/>
                <w:color w:val="auto"/>
                <w:sz w:val="24"/>
                <w:highlight w:val="none"/>
                <w:lang w:val="en-US"/>
              </w:rPr>
            </w:pPr>
            <w:r>
              <w:rPr>
                <w:rFonts w:hint="eastAsia" w:ascii="仿宋_GB2312" w:hAnsi="仿宋_GB2312" w:eastAsia="仿宋_GB2312" w:cs="仿宋_GB2312"/>
                <w:bCs/>
                <w:color w:val="auto"/>
                <w:sz w:val="24"/>
                <w:lang w:eastAsia="zh-CN"/>
              </w:rPr>
              <w:t>提供会计师相关证书</w:t>
            </w:r>
          </w:p>
        </w:tc>
      </w:tr>
    </w:tbl>
    <w:p>
      <w:pPr>
        <w:keepNext w:val="0"/>
        <w:keepLines w:val="0"/>
        <w:pageBreakBefore w:val="0"/>
        <w:widowControl/>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4.报价</w:t>
      </w:r>
    </w:p>
    <w:p>
      <w:pPr>
        <w:keepNext w:val="0"/>
        <w:keepLines w:val="0"/>
        <w:pageBreakBefore w:val="0"/>
        <w:widowControl/>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以本次</w:t>
      </w:r>
      <w:r>
        <w:rPr>
          <w:rFonts w:hint="eastAsia" w:ascii="仿宋_GB2312" w:hAnsi="仿宋" w:eastAsia="仿宋_GB2312" w:cs="仿宋_GB2312"/>
          <w:color w:val="auto"/>
          <w:sz w:val="32"/>
          <w:szCs w:val="32"/>
          <w:highlight w:val="none"/>
        </w:rPr>
        <w:t>报价或投标</w:t>
      </w:r>
      <w:r>
        <w:rPr>
          <w:rFonts w:hint="eastAsia" w:ascii="仿宋_GB2312" w:eastAsia="仿宋_GB2312"/>
          <w:color w:val="000000"/>
          <w:sz w:val="32"/>
          <w:szCs w:val="32"/>
          <w:highlight w:val="none"/>
        </w:rPr>
        <w:t>人所报的有效报价中的最低价作为基准报价。投标人报价得分=（基准价/投标人报价）*20</w:t>
      </w:r>
      <w:r>
        <w:rPr>
          <w:rFonts w:hint="eastAsia" w:ascii="仿宋_GB2312" w:eastAsia="仿宋_GB2312"/>
          <w:color w:val="000000"/>
          <w:sz w:val="32"/>
          <w:szCs w:val="32"/>
          <w:highlight w:val="none"/>
          <w:lang w:eastAsia="zh-CN"/>
        </w:rPr>
        <w:t>分</w:t>
      </w:r>
      <w:r>
        <w:rPr>
          <w:rFonts w:hint="eastAsia" w:ascii="仿宋_GB2312" w:eastAsia="仿宋_GB2312"/>
          <w:color w:val="000000"/>
          <w:sz w:val="32"/>
          <w:szCs w:val="32"/>
          <w:highlight w:val="none"/>
        </w:rPr>
        <w:t>。</w:t>
      </w:r>
    </w:p>
    <w:p>
      <w:pPr>
        <w:keepNext w:val="0"/>
        <w:keepLines w:val="0"/>
        <w:pageBreakBefore w:val="0"/>
        <w:widowControl/>
        <w:numPr>
          <w:ilvl w:val="0"/>
          <w:numId w:val="2"/>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楷体" w:hAnsi="楷体" w:eastAsia="楷体" w:cs="楷体"/>
          <w:color w:val="000000"/>
          <w:sz w:val="32"/>
          <w:szCs w:val="32"/>
          <w:highlight w:val="none"/>
          <w:lang w:eastAsia="zh-CN"/>
        </w:rPr>
      </w:pPr>
      <w:r>
        <w:rPr>
          <w:rFonts w:hint="eastAsia" w:ascii="楷体" w:hAnsi="楷体" w:eastAsia="楷体" w:cs="楷体"/>
          <w:color w:val="000000"/>
          <w:sz w:val="32"/>
          <w:szCs w:val="32"/>
          <w:highlight w:val="none"/>
          <w:lang w:eastAsia="zh-CN"/>
        </w:rPr>
        <w:t>采购评审小组构成</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eastAsia="仿宋_GB2312"/>
          <w:color w:val="000000"/>
          <w:sz w:val="32"/>
          <w:szCs w:val="32"/>
          <w:highlight w:val="none"/>
          <w:lang w:eastAsia="zh-CN"/>
        </w:rPr>
      </w:pPr>
      <w:r>
        <w:rPr>
          <w:rFonts w:hint="eastAsia" w:ascii="仿宋_GB2312" w:hAnsi="仿宋" w:eastAsia="仿宋_GB2312"/>
          <w:color w:val="auto"/>
          <w:sz w:val="32"/>
          <w:highlight w:val="none"/>
        </w:rPr>
        <w:t>采购评审小组</w:t>
      </w:r>
      <w:r>
        <w:rPr>
          <w:rFonts w:hint="eastAsia" w:ascii="仿宋_GB2312" w:hAnsi="仿宋" w:eastAsia="仿宋_GB2312"/>
          <w:color w:val="auto"/>
          <w:sz w:val="32"/>
          <w:highlight w:val="none"/>
          <w:lang w:eastAsia="zh-CN"/>
        </w:rPr>
        <w:t>为</w:t>
      </w:r>
      <w:r>
        <w:rPr>
          <w:rFonts w:hint="eastAsia" w:ascii="仿宋_GB2312" w:hAnsi="仿宋" w:eastAsia="仿宋_GB2312"/>
          <w:color w:val="auto"/>
          <w:sz w:val="32"/>
          <w:highlight w:val="none"/>
        </w:rPr>
        <w:t>五人及以上的单数</w:t>
      </w:r>
      <w:r>
        <w:rPr>
          <w:rFonts w:hint="eastAsia" w:ascii="仿宋_GB2312" w:eastAsia="仿宋_GB2312"/>
          <w:color w:val="000000"/>
          <w:sz w:val="32"/>
          <w:szCs w:val="32"/>
          <w:highlight w:val="none"/>
          <w:lang w:val="en-US" w:eastAsia="zh-CN"/>
        </w:rPr>
        <w:t>，构成如下：</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eastAsia="仿宋_GB2312" w:cs="Times New Roman"/>
          <w:b w:val="0"/>
          <w:color w:val="000000"/>
          <w:kern w:val="2"/>
          <w:sz w:val="32"/>
          <w:szCs w:val="32"/>
          <w:highlight w:val="none"/>
          <w:lang w:val="en-US" w:eastAsia="zh-CN" w:bidi="ar-SA"/>
        </w:rPr>
        <w:t>1.</w:t>
      </w:r>
      <w:r>
        <w:rPr>
          <w:rFonts w:hint="eastAsia" w:ascii="仿宋_GB2312" w:hAnsi="Calibri" w:eastAsia="仿宋_GB2312" w:cs="Times New Roman"/>
          <w:b w:val="0"/>
          <w:color w:val="000000"/>
          <w:kern w:val="2"/>
          <w:sz w:val="32"/>
          <w:szCs w:val="32"/>
          <w:highlight w:val="none"/>
          <w:lang w:val="en-US" w:eastAsia="zh-CN" w:bidi="ar-SA"/>
        </w:rPr>
        <w:t>龙华区工业和信息化局各科室（中心）代表（在编人员）</w:t>
      </w:r>
      <w:r>
        <w:rPr>
          <w:rFonts w:hint="eastAsia" w:ascii="仿宋_GB2312" w:eastAsia="仿宋_GB2312" w:cs="Times New Roman"/>
          <w:b w:val="0"/>
          <w:color w:val="000000"/>
          <w:kern w:val="2"/>
          <w:sz w:val="32"/>
          <w:szCs w:val="32"/>
          <w:highlight w:val="none"/>
          <w:lang w:val="en-US" w:eastAsia="zh-CN" w:bidi="ar-SA"/>
        </w:rPr>
        <w:t>5人</w:t>
      </w:r>
      <w:r>
        <w:rPr>
          <w:rFonts w:hint="eastAsia" w:ascii="仿宋_GB2312" w:hAnsi="Calibri" w:eastAsia="仿宋_GB2312" w:cs="Times New Roman"/>
          <w:b w:val="0"/>
          <w:color w:val="000000"/>
          <w:kern w:val="2"/>
          <w:sz w:val="32"/>
          <w:szCs w:val="32"/>
          <w:highlight w:val="none"/>
          <w:lang w:val="en-US" w:eastAsia="zh-CN" w:bidi="ar-SA"/>
        </w:rPr>
        <w:t>，</w:t>
      </w:r>
      <w:r>
        <w:rPr>
          <w:rFonts w:hint="eastAsia" w:ascii="仿宋_GB2312" w:eastAsia="仿宋_GB2312"/>
          <w:color w:val="000000"/>
          <w:sz w:val="32"/>
          <w:szCs w:val="32"/>
          <w:highlight w:val="none"/>
          <w:lang w:val="en-US" w:eastAsia="zh-CN"/>
        </w:rPr>
        <w:t>随机抽签选择。</w:t>
      </w:r>
    </w:p>
    <w:p>
      <w:pPr>
        <w:keepNext w:val="0"/>
        <w:keepLines w:val="0"/>
        <w:pageBreakBefore w:val="0"/>
        <w:widowControl/>
        <w:kinsoku/>
        <w:wordWrap/>
        <w:overflowPunct/>
        <w:topLinePunct w:val="0"/>
        <w:autoSpaceDE/>
        <w:autoSpaceDN/>
        <w:bidi w:val="0"/>
        <w:adjustRightInd w:val="0"/>
        <w:snapToGrid w:val="0"/>
        <w:spacing w:after="0" w:line="560" w:lineRule="exact"/>
        <w:ind w:right="0" w:rightChars="0" w:firstLine="640" w:firstLineChars="200"/>
        <w:jc w:val="left"/>
        <w:textAlignment w:val="auto"/>
        <w:rPr>
          <w:rFonts w:hint="eastAsia" w:ascii="仿宋_GB2312" w:hAnsi="仿宋_GB2312" w:eastAsia="仿宋_GB2312" w:cs="仿宋_GB2312"/>
          <w:sz w:val="32"/>
          <w:szCs w:val="32"/>
        </w:rPr>
      </w:pPr>
    </w:p>
    <w:sectPr>
      <w:footerReference r:id="rId5" w:type="default"/>
      <w:pgSz w:w="11906" w:h="16838"/>
      <w:pgMar w:top="2098" w:right="1474" w:bottom="1984" w:left="1587" w:header="708" w:footer="708" w:gutter="0"/>
      <w:pgNumType w:fmt="decimal"/>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Tahoma">
    <w:altName w:val="DejaVu Sans"/>
    <w:panose1 w:val="020B0604030504040204"/>
    <w:charset w:val="00"/>
    <w:family w:val="swiss"/>
    <w:pitch w:val="default"/>
    <w:sig w:usb0="00000000" w:usb1="00000000"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经典仿宋简">
    <w:altName w:val="仿宋"/>
    <w:panose1 w:val="00000000000000000000"/>
    <w:charset w:val="86"/>
    <w:family w:val="modern"/>
    <w:pitch w:val="default"/>
    <w:sig w:usb0="00000000" w:usb1="00000000" w:usb2="0000001E"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871E64"/>
    <w:multiLevelType w:val="singleLevel"/>
    <w:tmpl w:val="5C871E64"/>
    <w:lvl w:ilvl="0" w:tentative="0">
      <w:start w:val="2"/>
      <w:numFmt w:val="chineseCounting"/>
      <w:suff w:val="nothing"/>
      <w:lvlText w:val="（%1）"/>
      <w:lvlJc w:val="left"/>
    </w:lvl>
  </w:abstractNum>
  <w:abstractNum w:abstractNumId="1">
    <w:nsid w:val="5C87227C"/>
    <w:multiLevelType w:val="singleLevel"/>
    <w:tmpl w:val="5C87227C"/>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323B43"/>
    <w:rsid w:val="003D37D8"/>
    <w:rsid w:val="00426133"/>
    <w:rsid w:val="004358AB"/>
    <w:rsid w:val="008B7726"/>
    <w:rsid w:val="00D31D50"/>
    <w:rsid w:val="012675AF"/>
    <w:rsid w:val="019E1D8E"/>
    <w:rsid w:val="0323529C"/>
    <w:rsid w:val="04D75BD4"/>
    <w:rsid w:val="08233479"/>
    <w:rsid w:val="0938662F"/>
    <w:rsid w:val="093C6053"/>
    <w:rsid w:val="0C7B3AB4"/>
    <w:rsid w:val="0C86118B"/>
    <w:rsid w:val="10DC3C28"/>
    <w:rsid w:val="125B330E"/>
    <w:rsid w:val="12A777C3"/>
    <w:rsid w:val="134E49AB"/>
    <w:rsid w:val="156D10F1"/>
    <w:rsid w:val="15F33253"/>
    <w:rsid w:val="16D72F09"/>
    <w:rsid w:val="16E703B5"/>
    <w:rsid w:val="1AC437A4"/>
    <w:rsid w:val="1C8C5BBE"/>
    <w:rsid w:val="1DFB5332"/>
    <w:rsid w:val="1E0438CC"/>
    <w:rsid w:val="1EAF0D49"/>
    <w:rsid w:val="1FF39357"/>
    <w:rsid w:val="208A6B9E"/>
    <w:rsid w:val="21DFFC33"/>
    <w:rsid w:val="22C026B3"/>
    <w:rsid w:val="2357282B"/>
    <w:rsid w:val="243537E6"/>
    <w:rsid w:val="255BEC13"/>
    <w:rsid w:val="25E17ECF"/>
    <w:rsid w:val="261E645E"/>
    <w:rsid w:val="26F509CC"/>
    <w:rsid w:val="2A094490"/>
    <w:rsid w:val="2A5A5147"/>
    <w:rsid w:val="2BE9AB48"/>
    <w:rsid w:val="2EB24E01"/>
    <w:rsid w:val="2EF5709F"/>
    <w:rsid w:val="2F4FA363"/>
    <w:rsid w:val="2FBD18AB"/>
    <w:rsid w:val="2FDE5C82"/>
    <w:rsid w:val="2FFFE417"/>
    <w:rsid w:val="30723593"/>
    <w:rsid w:val="32D85BE7"/>
    <w:rsid w:val="33D2587C"/>
    <w:rsid w:val="364F2DFA"/>
    <w:rsid w:val="39663F4D"/>
    <w:rsid w:val="39DE30FF"/>
    <w:rsid w:val="3AB10199"/>
    <w:rsid w:val="3AFF17AC"/>
    <w:rsid w:val="3CF80819"/>
    <w:rsid w:val="3DB62524"/>
    <w:rsid w:val="3FBE55C0"/>
    <w:rsid w:val="3FFDECA2"/>
    <w:rsid w:val="3FFFEEBB"/>
    <w:rsid w:val="403D2980"/>
    <w:rsid w:val="40C627F7"/>
    <w:rsid w:val="40E63BC5"/>
    <w:rsid w:val="41410A20"/>
    <w:rsid w:val="42786F96"/>
    <w:rsid w:val="43DD433B"/>
    <w:rsid w:val="45E52DF6"/>
    <w:rsid w:val="465B64BB"/>
    <w:rsid w:val="4A007AA5"/>
    <w:rsid w:val="4AC37877"/>
    <w:rsid w:val="4AFC3BA8"/>
    <w:rsid w:val="4B3524E0"/>
    <w:rsid w:val="4D5D11A1"/>
    <w:rsid w:val="4EBB67BD"/>
    <w:rsid w:val="508C6144"/>
    <w:rsid w:val="552063B3"/>
    <w:rsid w:val="55325D06"/>
    <w:rsid w:val="553F8008"/>
    <w:rsid w:val="55962EE2"/>
    <w:rsid w:val="55EF082F"/>
    <w:rsid w:val="579356CE"/>
    <w:rsid w:val="59C83F71"/>
    <w:rsid w:val="5B5334BC"/>
    <w:rsid w:val="5B7B8667"/>
    <w:rsid w:val="5B9FC299"/>
    <w:rsid w:val="5D96A791"/>
    <w:rsid w:val="5E04316A"/>
    <w:rsid w:val="5E7F6105"/>
    <w:rsid w:val="5EE70DDC"/>
    <w:rsid w:val="5F553840"/>
    <w:rsid w:val="5F954A71"/>
    <w:rsid w:val="5FF550F9"/>
    <w:rsid w:val="5FFDE95A"/>
    <w:rsid w:val="60310561"/>
    <w:rsid w:val="61742C47"/>
    <w:rsid w:val="626528BC"/>
    <w:rsid w:val="63102043"/>
    <w:rsid w:val="638564AC"/>
    <w:rsid w:val="63AFDFD5"/>
    <w:rsid w:val="65546259"/>
    <w:rsid w:val="663F126A"/>
    <w:rsid w:val="677F9BEF"/>
    <w:rsid w:val="6797B4A4"/>
    <w:rsid w:val="67BB0630"/>
    <w:rsid w:val="69232A11"/>
    <w:rsid w:val="6B33E220"/>
    <w:rsid w:val="6C230435"/>
    <w:rsid w:val="6CFB96F9"/>
    <w:rsid w:val="6DFE3106"/>
    <w:rsid w:val="6FFD4FF3"/>
    <w:rsid w:val="70BB6F7B"/>
    <w:rsid w:val="712D6B22"/>
    <w:rsid w:val="71302AFD"/>
    <w:rsid w:val="72B73991"/>
    <w:rsid w:val="73696F28"/>
    <w:rsid w:val="73BFE3E1"/>
    <w:rsid w:val="73FEC2E8"/>
    <w:rsid w:val="74A64832"/>
    <w:rsid w:val="751D2534"/>
    <w:rsid w:val="75E157A0"/>
    <w:rsid w:val="76493CFE"/>
    <w:rsid w:val="77A0017B"/>
    <w:rsid w:val="77A7C8FF"/>
    <w:rsid w:val="77BCF459"/>
    <w:rsid w:val="77BDF4F7"/>
    <w:rsid w:val="77FF8159"/>
    <w:rsid w:val="78B712F1"/>
    <w:rsid w:val="79AE38A9"/>
    <w:rsid w:val="79C542E2"/>
    <w:rsid w:val="7A3A3ADB"/>
    <w:rsid w:val="7A7D6734"/>
    <w:rsid w:val="7A93657D"/>
    <w:rsid w:val="7B0F6E60"/>
    <w:rsid w:val="7BC12007"/>
    <w:rsid w:val="7BDA3C6E"/>
    <w:rsid w:val="7DBFA57D"/>
    <w:rsid w:val="7DEF47D4"/>
    <w:rsid w:val="7DFDE06F"/>
    <w:rsid w:val="7E3F1A1B"/>
    <w:rsid w:val="7E7BFC8E"/>
    <w:rsid w:val="7E8C10F9"/>
    <w:rsid w:val="7EA8D00B"/>
    <w:rsid w:val="7EFF3B12"/>
    <w:rsid w:val="7F3FBC2E"/>
    <w:rsid w:val="7F797ACE"/>
    <w:rsid w:val="7FBF7F2F"/>
    <w:rsid w:val="7FF6FF2A"/>
    <w:rsid w:val="7FFE1466"/>
    <w:rsid w:val="7FFFD224"/>
    <w:rsid w:val="9C67238E"/>
    <w:rsid w:val="9EED6396"/>
    <w:rsid w:val="9FCEBF8F"/>
    <w:rsid w:val="AEF690BB"/>
    <w:rsid w:val="B7F51B4A"/>
    <w:rsid w:val="BBF91AC1"/>
    <w:rsid w:val="BD8F6E32"/>
    <w:rsid w:val="BDFE37ED"/>
    <w:rsid w:val="BE9F54B2"/>
    <w:rsid w:val="BEFFCF4C"/>
    <w:rsid w:val="BF1DB7A6"/>
    <w:rsid w:val="BF6FC533"/>
    <w:rsid w:val="BFC746AC"/>
    <w:rsid w:val="C3FA7986"/>
    <w:rsid w:val="CB6F04AC"/>
    <w:rsid w:val="CEDC37C4"/>
    <w:rsid w:val="D1FFE31F"/>
    <w:rsid w:val="D3F525AF"/>
    <w:rsid w:val="D67C2D2C"/>
    <w:rsid w:val="DEF5C4C4"/>
    <w:rsid w:val="DF35DCE7"/>
    <w:rsid w:val="E0FD5996"/>
    <w:rsid w:val="E27F9BC7"/>
    <w:rsid w:val="E46DC157"/>
    <w:rsid w:val="E77F1940"/>
    <w:rsid w:val="E7B76541"/>
    <w:rsid w:val="E9FF8BBA"/>
    <w:rsid w:val="EBBFACEF"/>
    <w:rsid w:val="EEDED05B"/>
    <w:rsid w:val="EFF61801"/>
    <w:rsid w:val="EFF68A2C"/>
    <w:rsid w:val="EFFEC1C5"/>
    <w:rsid w:val="EFFF4864"/>
    <w:rsid w:val="F1FF3C2E"/>
    <w:rsid w:val="F37F3D7B"/>
    <w:rsid w:val="F37FFEA9"/>
    <w:rsid w:val="F3F38F03"/>
    <w:rsid w:val="F5C855D6"/>
    <w:rsid w:val="F7FFDFBD"/>
    <w:rsid w:val="F9F3386F"/>
    <w:rsid w:val="FBF73221"/>
    <w:rsid w:val="FBFF1A3E"/>
    <w:rsid w:val="FDBD459B"/>
    <w:rsid w:val="FDE3DD19"/>
    <w:rsid w:val="FDFF73B7"/>
    <w:rsid w:val="FF6DDC4B"/>
    <w:rsid w:val="FF7E5DE5"/>
    <w:rsid w:val="FF9A9C9E"/>
    <w:rsid w:val="FF9BF895"/>
    <w:rsid w:val="FFBE73D6"/>
    <w:rsid w:val="FFED8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tabs>
        <w:tab w:val="left" w:pos="426"/>
      </w:tabs>
      <w:spacing w:after="120"/>
      <w:ind w:left="1440" w:leftChars="700" w:right="1440" w:rightChars="70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USE 1"/>
    <w:basedOn w:val="1"/>
    <w:qFormat/>
    <w:uiPriority w:val="0"/>
    <w:pPr>
      <w:spacing w:line="200" w:lineRule="atLeast"/>
      <w:jc w:val="left"/>
    </w:pPr>
    <w:rPr>
      <w:rFonts w:ascii="宋体" w:hAnsi="宋体"/>
      <w:b/>
      <w:sz w:val="24"/>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1533</Words>
  <Characters>1633</Characters>
  <Lines>1</Lines>
  <Paragraphs>1</Paragraphs>
  <TotalTime>0</TotalTime>
  <ScaleCrop>false</ScaleCrop>
  <LinksUpToDate>false</LinksUpToDate>
  <CharactersWithSpaces>1633</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2008-09-23T09:20:00Z</dcterms:created>
  <dc:creator>Administrator</dc:creator>
  <cp:lastModifiedBy>leiliubao</cp:lastModifiedBy>
  <cp:lastPrinted>2025-10-16T01:08:00Z</cp:lastPrinted>
  <dcterms:modified xsi:type="dcterms:W3CDTF">2025-11-03T15:43:47Z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9582B636925B9910DE45286768E81E29</vt:lpwstr>
  </property>
  <property fmtid="{D5CDD505-2E9C-101B-9397-08002B2CF9AE}" pid="4" name="KSOTemplateDocerSaveRecord">
    <vt:lpwstr>eyJoZGlkIjoiNmUxZTUzMTU5ZTA0ZTU2MTQxMDg2MGNjMjQxMWNkMDEiLCJ1c2VySWQiOiIyMTE3ODA1NjEifQ==</vt:lpwstr>
  </property>
</Properties>
</file>