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"/>
        </w:rPr>
      </w:pPr>
      <w:bookmarkStart w:id="0" w:name="_GoBack"/>
      <w:bookmarkEnd w:id="0"/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"/>
        </w:rPr>
        <w:t>龙华区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" w:eastAsia="zh-CN"/>
        </w:rPr>
        <w:t>空天地立体交通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"/>
        </w:rPr>
        <w:t>产业辅助服务项目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"/>
        </w:rPr>
        <w:t>采购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需求书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一、项目目的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 w:val="0"/>
          <w:color w:val="000000"/>
          <w:sz w:val="32"/>
          <w:szCs w:val="32"/>
          <w:lang w:val="en" w:eastAsia="zh-CN"/>
        </w:rPr>
        <w:t>统筹规划空天地协同及共享的新型基础设施、联动创新场景、智联监控网等领域</w:t>
      </w:r>
      <w:r>
        <w:rPr>
          <w:rFonts w:hint="default" w:ascii="仿宋_GB2312" w:hAnsi="仿宋_GB2312" w:eastAsia="仿宋_GB2312" w:cs="仿宋_GB2312"/>
          <w:bCs w:val="0"/>
          <w:color w:val="000000"/>
          <w:sz w:val="32"/>
          <w:szCs w:val="32"/>
          <w:lang w:val="en" w:eastAsia="zh-CN"/>
        </w:rPr>
        <w:t>，</w:t>
      </w:r>
      <w:r>
        <w:rPr>
          <w:rFonts w:hint="eastAsia" w:ascii="仿宋_GB2312" w:hAnsi="仿宋_GB2312" w:eastAsia="仿宋_GB2312" w:cs="仿宋_GB2312"/>
          <w:bCs w:val="0"/>
          <w:color w:val="000000"/>
          <w:sz w:val="32"/>
          <w:szCs w:val="32"/>
          <w:lang w:val="en-US" w:eastAsia="zh-CN"/>
        </w:rPr>
        <w:t>整合优化产业链资源及应用场景，推动</w:t>
      </w:r>
      <w:r>
        <w:rPr>
          <w:rFonts w:hint="default" w:ascii="仿宋_GB2312" w:hAnsi="仿宋_GB2312" w:eastAsia="仿宋_GB2312" w:cs="仿宋_GB2312"/>
          <w:bCs w:val="0"/>
          <w:color w:val="000000"/>
          <w:sz w:val="32"/>
          <w:szCs w:val="32"/>
          <w:lang w:val="en" w:eastAsia="zh-CN"/>
        </w:rPr>
        <w:t>空天地立体交通</w:t>
      </w:r>
      <w:r>
        <w:rPr>
          <w:rFonts w:hint="eastAsia" w:ascii="仿宋_GB2312" w:hAnsi="仿宋_GB2312" w:eastAsia="仿宋_GB2312" w:cs="仿宋_GB2312"/>
          <w:bCs w:val="0"/>
          <w:color w:val="000000"/>
          <w:sz w:val="32"/>
          <w:szCs w:val="32"/>
          <w:lang w:val="en-US" w:eastAsia="zh-CN"/>
        </w:rPr>
        <w:t>产业协同发展，构建龙华区完善的</w:t>
      </w:r>
      <w:r>
        <w:rPr>
          <w:rFonts w:hint="default" w:ascii="仿宋_GB2312" w:hAnsi="仿宋_GB2312" w:eastAsia="仿宋_GB2312" w:cs="仿宋_GB2312"/>
          <w:bCs w:val="0"/>
          <w:color w:val="000000"/>
          <w:sz w:val="32"/>
          <w:szCs w:val="32"/>
          <w:lang w:val="en" w:eastAsia="zh-CN"/>
        </w:rPr>
        <w:t>空天地立体交通</w:t>
      </w:r>
      <w:r>
        <w:rPr>
          <w:rFonts w:hint="eastAsia" w:ascii="仿宋_GB2312" w:hAnsi="仿宋_GB2312" w:eastAsia="仿宋_GB2312" w:cs="仿宋_GB2312"/>
          <w:bCs w:val="0"/>
          <w:color w:val="000000"/>
          <w:sz w:val="32"/>
          <w:szCs w:val="32"/>
          <w:lang w:val="en-US" w:eastAsia="zh-CN"/>
        </w:rPr>
        <w:t>体系。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二、项目内容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（一）协助全面评估龙华区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空天地立体交通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发展现状，对龙华区相关产业发展进行详细摸查。研究深圳市各区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空天地立体交通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发展情况，从各个维度找准龙华区的发展优势和不足，判断龙华区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空天地立体交通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产业发展的总体思路，形成1份深圳各区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空天地立体交通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产业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发展思路分析报告。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（二）协助研究空天地立体交通的创新场景，规划布局新型基础设施、空中-地面衔接规划、安全管控设施，研究相关管理机制，形成基础设施规划、航线规划、场景分布等规划图。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（三）协助明确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空天地立体交通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产业发展的目标定位、发展规模和重点任务，形成1份重点项目计划表。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三、时间安排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自签订合同之日起，服务期为一年。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四、资质要求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（一）满足《中华人民共和国政府采购法》第二十二条规定；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（二）具有独立法人资格，不存在因违法行为而被禁止参加本市政府采购活动的情形。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五、报价限额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楷体_GB2312" w:hAnsi="楷体_GB2312" w:eastAsia="楷体_GB2312" w:cs="楷体_GB2312"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总报价不超过34.00万元。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仿宋_GB2312"/>
          <w:bCs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bCs/>
          <w:color w:val="00000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黑体" w:hAnsi="黑体" w:eastAsia="黑体" w:cs="仿宋_GB2312"/>
          <w:bCs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eastAsia" w:ascii="黑体" w:hAnsi="黑体" w:eastAsia="黑体" w:cs="仿宋_GB2312"/>
          <w:bCs/>
          <w:color w:val="000000"/>
          <w:sz w:val="32"/>
          <w:szCs w:val="32"/>
          <w:highlight w:val="none"/>
        </w:rPr>
        <w:t>评分要求</w:t>
      </w: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b w:val="0"/>
          <w:bCs/>
          <w:color w:val="000000"/>
          <w:sz w:val="32"/>
          <w:szCs w:val="32"/>
          <w:highlight w:val="none"/>
          <w:lang w:eastAsia="zh-CN"/>
        </w:rPr>
        <w:t>（一）评分规则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/>
          <w:color w:val="000000"/>
          <w:sz w:val="32"/>
          <w:szCs w:val="32"/>
          <w:highlight w:val="none"/>
        </w:rPr>
      </w:pP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采取综合评分标准，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平均分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最高的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  <w:t>报价或投标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人为本项目中标人。</w:t>
      </w:r>
    </w:p>
    <w:p>
      <w:pPr>
        <w:pStyle w:val="18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000000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 w:val="0"/>
          <w:bCs/>
          <w:color w:val="000000"/>
          <w:sz w:val="32"/>
          <w:szCs w:val="32"/>
          <w:highlight w:val="none"/>
        </w:rPr>
        <w:t>评分权重</w:t>
      </w:r>
    </w:p>
    <w:tbl>
      <w:tblPr>
        <w:tblStyle w:val="13"/>
        <w:tblW w:w="87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1926"/>
        <w:gridCol w:w="1706"/>
        <w:gridCol w:w="1926"/>
        <w:gridCol w:w="1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316" w:type="dxa"/>
            <w:noWrap w:val="0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评分内容</w:t>
            </w:r>
          </w:p>
        </w:tc>
        <w:tc>
          <w:tcPr>
            <w:tcW w:w="1926" w:type="dxa"/>
            <w:noWrap w:val="0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商务能力</w:t>
            </w:r>
          </w:p>
        </w:tc>
        <w:tc>
          <w:tcPr>
            <w:tcW w:w="1706" w:type="dxa"/>
            <w:noWrap w:val="0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技术能力</w:t>
            </w:r>
          </w:p>
        </w:tc>
        <w:tc>
          <w:tcPr>
            <w:tcW w:w="1926" w:type="dxa"/>
            <w:noWrap w:val="0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人员配备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316" w:type="dxa"/>
            <w:noWrap w:val="0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分值</w:t>
            </w:r>
          </w:p>
        </w:tc>
        <w:tc>
          <w:tcPr>
            <w:tcW w:w="1926" w:type="dxa"/>
            <w:noWrap w:val="0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分</w:t>
            </w:r>
          </w:p>
        </w:tc>
        <w:tc>
          <w:tcPr>
            <w:tcW w:w="1706" w:type="dxa"/>
            <w:noWrap w:val="0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分</w:t>
            </w:r>
          </w:p>
        </w:tc>
        <w:tc>
          <w:tcPr>
            <w:tcW w:w="1926" w:type="dxa"/>
            <w:noWrap w:val="0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0分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20分</w:t>
            </w:r>
          </w:p>
        </w:tc>
      </w:tr>
    </w:tbl>
    <w:p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000000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 w:val="0"/>
          <w:bCs/>
          <w:color w:val="000000"/>
          <w:sz w:val="32"/>
          <w:szCs w:val="32"/>
          <w:highlight w:val="none"/>
          <w:lang w:eastAsia="zh-CN"/>
        </w:rPr>
        <w:t>（三）评分标准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仿宋_GB2312" w:eastAsia="仿宋_GB2312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  <w:highlight w:val="none"/>
          <w:lang w:val="en-US" w:eastAsia="zh-CN"/>
        </w:rPr>
        <w:t>1.商务能力</w:t>
      </w:r>
    </w:p>
    <w:tbl>
      <w:tblPr>
        <w:tblStyle w:val="12"/>
        <w:tblW w:w="8694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1138"/>
        <w:gridCol w:w="5022"/>
        <w:gridCol w:w="20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668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  <w:t>项目</w:t>
            </w:r>
          </w:p>
        </w:tc>
        <w:tc>
          <w:tcPr>
            <w:tcW w:w="2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得分依据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</w:trPr>
        <w:tc>
          <w:tcPr>
            <w:tcW w:w="52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商务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能力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评分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0分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经验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分）</w:t>
            </w:r>
          </w:p>
        </w:tc>
        <w:tc>
          <w:tcPr>
            <w:tcW w:w="50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具有产业规划、产业咨询、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>交通规划或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低空经济研究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相关经验，每提供一项以往类似项目得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分、本项最高得分为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分。</w:t>
            </w:r>
          </w:p>
        </w:tc>
        <w:tc>
          <w:tcPr>
            <w:tcW w:w="2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须提供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相关佐证材料。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6" w:hRule="atLeast"/>
        </w:trPr>
        <w:tc>
          <w:tcPr>
            <w:tcW w:w="52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信誉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5分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50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在业界具有良好的诚信和美誉度。</w:t>
            </w:r>
          </w:p>
        </w:tc>
        <w:tc>
          <w:tcPr>
            <w:tcW w:w="2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近三年内无行贿犯罪记录、无不良记录承诺函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提供一个月内信用报告。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  <w:highlight w:val="none"/>
          <w:lang w:eastAsia="zh-CN"/>
        </w:rPr>
        <w:t>注：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  <w:highlight w:val="none"/>
        </w:rPr>
        <w:t>不提供证明文件或提供的证明文件不合格者，不得分。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仿宋_GB2312" w:eastAsia="仿宋_GB2312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  <w:highlight w:val="none"/>
          <w:lang w:val="en-US" w:eastAsia="zh-CN"/>
        </w:rPr>
        <w:t>2.技术能力</w:t>
      </w:r>
    </w:p>
    <w:tbl>
      <w:tblPr>
        <w:tblStyle w:val="12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197"/>
        <w:gridCol w:w="5220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693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  <w:t>项目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得分依据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1" w:hRule="atLeast"/>
        </w:trPr>
        <w:tc>
          <w:tcPr>
            <w:tcW w:w="51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技术能力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评分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分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方案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分）</w:t>
            </w:r>
          </w:p>
        </w:tc>
        <w:tc>
          <w:tcPr>
            <w:tcW w:w="52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方案（工作措施、工作方法、工作流程）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根据文件对需求和响应情况进行横向比较。分档评分：评价为优得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分；评价为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良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分；评价为差得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分。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采购评审小组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6" w:hRule="atLeast"/>
        </w:trPr>
        <w:tc>
          <w:tcPr>
            <w:tcW w:w="51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成果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15分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52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项目预期效果与项目需求的切合程度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采购评审小组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5" w:hRule="atLeast"/>
        </w:trPr>
        <w:tc>
          <w:tcPr>
            <w:tcW w:w="51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服务承诺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5分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52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项目完成后的服务承诺和违约承诺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采购评审小组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评分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仿宋_GB2312" w:eastAsia="仿宋_GB2312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  <w:highlight w:val="none"/>
          <w:lang w:val="en-US" w:eastAsia="zh-CN"/>
        </w:rPr>
        <w:t>3.人员配备</w:t>
      </w:r>
    </w:p>
    <w:tbl>
      <w:tblPr>
        <w:tblStyle w:val="12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746"/>
        <w:gridCol w:w="4671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693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得分依据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atLeast"/>
        </w:trPr>
        <w:tc>
          <w:tcPr>
            <w:tcW w:w="51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人员配备评分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分</w:t>
            </w:r>
          </w:p>
        </w:tc>
        <w:tc>
          <w:tcPr>
            <w:tcW w:w="17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项目负责人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分）</w:t>
            </w:r>
          </w:p>
        </w:tc>
        <w:tc>
          <w:tcPr>
            <w:tcW w:w="46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具有经济类、规划类、理学类或管理类的研究生及以上学历项目负责人的得5分，不符合的得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0分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采购评审小组评分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</w:trPr>
        <w:tc>
          <w:tcPr>
            <w:tcW w:w="51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项目团队人员资质（除项目负责人外）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分）</w:t>
            </w:r>
          </w:p>
        </w:tc>
        <w:tc>
          <w:tcPr>
            <w:tcW w:w="46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项目团队人员具有本科以上学历，且专业为经济类、规划类、理学类或管理类的得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5分/人，满分15分。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采购评审小组评分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仿宋_GB2312" w:eastAsia="仿宋_GB2312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  <w:highlight w:val="none"/>
          <w:lang w:val="en-US" w:eastAsia="zh-CN"/>
        </w:rPr>
        <w:t>4.报价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highlight w:val="none"/>
        </w:rPr>
      </w:pP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以本次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  <w:t>报价或投标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人所报的有效报价中的最低价作为基准报价。投标人报价得分=（基准价/投标人报价）*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0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分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color w:val="000000"/>
          <w:sz w:val="32"/>
          <w:szCs w:val="32"/>
          <w:highlight w:val="none"/>
          <w:lang w:eastAsia="zh-CN"/>
        </w:rPr>
        <w:t>采购评审小组构成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/>
          <w:color w:val="auto"/>
          <w:sz w:val="32"/>
          <w:highlight w:val="none"/>
        </w:rPr>
        <w:t>采购评审小组</w:t>
      </w:r>
      <w:r>
        <w:rPr>
          <w:rFonts w:hint="eastAsia" w:ascii="仿宋_GB2312" w:hAnsi="仿宋" w:eastAsia="仿宋_GB2312"/>
          <w:color w:val="auto"/>
          <w:sz w:val="32"/>
          <w:highlight w:val="none"/>
          <w:lang w:eastAsia="zh-CN"/>
        </w:rPr>
        <w:t>为</w:t>
      </w:r>
      <w:r>
        <w:rPr>
          <w:rFonts w:hint="eastAsia" w:ascii="仿宋_GB2312" w:hAnsi="仿宋" w:eastAsia="仿宋_GB2312"/>
          <w:color w:val="auto"/>
          <w:sz w:val="32"/>
          <w:highlight w:val="none"/>
        </w:rPr>
        <w:t>五人及以上的单数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，构成如下：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color w:val="000000"/>
          <w:kern w:val="2"/>
          <w:sz w:val="32"/>
          <w:szCs w:val="32"/>
          <w:highlight w:val="none"/>
          <w:lang w:val="en-US" w:eastAsia="zh-CN" w:bidi="ar-SA"/>
        </w:rPr>
        <w:t>龙华区工业和信息化局各科室（中心）代表（在编人员）</w:t>
      </w:r>
      <w:r>
        <w:rPr>
          <w:rFonts w:hint="eastAsia" w:ascii="仿宋_GB2312" w:eastAsia="仿宋_GB2312" w:cs="Times New Roman"/>
          <w:b w:val="0"/>
          <w:color w:val="000000"/>
          <w:kern w:val="2"/>
          <w:sz w:val="32"/>
          <w:szCs w:val="32"/>
          <w:highlight w:val="none"/>
          <w:lang w:val="en-US" w:eastAsia="zh-CN" w:bidi="ar-SA"/>
        </w:rPr>
        <w:t>5人</w:t>
      </w:r>
      <w:r>
        <w:rPr>
          <w:rFonts w:hint="eastAsia" w:ascii="仿宋_GB2312" w:hAnsi="Calibri" w:eastAsia="仿宋_GB2312" w:cs="Times New Roman"/>
          <w:b w:val="0"/>
          <w:color w:val="000000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随机抽签选择。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WAAAAZHJzL1BLAQIUABQAAAAIAIdO4kDOqXm5zwAAAAUBAAAPAAAAAAAAAAEAIAAAADgA&#10;AABkcnMvZG93bnJldi54bWxQSwECFAAUAAAACACHTuJACYk+YMMBAABwAwAADgAAAAAAAAABACAA&#10;AAA0AQAAZHJzL2Uyb0RvYy54bWxQSwUGAAAAAAYABgBZAQAAa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871E64"/>
    <w:multiLevelType w:val="singleLevel"/>
    <w:tmpl w:val="5C871E64"/>
    <w:lvl w:ilvl="0" w:tentative="0">
      <w:start w:val="2"/>
      <w:numFmt w:val="chineseCounting"/>
      <w:suff w:val="nothing"/>
      <w:lvlText w:val="（%1）"/>
      <w:lvlJc w:val="left"/>
    </w:lvl>
  </w:abstractNum>
  <w:abstractNum w:abstractNumId="1">
    <w:nsid w:val="5C87227C"/>
    <w:multiLevelType w:val="singleLevel"/>
    <w:tmpl w:val="5C87227C"/>
    <w:lvl w:ilvl="0" w:tentative="0">
      <w:start w:val="4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6B6273"/>
    <w:rsid w:val="03125B80"/>
    <w:rsid w:val="076A1C44"/>
    <w:rsid w:val="0ADEA7D6"/>
    <w:rsid w:val="0C497B8D"/>
    <w:rsid w:val="0D1913CC"/>
    <w:rsid w:val="13A753F6"/>
    <w:rsid w:val="14AB2B30"/>
    <w:rsid w:val="1A6A28E1"/>
    <w:rsid w:val="1FF77730"/>
    <w:rsid w:val="2F71E84E"/>
    <w:rsid w:val="30780080"/>
    <w:rsid w:val="308A3FEF"/>
    <w:rsid w:val="371E8347"/>
    <w:rsid w:val="38C15262"/>
    <w:rsid w:val="39B241C7"/>
    <w:rsid w:val="3A931403"/>
    <w:rsid w:val="3D97FFEA"/>
    <w:rsid w:val="3EDE5546"/>
    <w:rsid w:val="3F7DC2D0"/>
    <w:rsid w:val="3F7FC182"/>
    <w:rsid w:val="3F7FDBFC"/>
    <w:rsid w:val="3F805D67"/>
    <w:rsid w:val="4104448D"/>
    <w:rsid w:val="412913F7"/>
    <w:rsid w:val="4279735C"/>
    <w:rsid w:val="42C73F93"/>
    <w:rsid w:val="43365A26"/>
    <w:rsid w:val="463B46BF"/>
    <w:rsid w:val="4A7130A7"/>
    <w:rsid w:val="4BC25EA6"/>
    <w:rsid w:val="4DE745E0"/>
    <w:rsid w:val="4E7FEEA5"/>
    <w:rsid w:val="55F5F8AA"/>
    <w:rsid w:val="561E5C9B"/>
    <w:rsid w:val="5A7F1C6A"/>
    <w:rsid w:val="5BBFC5EE"/>
    <w:rsid w:val="5CD9A990"/>
    <w:rsid w:val="5EFABE7E"/>
    <w:rsid w:val="5FDBD835"/>
    <w:rsid w:val="65D15F87"/>
    <w:rsid w:val="673E6783"/>
    <w:rsid w:val="69B75999"/>
    <w:rsid w:val="69BE2930"/>
    <w:rsid w:val="69DFC8EC"/>
    <w:rsid w:val="6D7ADCA8"/>
    <w:rsid w:val="6E7FAE63"/>
    <w:rsid w:val="6EEE6A2A"/>
    <w:rsid w:val="6F1D8EDD"/>
    <w:rsid w:val="6FF96BF4"/>
    <w:rsid w:val="71D2520B"/>
    <w:rsid w:val="71FF8AA7"/>
    <w:rsid w:val="73AE71DC"/>
    <w:rsid w:val="73AF57DA"/>
    <w:rsid w:val="77CAF26A"/>
    <w:rsid w:val="78CD1EEE"/>
    <w:rsid w:val="78FE7A1D"/>
    <w:rsid w:val="7A7F0265"/>
    <w:rsid w:val="7A9F8F19"/>
    <w:rsid w:val="7AEB5D91"/>
    <w:rsid w:val="7B9964CD"/>
    <w:rsid w:val="7BD58386"/>
    <w:rsid w:val="7BF23016"/>
    <w:rsid w:val="7CD26740"/>
    <w:rsid w:val="7E568244"/>
    <w:rsid w:val="7EEF1359"/>
    <w:rsid w:val="7F4B0563"/>
    <w:rsid w:val="7F77C15A"/>
    <w:rsid w:val="7F7F52FA"/>
    <w:rsid w:val="7FDF2073"/>
    <w:rsid w:val="7FEF6E76"/>
    <w:rsid w:val="7FF45055"/>
    <w:rsid w:val="7FFB974C"/>
    <w:rsid w:val="7FFDB57B"/>
    <w:rsid w:val="7FFFF272"/>
    <w:rsid w:val="9EF533D7"/>
    <w:rsid w:val="ABEFEE4D"/>
    <w:rsid w:val="ADBF483F"/>
    <w:rsid w:val="B5AFE45E"/>
    <w:rsid w:val="BFFF49E8"/>
    <w:rsid w:val="CDFB2361"/>
    <w:rsid w:val="CFEFF86D"/>
    <w:rsid w:val="D7BF6779"/>
    <w:rsid w:val="DF1DE690"/>
    <w:rsid w:val="E6E74801"/>
    <w:rsid w:val="E7BD02E1"/>
    <w:rsid w:val="EB7759AB"/>
    <w:rsid w:val="EFEF8561"/>
    <w:rsid w:val="F3DD99AC"/>
    <w:rsid w:val="F53FC91E"/>
    <w:rsid w:val="F5FF891A"/>
    <w:rsid w:val="F6776EC7"/>
    <w:rsid w:val="F8DF5026"/>
    <w:rsid w:val="F9FFC30F"/>
    <w:rsid w:val="FA8D8A83"/>
    <w:rsid w:val="FAFDCEB2"/>
    <w:rsid w:val="FB761CDE"/>
    <w:rsid w:val="FBB59FAD"/>
    <w:rsid w:val="FD6FFE1E"/>
    <w:rsid w:val="FD7FA839"/>
    <w:rsid w:val="FDFD078C"/>
    <w:rsid w:val="FDFF06C8"/>
    <w:rsid w:val="FEDFE717"/>
    <w:rsid w:val="FFBEC772"/>
    <w:rsid w:val="FFCF7E59"/>
    <w:rsid w:val="FFDD9CD1"/>
    <w:rsid w:val="FFF76BE5"/>
    <w:rsid w:val="FFFF04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keepNext/>
      <w:outlineLvl w:val="1"/>
    </w:pPr>
    <w:rPr>
      <w:rFonts w:ascii="楷体_GB2312" w:hAnsi="楷体_GB2312" w:eastAsia="楷体_GB2312" w:cstheme="majorBidi"/>
      <w:bCs/>
      <w:iCs/>
      <w:szCs w:val="28"/>
      <w:lang w:val="zh-CN" w:bidi="zh-CN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 w:eastAsia="宋体" w:cs="Times New Roman"/>
      <w:b/>
      <w:sz w:val="32"/>
    </w:rPr>
  </w:style>
  <w:style w:type="paragraph" w:styleId="5">
    <w:name w:val="index 8"/>
    <w:basedOn w:val="1"/>
    <w:next w:val="1"/>
    <w:qFormat/>
    <w:uiPriority w:val="0"/>
    <w:pPr>
      <w:ind w:left="2940"/>
    </w:pPr>
  </w:style>
  <w:style w:type="paragraph" w:styleId="6">
    <w:name w:val="Normal Indent"/>
    <w:basedOn w:val="1"/>
    <w:qFormat/>
    <w:uiPriority w:val="0"/>
    <w:pPr>
      <w:ind w:firstLine="420"/>
    </w:pPr>
    <w:rPr>
      <w:szCs w:val="20"/>
    </w:rPr>
  </w:style>
  <w:style w:type="paragraph" w:styleId="7">
    <w:name w:val="Block Text"/>
    <w:basedOn w:val="1"/>
    <w:qFormat/>
    <w:uiPriority w:val="0"/>
    <w:pPr>
      <w:tabs>
        <w:tab w:val="left" w:pos="426"/>
      </w:tabs>
      <w:spacing w:after="120"/>
      <w:ind w:left="1440" w:leftChars="700" w:right="1440" w:rightChars="700"/>
    </w:pPr>
  </w:style>
  <w:style w:type="paragraph" w:styleId="8">
    <w:name w:val="Plain Text"/>
    <w:basedOn w:val="1"/>
    <w:next w:val="5"/>
    <w:qFormat/>
    <w:uiPriority w:val="0"/>
    <w:rPr>
      <w:rFonts w:ascii="宋体" w:hAnsi="Calibri" w:eastAsia="宋体" w:cs="Courier New"/>
      <w:szCs w:val="21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FollowedHyperlink"/>
    <w:basedOn w:val="14"/>
    <w:qFormat/>
    <w:uiPriority w:val="0"/>
    <w:rPr>
      <w:color w:val="000000"/>
      <w:u w:val="none"/>
    </w:rPr>
  </w:style>
  <w:style w:type="character" w:styleId="16">
    <w:name w:val="Emphasis"/>
    <w:basedOn w:val="14"/>
    <w:qFormat/>
    <w:uiPriority w:val="0"/>
    <w:rPr>
      <w:sz w:val="22"/>
      <w:szCs w:val="22"/>
    </w:rPr>
  </w:style>
  <w:style w:type="character" w:styleId="17">
    <w:name w:val="Hyperlink"/>
    <w:basedOn w:val="14"/>
    <w:qFormat/>
    <w:uiPriority w:val="0"/>
    <w:rPr>
      <w:color w:val="000000"/>
      <w:u w:val="none"/>
    </w:rPr>
  </w:style>
  <w:style w:type="paragraph" w:customStyle="1" w:styleId="18">
    <w:name w:val="USE 1"/>
    <w:basedOn w:val="1"/>
    <w:qFormat/>
    <w:uiPriority w:val="0"/>
    <w:pPr>
      <w:spacing w:line="200" w:lineRule="atLeast"/>
      <w:jc w:val="left"/>
    </w:pPr>
    <w:rPr>
      <w:rFonts w:ascii="宋体" w:hAnsi="宋体"/>
      <w:b/>
      <w:sz w:val="24"/>
      <w:szCs w:val="28"/>
    </w:rPr>
  </w:style>
  <w:style w:type="character" w:customStyle="1" w:styleId="19">
    <w:name w:val="Subtle Emphasis"/>
    <w:qFormat/>
    <w:uiPriority w:val="0"/>
    <w:rPr>
      <w:i/>
      <w:iCs/>
      <w:color w:val="808080"/>
    </w:rPr>
  </w:style>
  <w:style w:type="character" w:customStyle="1" w:styleId="20">
    <w:name w:val="hover48"/>
    <w:basedOn w:val="14"/>
    <w:qFormat/>
    <w:uiPriority w:val="0"/>
    <w:rPr>
      <w:color w:val="FFFFFF"/>
      <w:shd w:val="clear" w:fill="1091DB"/>
    </w:rPr>
  </w:style>
  <w:style w:type="character" w:customStyle="1" w:styleId="21">
    <w:name w:val="hover49"/>
    <w:basedOn w:val="14"/>
    <w:qFormat/>
    <w:uiPriority w:val="0"/>
    <w:rPr>
      <w:sz w:val="21"/>
      <w:szCs w:val="21"/>
    </w:rPr>
  </w:style>
  <w:style w:type="character" w:customStyle="1" w:styleId="22">
    <w:name w:val="hover50"/>
    <w:basedOn w:val="14"/>
    <w:qFormat/>
    <w:uiPriority w:val="0"/>
    <w:rPr>
      <w:color w:val="FFFFFF"/>
      <w:shd w:val="clear" w:fill="1091DB"/>
    </w:rPr>
  </w:style>
  <w:style w:type="character" w:customStyle="1" w:styleId="23">
    <w:name w:val="treeicon"/>
    <w:basedOn w:val="14"/>
    <w:qFormat/>
    <w:uiPriority w:val="0"/>
  </w:style>
  <w:style w:type="character" w:customStyle="1" w:styleId="24">
    <w:name w:val="hover10"/>
    <w:basedOn w:val="14"/>
    <w:qFormat/>
    <w:uiPriority w:val="0"/>
    <w:rPr>
      <w:color w:val="FFFFFF"/>
      <w:shd w:val="clear" w:fill="1091DB"/>
    </w:rPr>
  </w:style>
  <w:style w:type="character" w:customStyle="1" w:styleId="25">
    <w:name w:val="hover11"/>
    <w:basedOn w:val="14"/>
    <w:qFormat/>
    <w:uiPriority w:val="0"/>
    <w:rPr>
      <w:sz w:val="21"/>
      <w:szCs w:val="21"/>
    </w:rPr>
  </w:style>
  <w:style w:type="character" w:customStyle="1" w:styleId="26">
    <w:name w:val="hover12"/>
    <w:basedOn w:val="14"/>
    <w:qFormat/>
    <w:uiPriority w:val="0"/>
    <w:rPr>
      <w:color w:val="FFFFFF"/>
      <w:shd w:val="clear" w:fill="1091DB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2014-11-14T20:08:00Z</dcterms:created>
  <dc:creator>zhaoxinlei</dc:creator>
  <cp:lastModifiedBy>zhuren</cp:lastModifiedBy>
  <cp:lastPrinted>2025-08-27T23:30:00Z</cp:lastPrinted>
  <dcterms:modified xsi:type="dcterms:W3CDTF">2025-09-11T09:32:07Z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1383C26B642F404B9EA02FBEBE37B176</vt:lpwstr>
  </property>
</Properties>
</file>