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2025年</w:t>
      </w:r>
      <w:r>
        <w:rPr>
          <w:rFonts w:hint="eastAsia" w:ascii="方正小标宋简体" w:hAnsi="方正小标宋简体" w:eastAsia="方正小标宋简体" w:cs="方正小标宋简体"/>
          <w:sz w:val="44"/>
          <w:szCs w:val="44"/>
          <w:highlight w:val="none"/>
          <w:lang w:val="en-US" w:eastAsia="zh-CN"/>
        </w:rPr>
        <w:t>龙华政府团</w:t>
      </w:r>
      <w:r>
        <w:rPr>
          <w:rFonts w:hint="eastAsia" w:ascii="方正小标宋简体" w:hAnsi="方正小标宋简体" w:eastAsia="方正小标宋简体" w:cs="方正小标宋简体"/>
          <w:sz w:val="44"/>
          <w:szCs w:val="44"/>
        </w:rPr>
        <w:t>出访墨西哥和</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加拿大团组出行</w:t>
      </w:r>
      <w:r>
        <w:rPr>
          <w:rFonts w:hint="eastAsia" w:ascii="方正小标宋简体" w:hAnsi="方正小标宋简体" w:eastAsia="方正小标宋简体" w:cs="方正小标宋简体"/>
          <w:sz w:val="44"/>
          <w:szCs w:val="44"/>
          <w:lang w:eastAsia="zh-CN"/>
        </w:rPr>
        <w:t>安排服务</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项目需求书</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right="-92" w:rightChars="-44"/>
        <w:jc w:val="center"/>
        <w:textAlignment w:val="auto"/>
        <w:outlineLvl w:val="9"/>
        <w:rPr>
          <w:rFonts w:hint="eastAsia" w:ascii="方正小标宋简体" w:hAnsi="方正小标宋简体" w:eastAsia="方正小标宋简体" w:cs="方正小标宋简体"/>
          <w:sz w:val="44"/>
          <w:szCs w:val="44"/>
          <w:highlight w:val="none"/>
          <w:lang w:val="en-US" w:eastAsia="zh-CN"/>
        </w:rPr>
      </w:pPr>
    </w:p>
    <w:p>
      <w:pPr>
        <w:numPr>
          <w:ilvl w:val="0"/>
          <w:numId w:val="1"/>
        </w:numPr>
        <w:tabs>
          <w:tab w:val="left" w:pos="1820"/>
        </w:tabs>
        <w:snapToGrid w:val="0"/>
        <w:spacing w:line="560" w:lineRule="atLeast"/>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rPr>
        <w:t>项目目标</w:t>
      </w:r>
    </w:p>
    <w:p>
      <w:pPr>
        <w:numPr>
          <w:ilvl w:val="0"/>
          <w:numId w:val="0"/>
        </w:numPr>
        <w:tabs>
          <w:tab w:val="left" w:pos="1820"/>
        </w:tabs>
        <w:snapToGrid w:val="0"/>
        <w:spacing w:line="560" w:lineRule="atLeast"/>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Calibri" w:eastAsia="仿宋_GB2312" w:cs="Times New Roman"/>
          <w:kern w:val="2"/>
          <w:sz w:val="32"/>
          <w:szCs w:val="32"/>
          <w:lang w:val="en-US" w:eastAsia="zh-CN" w:bidi="ar-SA"/>
        </w:rPr>
        <w:t>协助</w:t>
      </w:r>
      <w:r>
        <w:rPr>
          <w:rFonts w:hint="default" w:ascii="仿宋_GB2312" w:hAnsi="Calibri" w:eastAsia="仿宋_GB2312" w:cs="Times New Roman"/>
          <w:kern w:val="2"/>
          <w:sz w:val="32"/>
          <w:szCs w:val="32"/>
          <w:lang w:val="en-US" w:eastAsia="zh-CN" w:bidi="ar-SA"/>
        </w:rPr>
        <w:t>龙华</w:t>
      </w:r>
      <w:r>
        <w:rPr>
          <w:rFonts w:hint="eastAsia" w:ascii="仿宋_GB2312" w:hAnsi="Calibri" w:eastAsia="仿宋_GB2312" w:cs="Times New Roman"/>
          <w:kern w:val="2"/>
          <w:sz w:val="32"/>
          <w:szCs w:val="32"/>
          <w:lang w:val="en-US" w:eastAsia="zh-CN" w:bidi="ar-SA"/>
        </w:rPr>
        <w:t>政府团</w:t>
      </w:r>
      <w:r>
        <w:rPr>
          <w:rFonts w:hint="eastAsia" w:ascii="仿宋_GB2312" w:eastAsia="仿宋_GB2312" w:cs="Times New Roman"/>
          <w:kern w:val="2"/>
          <w:sz w:val="32"/>
          <w:szCs w:val="32"/>
          <w:lang w:val="en-US" w:eastAsia="zh-CN" w:bidi="ar-SA"/>
        </w:rPr>
        <w:t>做好2025年度出访</w:t>
      </w:r>
      <w:r>
        <w:rPr>
          <w:rFonts w:hint="default" w:ascii="仿宋_GB2312" w:eastAsia="仿宋_GB2312" w:cs="Times New Roman"/>
          <w:kern w:val="2"/>
          <w:sz w:val="32"/>
          <w:szCs w:val="32"/>
          <w:lang w:val="en-US" w:eastAsia="zh-CN" w:bidi="ar-SA"/>
        </w:rPr>
        <w:t>墨西哥和加拿大</w:t>
      </w:r>
      <w:r>
        <w:rPr>
          <w:rFonts w:hint="eastAsia" w:ascii="仿宋_GB2312" w:eastAsia="仿宋_GB2312" w:cs="Times New Roman"/>
          <w:kern w:val="2"/>
          <w:sz w:val="32"/>
          <w:szCs w:val="32"/>
          <w:lang w:val="en-US" w:eastAsia="zh-CN" w:bidi="ar-SA"/>
        </w:rPr>
        <w:t>两国</w:t>
      </w:r>
      <w:r>
        <w:rPr>
          <w:rFonts w:hint="eastAsia" w:ascii="仿宋_GB2312" w:hAnsi="Calibri" w:eastAsia="仿宋_GB2312" w:cs="Times New Roman"/>
          <w:kern w:val="2"/>
          <w:sz w:val="32"/>
          <w:szCs w:val="32"/>
          <w:lang w:val="en-US" w:eastAsia="zh-CN" w:bidi="ar-SA"/>
        </w:rPr>
        <w:t>开展为期</w:t>
      </w:r>
      <w:r>
        <w:rPr>
          <w:rFonts w:hint="default" w:ascii="仿宋_GB2312" w:eastAsia="仿宋_GB2312" w:cs="Times New Roman"/>
          <w:kern w:val="2"/>
          <w:sz w:val="32"/>
          <w:szCs w:val="32"/>
          <w:lang w:val="en-US" w:eastAsia="zh-CN" w:bidi="ar-SA"/>
        </w:rPr>
        <w:t>7</w:t>
      </w:r>
      <w:r>
        <w:rPr>
          <w:rFonts w:hint="eastAsia" w:ascii="仿宋_GB2312" w:hAnsi="Calibri" w:eastAsia="仿宋_GB2312" w:cs="Times New Roman"/>
          <w:kern w:val="2"/>
          <w:sz w:val="32"/>
          <w:szCs w:val="32"/>
          <w:lang w:val="en-US" w:eastAsia="zh-CN" w:bidi="ar-SA"/>
        </w:rPr>
        <w:t>天</w:t>
      </w:r>
      <w:r>
        <w:rPr>
          <w:rFonts w:hint="default" w:ascii="仿宋_GB2312" w:hAnsi="Calibri" w:eastAsia="仿宋_GB2312" w:cs="Times New Roman"/>
          <w:kern w:val="2"/>
          <w:sz w:val="32"/>
          <w:szCs w:val="32"/>
          <w:lang w:val="en-US" w:eastAsia="zh-CN" w:bidi="ar-SA"/>
        </w:rPr>
        <w:t>的</w:t>
      </w:r>
      <w:r>
        <w:rPr>
          <w:rFonts w:hint="eastAsia" w:ascii="仿宋_GB2312" w:hAnsi="宋体" w:eastAsia="仿宋_GB2312" w:cs="仿宋_GB2312"/>
          <w:color w:val="000000"/>
          <w:sz w:val="31"/>
          <w:szCs w:val="31"/>
        </w:rPr>
        <w:t>经贸、科技、文化交流</w:t>
      </w:r>
      <w:r>
        <w:rPr>
          <w:rFonts w:hint="eastAsia" w:ascii="仿宋_GB2312" w:hAnsi="Calibri" w:eastAsia="仿宋_GB2312" w:cs="Times New Roman"/>
          <w:kern w:val="2"/>
          <w:sz w:val="32"/>
          <w:szCs w:val="32"/>
          <w:lang w:val="en-US" w:eastAsia="zh-CN" w:bidi="ar-SA"/>
        </w:rPr>
        <w:t>活动出行安排</w:t>
      </w:r>
      <w:r>
        <w:rPr>
          <w:rFonts w:hint="eastAsia" w:ascii="仿宋_GB2312" w:eastAsia="仿宋_GB2312" w:cs="Times New Roman"/>
          <w:kern w:val="2"/>
          <w:sz w:val="32"/>
          <w:szCs w:val="32"/>
          <w:lang w:val="en-US" w:eastAsia="zh-CN" w:bidi="ar-SA"/>
        </w:rPr>
        <w:t>服务工作</w:t>
      </w:r>
      <w:r>
        <w:rPr>
          <w:rFonts w:hint="eastAsia" w:ascii="仿宋_GB2312" w:hAnsi="Calibri" w:eastAsia="仿宋_GB2312" w:cs="Times New Roman"/>
          <w:kern w:val="2"/>
          <w:sz w:val="32"/>
          <w:szCs w:val="32"/>
          <w:lang w:val="en-US" w:eastAsia="zh-CN" w:bidi="ar-SA"/>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left"/>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二、项目形式</w:t>
      </w:r>
    </w:p>
    <w:p>
      <w:pPr>
        <w:numPr>
          <w:ilvl w:val="0"/>
          <w:numId w:val="0"/>
        </w:numPr>
        <w:tabs>
          <w:tab w:val="left" w:pos="1820"/>
        </w:tabs>
        <w:snapToGrid w:val="0"/>
        <w:spacing w:line="560" w:lineRule="atLeast"/>
        <w:ind w:firstLine="640" w:firstLineChars="200"/>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拟采用公开征集的方式选取第三方专业服务机构，做好</w:t>
      </w:r>
      <w:r>
        <w:rPr>
          <w:rFonts w:hint="eastAsia" w:ascii="仿宋_GB2312" w:eastAsia="仿宋_GB2312" w:cs="Times New Roman"/>
          <w:kern w:val="2"/>
          <w:sz w:val="32"/>
          <w:szCs w:val="32"/>
          <w:lang w:val="en-US" w:eastAsia="zh-CN" w:bidi="ar-SA"/>
        </w:rPr>
        <w:t>2025年度</w:t>
      </w:r>
      <w:r>
        <w:rPr>
          <w:rFonts w:hint="default" w:ascii="仿宋_GB2312" w:hAnsi="Calibri" w:eastAsia="仿宋_GB2312" w:cs="Times New Roman"/>
          <w:kern w:val="2"/>
          <w:sz w:val="32"/>
          <w:szCs w:val="32"/>
          <w:lang w:val="en-US" w:eastAsia="zh-CN" w:bidi="ar-SA"/>
        </w:rPr>
        <w:t>龙华</w:t>
      </w:r>
      <w:r>
        <w:rPr>
          <w:rFonts w:hint="eastAsia" w:ascii="仿宋_GB2312" w:hAnsi="Calibri" w:eastAsia="仿宋_GB2312" w:cs="Times New Roman"/>
          <w:kern w:val="2"/>
          <w:sz w:val="32"/>
          <w:szCs w:val="32"/>
          <w:lang w:val="en-US" w:eastAsia="zh-CN" w:bidi="ar-SA"/>
        </w:rPr>
        <w:t>政府团赴</w:t>
      </w:r>
      <w:r>
        <w:rPr>
          <w:rFonts w:hint="default" w:ascii="仿宋_GB2312" w:hAnsi="Calibri" w:eastAsia="仿宋_GB2312" w:cs="Times New Roman"/>
          <w:kern w:val="2"/>
          <w:sz w:val="32"/>
          <w:szCs w:val="32"/>
          <w:lang w:val="en-US" w:eastAsia="zh-CN" w:bidi="ar-SA"/>
        </w:rPr>
        <w:t>墨西哥和加拿大</w:t>
      </w:r>
      <w:r>
        <w:rPr>
          <w:rFonts w:hint="eastAsia" w:ascii="仿宋_GB2312" w:hAnsi="Calibri" w:eastAsia="仿宋_GB2312" w:cs="Times New Roman"/>
          <w:kern w:val="2"/>
          <w:sz w:val="32"/>
          <w:szCs w:val="32"/>
          <w:lang w:val="en-US" w:eastAsia="zh-CN" w:bidi="ar-SA"/>
        </w:rPr>
        <w:t>进行公务活动的出行安排</w:t>
      </w:r>
      <w:r>
        <w:rPr>
          <w:rFonts w:hint="default" w:ascii="仿宋_GB2312" w:hAnsi="Calibri" w:eastAsia="仿宋_GB2312" w:cs="Times New Roman"/>
          <w:kern w:val="2"/>
          <w:sz w:val="32"/>
          <w:szCs w:val="32"/>
          <w:lang w:val="en" w:eastAsia="zh-CN" w:bidi="ar-SA"/>
        </w:rPr>
        <w:t>的</w:t>
      </w:r>
      <w:r>
        <w:rPr>
          <w:rFonts w:hint="eastAsia" w:ascii="仿宋_GB2312" w:hAnsi="Calibri" w:eastAsia="仿宋_GB2312" w:cs="Times New Roman"/>
          <w:kern w:val="2"/>
          <w:sz w:val="32"/>
          <w:szCs w:val="32"/>
          <w:lang w:val="en-US" w:eastAsia="zh-CN" w:bidi="ar-SA"/>
        </w:rPr>
        <w:t>筹备及服务工作。</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left"/>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三、项目内容</w:t>
      </w:r>
      <w:r>
        <w:rPr>
          <w:rFonts w:hint="default" w:ascii="黑体" w:hAnsi="黑体" w:eastAsia="黑体" w:cs="黑体"/>
          <w:sz w:val="32"/>
          <w:szCs w:val="32"/>
          <w:highlight w:val="none"/>
          <w:lang w:val="en-US" w:eastAsia="zh-CN"/>
        </w:rPr>
        <w:t>及</w:t>
      </w:r>
      <w:r>
        <w:rPr>
          <w:rFonts w:hint="eastAsia" w:ascii="黑体" w:hAnsi="黑体" w:eastAsia="黑体" w:cs="黑体"/>
          <w:sz w:val="32"/>
          <w:szCs w:val="32"/>
          <w:highlight w:val="none"/>
          <w:lang w:val="en-US" w:eastAsia="zh-CN"/>
        </w:rPr>
        <w:t>相关</w:t>
      </w:r>
      <w:r>
        <w:rPr>
          <w:rFonts w:hint="default" w:ascii="黑体" w:hAnsi="黑体" w:eastAsia="黑体" w:cs="黑体"/>
          <w:sz w:val="32"/>
          <w:szCs w:val="32"/>
          <w:highlight w:val="none"/>
          <w:lang w:val="en-US" w:eastAsia="zh-CN"/>
        </w:rPr>
        <w:t>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w:t>
      </w:r>
      <w:r>
        <w:rPr>
          <w:rFonts w:hint="default" w:ascii="仿宋_GB2312" w:hAnsi="仿宋_GB2312" w:eastAsia="仿宋_GB2312" w:cs="仿宋_GB2312"/>
          <w:sz w:val="32"/>
          <w:szCs w:val="32"/>
          <w:highlight w:val="none"/>
          <w:lang w:val="en-US" w:eastAsia="zh-CN"/>
        </w:rPr>
        <w:t>2025</w:t>
      </w:r>
      <w:r>
        <w:rPr>
          <w:rFonts w:hint="eastAsia" w:ascii="仿宋_GB2312" w:hAnsi="仿宋_GB2312" w:eastAsia="仿宋_GB2312" w:cs="仿宋_GB2312"/>
          <w:sz w:val="32"/>
          <w:szCs w:val="32"/>
          <w:highlight w:val="none"/>
          <w:lang w:val="en-US" w:eastAsia="zh-CN"/>
        </w:rPr>
        <w:t>年</w:t>
      </w:r>
      <w:r>
        <w:rPr>
          <w:rFonts w:hint="default"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lang w:val="en-US" w:eastAsia="zh-CN"/>
        </w:rPr>
        <w:t>月25日前</w:t>
      </w:r>
      <w:r>
        <w:rPr>
          <w:rFonts w:hint="default"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val="en" w:eastAsia="zh-CN"/>
        </w:rPr>
        <w:t>做好</w:t>
      </w:r>
      <w:r>
        <w:rPr>
          <w:rFonts w:hint="eastAsia" w:ascii="仿宋_GB2312" w:eastAsia="仿宋_GB2312"/>
          <w:sz w:val="32"/>
          <w:szCs w:val="32"/>
          <w:lang w:val="en-US" w:eastAsia="zh-CN"/>
        </w:rPr>
        <w:t>赴</w:t>
      </w:r>
      <w:r>
        <w:rPr>
          <w:rFonts w:hint="default" w:ascii="仿宋_GB2312" w:eastAsia="仿宋_GB2312"/>
          <w:sz w:val="32"/>
          <w:szCs w:val="32"/>
          <w:lang w:val="en-US" w:eastAsia="zh-CN"/>
        </w:rPr>
        <w:t>墨西哥和加拿大</w:t>
      </w:r>
      <w:r>
        <w:rPr>
          <w:rFonts w:hint="eastAsia" w:ascii="仿宋_GB2312" w:eastAsia="仿宋_GB2312" w:cs="仿宋_GB2312"/>
          <w:color w:val="000000"/>
          <w:sz w:val="32"/>
          <w:szCs w:val="32"/>
          <w:lang w:eastAsia="zh-CN"/>
        </w:rPr>
        <w:t>进行公务活动的出行安排</w:t>
      </w:r>
      <w:r>
        <w:rPr>
          <w:rFonts w:hint="eastAsia" w:ascii="仿宋_GB2312" w:eastAsia="仿宋_GB2312"/>
          <w:sz w:val="32"/>
          <w:szCs w:val="32"/>
          <w:lang w:val="en-US" w:eastAsia="zh-CN"/>
        </w:rPr>
        <w:t>策划</w:t>
      </w:r>
      <w:r>
        <w:rPr>
          <w:rFonts w:hint="eastAsia" w:ascii="仿宋_GB2312" w:hAnsi="仿宋_GB2312" w:eastAsia="仿宋_GB2312" w:cs="仿宋_GB2312"/>
          <w:sz w:val="32"/>
          <w:szCs w:val="32"/>
          <w:highlight w:val="none"/>
          <w:lang w:val="en" w:eastAsia="zh-CN"/>
        </w:rPr>
        <w:t>。</w:t>
      </w:r>
      <w:r>
        <w:rPr>
          <w:rFonts w:hint="default" w:ascii="仿宋_GB2312" w:hAnsi="仿宋_GB2312" w:eastAsia="仿宋_GB2312" w:cs="仿宋_GB2312"/>
          <w:sz w:val="32"/>
          <w:szCs w:val="32"/>
          <w:highlight w:val="none"/>
          <w:lang w:val="en-US" w:eastAsia="zh-CN"/>
        </w:rPr>
        <w:t>要求</w:t>
      </w:r>
      <w:r>
        <w:rPr>
          <w:rFonts w:hint="eastAsia" w:ascii="仿宋_GB2312" w:hAnsi="仿宋_GB2312" w:eastAsia="仿宋_GB2312" w:cs="仿宋_GB2312"/>
          <w:sz w:val="32"/>
          <w:szCs w:val="32"/>
          <w:lang w:val="en-US" w:eastAsia="zh-CN"/>
        </w:rPr>
        <w:t>服务商需根据</w:t>
      </w:r>
      <w:r>
        <w:rPr>
          <w:rFonts w:hint="default" w:ascii="仿宋_GB2312" w:hAnsi="仿宋_GB2312" w:eastAsia="仿宋_GB2312" w:cs="仿宋_GB2312"/>
          <w:sz w:val="32"/>
          <w:szCs w:val="32"/>
          <w:lang w:val="en-US" w:eastAsia="zh-CN"/>
        </w:rPr>
        <w:t>出行安排</w:t>
      </w:r>
      <w:r>
        <w:rPr>
          <w:rFonts w:hint="eastAsia" w:ascii="仿宋_GB2312" w:hAnsi="仿宋_GB2312" w:eastAsia="仿宋_GB2312" w:cs="仿宋_GB2312"/>
          <w:sz w:val="32"/>
          <w:szCs w:val="32"/>
          <w:lang w:val="en-US" w:eastAsia="zh-CN"/>
        </w:rPr>
        <w:t>计划，提供合理的访问日程安排等，</w:t>
      </w:r>
      <w:r>
        <w:rPr>
          <w:rFonts w:hint="default"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lang w:val="en-US" w:eastAsia="zh-CN"/>
        </w:rPr>
        <w:t>确保公务活动顺利</w:t>
      </w:r>
      <w:r>
        <w:rPr>
          <w:rFonts w:hint="default" w:ascii="仿宋_GB2312" w:hAnsi="仿宋_GB2312" w:eastAsia="仿宋_GB2312" w:cs="仿宋_GB2312"/>
          <w:sz w:val="32"/>
          <w:szCs w:val="32"/>
          <w:lang w:val="en-US" w:eastAsia="zh-CN"/>
        </w:rPr>
        <w:t>开展</w:t>
      </w:r>
      <w:r>
        <w:rPr>
          <w:rFonts w:hint="eastAsia" w:ascii="仿宋_GB2312" w:hAnsi="仿宋_GB2312" w:eastAsia="仿宋_GB2312" w:cs="仿宋_GB2312"/>
          <w:sz w:val="32"/>
          <w:szCs w:val="32"/>
          <w:lang w:val="en-US"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（二）</w:t>
      </w:r>
      <w:r>
        <w:rPr>
          <w:rFonts w:hint="default" w:ascii="仿宋_GB2312" w:hAnsi="仿宋_GB2312" w:eastAsia="仿宋_GB2312" w:cs="仿宋_GB2312"/>
          <w:sz w:val="32"/>
          <w:szCs w:val="32"/>
          <w:highlight w:val="none"/>
          <w:lang w:val="en-US" w:eastAsia="zh-CN"/>
        </w:rPr>
        <w:t>2025</w:t>
      </w:r>
      <w:r>
        <w:rPr>
          <w:rFonts w:hint="eastAsia" w:ascii="仿宋_GB2312" w:hAnsi="仿宋_GB2312" w:eastAsia="仿宋_GB2312" w:cs="仿宋_GB2312"/>
          <w:sz w:val="32"/>
          <w:szCs w:val="32"/>
          <w:highlight w:val="none"/>
          <w:lang w:val="en-US" w:eastAsia="zh-CN"/>
        </w:rPr>
        <w:t>年8月25日至</w:t>
      </w:r>
      <w:r>
        <w:rPr>
          <w:rFonts w:hint="default"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lang w:val="en-US" w:eastAsia="zh-CN"/>
        </w:rPr>
        <w:t>月</w:t>
      </w:r>
      <w:r>
        <w:rPr>
          <w:rFonts w:hint="default" w:ascii="仿宋_GB2312" w:hAnsi="仿宋_GB2312" w:eastAsia="仿宋_GB2312" w:cs="仿宋_GB2312"/>
          <w:sz w:val="32"/>
          <w:szCs w:val="32"/>
          <w:highlight w:val="none"/>
          <w:lang w:val="en-US" w:eastAsia="zh-CN"/>
        </w:rPr>
        <w:t>31</w:t>
      </w:r>
      <w:r>
        <w:rPr>
          <w:rFonts w:hint="eastAsia" w:ascii="仿宋_GB2312" w:hAnsi="仿宋_GB2312" w:eastAsia="仿宋_GB2312" w:cs="仿宋_GB2312"/>
          <w:sz w:val="32"/>
          <w:szCs w:val="32"/>
          <w:highlight w:val="none"/>
          <w:lang w:val="en-US" w:eastAsia="zh-CN"/>
        </w:rPr>
        <w:t>日</w:t>
      </w:r>
      <w:r>
        <w:rPr>
          <w:rFonts w:hint="default" w:ascii="仿宋_GB2312" w:hAnsi="仿宋_GB2312" w:eastAsia="仿宋_GB2312" w:cs="仿宋_GB2312"/>
          <w:sz w:val="32"/>
          <w:szCs w:val="32"/>
          <w:highlight w:val="none"/>
          <w:lang w:val="en-US" w:eastAsia="zh-CN"/>
        </w:rPr>
        <w:t>期间，</w:t>
      </w:r>
      <w:r>
        <w:rPr>
          <w:rFonts w:hint="eastAsia" w:ascii="仿宋_GB2312" w:hAnsi="仿宋_GB2312" w:eastAsia="仿宋_GB2312" w:cs="仿宋_GB2312"/>
          <w:sz w:val="32"/>
          <w:szCs w:val="32"/>
          <w:highlight w:val="none"/>
          <w:lang w:val="en-US" w:eastAsia="zh-CN"/>
        </w:rPr>
        <w:t>做好</w:t>
      </w:r>
      <w:r>
        <w:rPr>
          <w:rFonts w:hint="eastAsia" w:ascii="仿宋_GB2312" w:hAnsi="仿宋_GB2312" w:eastAsia="仿宋_GB2312" w:cs="仿宋_GB2312"/>
          <w:sz w:val="32"/>
          <w:szCs w:val="32"/>
          <w:highlight w:val="none"/>
          <w:lang w:val="en" w:eastAsia="zh-CN"/>
        </w:rPr>
        <w:t>在</w:t>
      </w:r>
      <w:r>
        <w:rPr>
          <w:rFonts w:hint="default" w:ascii="仿宋_GB2312" w:eastAsia="仿宋_GB2312"/>
          <w:sz w:val="32"/>
          <w:szCs w:val="32"/>
          <w:lang w:val="en-US" w:eastAsia="zh-CN"/>
        </w:rPr>
        <w:t>墨西哥和加拿大</w:t>
      </w:r>
      <w:r>
        <w:rPr>
          <w:rFonts w:hint="eastAsia" w:ascii="仿宋_GB2312" w:eastAsia="仿宋_GB2312" w:cs="仿宋_GB2312"/>
          <w:color w:val="000000"/>
          <w:sz w:val="32"/>
          <w:szCs w:val="32"/>
          <w:lang w:eastAsia="zh-CN"/>
        </w:rPr>
        <w:t>的出行服务工作。</w:t>
      </w:r>
      <w:r>
        <w:rPr>
          <w:rFonts w:hint="default" w:ascii="仿宋_GB2312" w:hAnsi="仿宋_GB2312" w:eastAsia="仿宋_GB2312" w:cs="仿宋_GB2312"/>
          <w:sz w:val="32"/>
          <w:szCs w:val="32"/>
          <w:highlight w:val="none"/>
          <w:lang w:val="en-US" w:eastAsia="zh-CN"/>
        </w:rPr>
        <w:t>要求</w:t>
      </w:r>
      <w:r>
        <w:rPr>
          <w:rFonts w:hint="eastAsia" w:ascii="仿宋_GB2312" w:hAnsi="仿宋_GB2312" w:eastAsia="仿宋_GB2312" w:cs="仿宋_GB2312"/>
          <w:sz w:val="32"/>
          <w:szCs w:val="32"/>
          <w:lang w:val="en-US" w:eastAsia="zh-CN"/>
        </w:rPr>
        <w:t>服务商</w:t>
      </w:r>
      <w:r>
        <w:rPr>
          <w:rFonts w:hint="default" w:ascii="仿宋_GB2312" w:eastAsia="仿宋_GB2312" w:cs="仿宋_GB2312"/>
          <w:color w:val="000000"/>
          <w:sz w:val="32"/>
          <w:szCs w:val="32"/>
          <w:lang w:val="en-US" w:eastAsia="zh-CN"/>
        </w:rPr>
        <w:t>包括但不限于：</w:t>
      </w:r>
      <w:r>
        <w:rPr>
          <w:rFonts w:hint="eastAsia" w:ascii="仿宋_GB2312" w:hAnsi="仿宋_GB2312" w:eastAsia="仿宋_GB2312" w:cs="仿宋_GB2312"/>
          <w:sz w:val="32"/>
          <w:szCs w:val="32"/>
          <w:lang w:val="en-US" w:eastAsia="zh-CN"/>
        </w:rPr>
        <w:t>负责出访人员</w:t>
      </w:r>
      <w:r>
        <w:rPr>
          <w:rFonts w:hint="default"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en-US" w:eastAsia="zh-CN"/>
        </w:rPr>
        <w:t>人</w:t>
      </w:r>
      <w:r>
        <w:rPr>
          <w:rFonts w:hint="default" w:ascii="仿宋_GB2312" w:hAnsi="仿宋_GB2312" w:eastAsia="仿宋_GB2312" w:cs="仿宋_GB2312"/>
          <w:sz w:val="32"/>
          <w:szCs w:val="32"/>
          <w:lang w:val="en-US" w:eastAsia="zh-CN"/>
        </w:rPr>
        <w:t>的住宿费、餐费、公杂费、公务机票、城市间交通费、购买保险、签证代办</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lang w:val="en-US" w:eastAsia="zh-CN"/>
        </w:rPr>
        <w:t>确保公务活动顺利</w:t>
      </w:r>
      <w:r>
        <w:rPr>
          <w:rFonts w:hint="default" w:ascii="仿宋_GB2312" w:hAnsi="仿宋_GB2312" w:eastAsia="仿宋_GB2312" w:cs="仿宋_GB2312"/>
          <w:sz w:val="32"/>
          <w:szCs w:val="32"/>
          <w:lang w:val="en-US" w:eastAsia="zh-CN"/>
        </w:rPr>
        <w:t>完成</w:t>
      </w:r>
      <w:r>
        <w:rPr>
          <w:rFonts w:hint="eastAsia" w:ascii="仿宋_GB2312" w:hAnsi="仿宋_GB2312" w:eastAsia="仿宋_GB2312" w:cs="仿宋_GB2312"/>
          <w:sz w:val="32"/>
          <w:szCs w:val="32"/>
          <w:lang w:val="en-US" w:eastAsia="zh-CN"/>
        </w:rPr>
        <w:t>。（注：相关经费标准详见附表）</w:t>
      </w:r>
    </w:p>
    <w:tbl>
      <w:tblPr>
        <w:tblStyle w:val="7"/>
        <w:tblW w:w="819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16"/>
        <w:gridCol w:w="2130"/>
        <w:gridCol w:w="1088"/>
        <w:gridCol w:w="1256"/>
        <w:gridCol w:w="22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213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国家城市</w:t>
            </w:r>
          </w:p>
        </w:tc>
        <w:tc>
          <w:tcPr>
            <w:tcW w:w="2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22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经费</w:t>
            </w:r>
            <w:r>
              <w:rPr>
                <w:rFonts w:hint="eastAsia" w:ascii="宋体" w:hAnsi="宋体" w:eastAsia="宋体" w:cs="宋体"/>
                <w:b/>
                <w:bCs/>
                <w:i w:val="0"/>
                <w:iCs w:val="0"/>
                <w:color w:val="000000"/>
                <w:kern w:val="0"/>
                <w:sz w:val="24"/>
                <w:szCs w:val="24"/>
                <w:u w:val="none"/>
                <w:lang w:val="en-US" w:eastAsia="zh-CN" w:bidi="ar"/>
              </w:rPr>
              <w:t>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21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（人）</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（天数）</w:t>
            </w:r>
          </w:p>
        </w:tc>
        <w:tc>
          <w:tcPr>
            <w:tcW w:w="22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住宿费</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墨西哥</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墨西哥城</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宋体" w:hAnsi="宋体" w:cs="宋体"/>
                <w:i w:val="0"/>
                <w:iCs w:val="0"/>
                <w:color w:val="000000"/>
                <w:kern w:val="0"/>
                <w:sz w:val="24"/>
                <w:szCs w:val="24"/>
                <w:u w:val="none"/>
                <w:lang w:val="en-US" w:eastAsia="zh-CN" w:bidi="ar"/>
              </w:rPr>
              <w:t>5</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2</w:t>
            </w:r>
          </w:p>
        </w:tc>
        <w:tc>
          <w:tcPr>
            <w:tcW w:w="2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150美元/晚*人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加拿大</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多伦多</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宋体" w:hAnsi="宋体" w:cs="宋体"/>
                <w:i w:val="0"/>
                <w:iCs w:val="0"/>
                <w:color w:val="000000"/>
                <w:kern w:val="0"/>
                <w:sz w:val="24"/>
                <w:szCs w:val="24"/>
                <w:u w:val="none"/>
                <w:lang w:val="en-US" w:eastAsia="zh-CN" w:bidi="ar"/>
              </w:rPr>
              <w:t>5</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210美元/晚*人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伙食费</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墨西哥</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墨西哥城</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宋体" w:hAnsi="宋体" w:cs="宋体"/>
                <w:i w:val="0"/>
                <w:iCs w:val="0"/>
                <w:color w:val="000000"/>
                <w:kern w:val="0"/>
                <w:sz w:val="24"/>
                <w:szCs w:val="24"/>
                <w:u w:val="none"/>
                <w:lang w:val="en-US" w:eastAsia="zh-CN" w:bidi="ar"/>
              </w:rPr>
              <w:t>5</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3</w:t>
            </w:r>
          </w:p>
        </w:tc>
        <w:tc>
          <w:tcPr>
            <w:tcW w:w="2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50美元/天*人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加拿大</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多伦多</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宋体" w:hAnsi="宋体" w:cs="宋体"/>
                <w:i w:val="0"/>
                <w:iCs w:val="0"/>
                <w:color w:val="000000"/>
                <w:kern w:val="0"/>
                <w:sz w:val="24"/>
                <w:szCs w:val="24"/>
                <w:u w:val="none"/>
                <w:lang w:val="en-US" w:eastAsia="zh-CN" w:bidi="ar"/>
              </w:rPr>
              <w:t>5</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4</w:t>
            </w:r>
          </w:p>
        </w:tc>
        <w:tc>
          <w:tcPr>
            <w:tcW w:w="2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55美元/天*人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公杂费</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墨西哥</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墨西哥城</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宋体" w:hAnsi="宋体" w:cs="宋体"/>
                <w:i w:val="0"/>
                <w:iCs w:val="0"/>
                <w:color w:val="000000"/>
                <w:kern w:val="0"/>
                <w:sz w:val="24"/>
                <w:szCs w:val="24"/>
                <w:u w:val="none"/>
                <w:lang w:val="en-US" w:eastAsia="zh-CN" w:bidi="ar"/>
              </w:rPr>
              <w:t>5</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3</w:t>
            </w:r>
          </w:p>
        </w:tc>
        <w:tc>
          <w:tcPr>
            <w:tcW w:w="2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45美元/天*人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加拿大</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多伦多</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default" w:ascii="宋体" w:hAnsi="宋体" w:cs="宋体"/>
                <w:i w:val="0"/>
                <w:iCs w:val="0"/>
                <w:color w:val="000000"/>
                <w:kern w:val="0"/>
                <w:sz w:val="24"/>
                <w:szCs w:val="24"/>
                <w:u w:val="none"/>
                <w:lang w:val="en-US" w:eastAsia="zh-CN" w:bidi="ar"/>
              </w:rPr>
              <w:t>5</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45美元/天*人</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（三）2025年8</w:t>
      </w:r>
      <w:r>
        <w:rPr>
          <w:rFonts w:hint="default" w:ascii="仿宋_GB2312" w:hAnsi="仿宋_GB2312" w:eastAsia="仿宋_GB2312" w:cs="仿宋_GB2312"/>
          <w:sz w:val="32"/>
          <w:szCs w:val="32"/>
          <w:highlight w:val="none"/>
          <w:lang w:val="en" w:eastAsia="zh-CN"/>
        </w:rPr>
        <w:t>月</w:t>
      </w:r>
      <w:r>
        <w:rPr>
          <w:rFonts w:hint="eastAsia" w:ascii="仿宋_GB2312" w:hAnsi="仿宋_GB2312" w:eastAsia="仿宋_GB2312" w:cs="仿宋_GB2312"/>
          <w:sz w:val="32"/>
          <w:szCs w:val="32"/>
          <w:highlight w:val="none"/>
          <w:lang w:val="en-US" w:eastAsia="zh-CN"/>
        </w:rPr>
        <w:t>31日公务活动后，配合做好</w:t>
      </w:r>
      <w:r>
        <w:rPr>
          <w:rFonts w:hint="default" w:ascii="仿宋_GB2312" w:hAnsi="仿宋_GB2312" w:eastAsia="仿宋_GB2312" w:cs="仿宋_GB2312"/>
          <w:sz w:val="32"/>
          <w:szCs w:val="32"/>
          <w:highlight w:val="none"/>
          <w:lang w:val="en-US" w:eastAsia="zh-CN"/>
        </w:rPr>
        <w:t>本项目</w:t>
      </w:r>
      <w:r>
        <w:rPr>
          <w:rFonts w:hint="eastAsia" w:ascii="仿宋_GB2312" w:hAnsi="仿宋_GB2312" w:eastAsia="仿宋_GB2312" w:cs="仿宋_GB2312"/>
          <w:sz w:val="32"/>
          <w:szCs w:val="32"/>
          <w:highlight w:val="none"/>
          <w:lang w:val="en-US" w:eastAsia="zh-CN"/>
        </w:rPr>
        <w:t>结算工作</w:t>
      </w:r>
      <w:r>
        <w:rPr>
          <w:rFonts w:hint="default" w:ascii="仿宋_GB2312" w:hAnsi="仿宋_GB2312" w:eastAsia="仿宋_GB2312" w:cs="仿宋_GB2312"/>
          <w:sz w:val="32"/>
          <w:szCs w:val="32"/>
          <w:lang w:val="en-US" w:eastAsia="zh-CN"/>
        </w:rPr>
        <w:t>及全部手续办理</w:t>
      </w:r>
      <w:r>
        <w:rPr>
          <w:rFonts w:hint="eastAsia" w:ascii="仿宋_GB2312" w:hAnsi="仿宋_GB2312" w:eastAsia="仿宋_GB2312" w:cs="仿宋_GB2312"/>
          <w:sz w:val="32"/>
          <w:szCs w:val="32"/>
          <w:lang w:val="en-US" w:eastAsia="zh-CN"/>
        </w:rPr>
        <w:t>完成</w:t>
      </w:r>
      <w:bookmarkStart w:id="0" w:name="_GoBack"/>
      <w:bookmarkEnd w:id="0"/>
      <w:r>
        <w:rPr>
          <w:rFonts w:hint="default" w:ascii="仿宋_GB2312" w:hAnsi="仿宋_GB2312" w:eastAsia="仿宋_GB2312" w:cs="仿宋_GB2312"/>
          <w:sz w:val="32"/>
          <w:szCs w:val="32"/>
          <w:lang w:val="en-US" w:eastAsia="zh-CN"/>
        </w:rPr>
        <w:t>。</w:t>
      </w:r>
    </w:p>
    <w:p>
      <w:pPr>
        <w:pStyle w:val="2"/>
        <w:keepNext w:val="0"/>
        <w:keepLines w:val="0"/>
        <w:pageBreakBefore w:val="0"/>
        <w:widowControl w:val="0"/>
        <w:numPr>
          <w:ilvl w:val="0"/>
          <w:numId w:val="2"/>
        </w:numPr>
        <w:kinsoku/>
        <w:wordWrap/>
        <w:overflowPunct/>
        <w:topLinePunct w:val="0"/>
        <w:autoSpaceDE/>
        <w:autoSpaceDN/>
        <w:bidi w:val="0"/>
        <w:adjustRightInd/>
        <w:snapToGrid/>
        <w:spacing w:after="0"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报价限额</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right="0" w:rightChars="0" w:firstLine="640" w:firstLineChars="200"/>
        <w:jc w:val="left"/>
        <w:textAlignment w:val="auto"/>
        <w:outlineLvl w:val="9"/>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团组总费用报价限价在人民币492557.51元以内（汇率：1人民币≈0.1394美元，1美元≈7.1725人民币）。</w:t>
      </w:r>
    </w:p>
    <w:p>
      <w:pPr>
        <w:spacing w:line="560" w:lineRule="exact"/>
        <w:ind w:firstLine="640" w:firstLineChars="200"/>
        <w:rPr>
          <w:rFonts w:hint="eastAsia" w:ascii="仿宋_GB2312" w:hAnsi="仿宋_GB2312" w:eastAsia="仿宋_GB2312" w:cs="仿宋_GB2312"/>
          <w:color w:val="auto"/>
          <w:sz w:val="32"/>
          <w:szCs w:val="32"/>
        </w:rPr>
      </w:pPr>
      <w:r>
        <w:rPr>
          <w:rFonts w:hint="eastAsia" w:ascii="黑体" w:hAnsi="黑体" w:eastAsia="黑体" w:cs="黑体"/>
          <w:bCs/>
          <w:color w:val="auto"/>
          <w:sz w:val="32"/>
          <w:szCs w:val="32"/>
          <w:lang w:eastAsia="zh-CN"/>
        </w:rPr>
        <w:t>四</w:t>
      </w:r>
      <w:r>
        <w:rPr>
          <w:rFonts w:hint="eastAsia" w:ascii="黑体" w:hAnsi="黑体" w:eastAsia="黑体" w:cs="黑体"/>
          <w:bCs/>
          <w:color w:val="auto"/>
          <w:sz w:val="32"/>
          <w:szCs w:val="32"/>
        </w:rPr>
        <w:t>、</w:t>
      </w:r>
      <w:r>
        <w:rPr>
          <w:rFonts w:hint="eastAsia" w:ascii="黑体" w:hAnsi="黑体" w:eastAsia="黑体" w:cs="黑体"/>
          <w:color w:val="auto"/>
          <w:sz w:val="32"/>
          <w:szCs w:val="32"/>
        </w:rPr>
        <w:t>供应商的资质要求</w:t>
      </w:r>
    </w:p>
    <w:p>
      <w:pPr>
        <w:spacing w:line="540" w:lineRule="exact"/>
        <w:ind w:firstLine="640" w:firstLineChars="200"/>
        <w:rPr>
          <w:rFonts w:ascii="仿宋_GB2312" w:hAnsi="仿宋" w:eastAsia="仿宋_GB2312" w:cs="仿宋"/>
          <w:color w:val="auto"/>
          <w:sz w:val="32"/>
          <w:szCs w:val="32"/>
        </w:rPr>
      </w:pPr>
      <w:r>
        <w:rPr>
          <w:rFonts w:hint="eastAsia" w:ascii="仿宋_GB2312" w:hAnsi="仿宋" w:eastAsia="仿宋_GB2312" w:cs="仿宋"/>
          <w:color w:val="auto"/>
          <w:sz w:val="32"/>
          <w:szCs w:val="32"/>
        </w:rPr>
        <w:t>（</w:t>
      </w:r>
      <w:r>
        <w:rPr>
          <w:rFonts w:hint="eastAsia" w:ascii="仿宋_GB2312" w:hAnsi="仿宋" w:eastAsia="仿宋_GB2312" w:cs="仿宋"/>
          <w:color w:val="auto"/>
          <w:sz w:val="32"/>
          <w:szCs w:val="32"/>
          <w:lang w:eastAsia="zh-CN"/>
        </w:rPr>
        <w:t>一</w:t>
      </w:r>
      <w:r>
        <w:rPr>
          <w:rFonts w:hint="eastAsia" w:ascii="仿宋_GB2312" w:hAnsi="仿宋" w:eastAsia="仿宋_GB2312" w:cs="仿宋"/>
          <w:color w:val="auto"/>
          <w:sz w:val="32"/>
          <w:szCs w:val="32"/>
        </w:rPr>
        <w:t>）在中国境内注册的独立法人或其他组织（提供营业执照、事业法人证书、社会团体法人登记证书等扫描件）；</w:t>
      </w:r>
    </w:p>
    <w:p>
      <w:pPr>
        <w:spacing w:line="540" w:lineRule="exact"/>
        <w:ind w:firstLine="640" w:firstLineChars="200"/>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rPr>
        <w:t>（</w:t>
      </w:r>
      <w:r>
        <w:rPr>
          <w:rFonts w:hint="eastAsia" w:ascii="仿宋_GB2312" w:hAnsi="仿宋" w:eastAsia="仿宋_GB2312" w:cs="仿宋"/>
          <w:color w:val="auto"/>
          <w:sz w:val="32"/>
          <w:szCs w:val="32"/>
          <w:lang w:eastAsia="zh-CN"/>
        </w:rPr>
        <w:t>二</w:t>
      </w:r>
      <w:r>
        <w:rPr>
          <w:rFonts w:hint="eastAsia" w:ascii="仿宋_GB2312" w:hAnsi="仿宋" w:eastAsia="仿宋_GB2312" w:cs="仿宋"/>
          <w:color w:val="auto"/>
          <w:sz w:val="32"/>
          <w:szCs w:val="32"/>
        </w:rPr>
        <w:t>）参与本项目投标近三年内（供应商成立不足三年的可从成立之日起算），在经营活动中没有重大违法记录以及不存在被有关部门禁止参与政府采购活动且在有效期内的情况</w:t>
      </w:r>
      <w:r>
        <w:rPr>
          <w:rFonts w:hint="eastAsia" w:ascii="仿宋_GB2312" w:hAnsi="仿宋" w:eastAsia="仿宋_GB2312" w:cs="仿宋"/>
          <w:color w:val="auto"/>
          <w:sz w:val="32"/>
          <w:szCs w:val="32"/>
          <w:lang w:eastAsia="zh-CN"/>
        </w:rPr>
        <w:t>；</w:t>
      </w:r>
    </w:p>
    <w:p>
      <w:pPr>
        <w:spacing w:line="540" w:lineRule="exact"/>
        <w:ind w:firstLine="640" w:firstLineChars="200"/>
        <w:rPr>
          <w:rFonts w:hint="eastAsia"/>
        </w:rPr>
      </w:pPr>
      <w:r>
        <w:rPr>
          <w:rFonts w:hint="eastAsia" w:ascii="仿宋_GB2312" w:hAnsi="仿宋" w:eastAsia="仿宋_GB2312" w:cs="仿宋"/>
          <w:color w:val="auto"/>
          <w:sz w:val="32"/>
          <w:szCs w:val="32"/>
        </w:rPr>
        <w:t>（</w:t>
      </w:r>
      <w:r>
        <w:rPr>
          <w:rFonts w:hint="eastAsia" w:ascii="仿宋_GB2312" w:hAnsi="仿宋" w:eastAsia="仿宋_GB2312" w:cs="仿宋"/>
          <w:color w:val="auto"/>
          <w:sz w:val="32"/>
          <w:szCs w:val="32"/>
          <w:lang w:eastAsia="zh-CN"/>
        </w:rPr>
        <w:t>三</w:t>
      </w:r>
      <w:r>
        <w:rPr>
          <w:rFonts w:hint="eastAsia" w:ascii="仿宋_GB2312" w:hAnsi="仿宋" w:eastAsia="仿宋_GB2312" w:cs="仿宋"/>
          <w:color w:val="auto"/>
          <w:sz w:val="32"/>
          <w:szCs w:val="32"/>
        </w:rPr>
        <w:t>）单位负责人为同一人或者存在直接控股、管理关系的不同供应商，不得同时参加本项目的采购活动。</w:t>
      </w:r>
    </w:p>
    <w:p>
      <w:pPr>
        <w:spacing w:line="560"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、选定供应商方法</w:t>
      </w:r>
    </w:p>
    <w:p>
      <w:pPr>
        <w:tabs>
          <w:tab w:val="left" w:pos="1820"/>
        </w:tabs>
        <w:adjustRightInd w:val="0"/>
        <w:snapToGrid w:val="0"/>
        <w:spacing w:line="560" w:lineRule="exact"/>
        <w:ind w:firstLine="640" w:firstLineChars="200"/>
        <w:rPr>
          <w:rFonts w:hint="default" w:ascii="仿宋_GB2312" w:hAnsi="仿宋" w:eastAsia="仿宋_GB2312"/>
          <w:color w:val="auto"/>
          <w:sz w:val="32"/>
          <w:lang w:val="en-US" w:eastAsia="zh-CN"/>
        </w:rPr>
      </w:pPr>
      <w:r>
        <w:rPr>
          <w:rFonts w:hint="eastAsia" w:ascii="仿宋_GB2312" w:hAnsi="仿宋" w:eastAsia="仿宋_GB2312"/>
          <w:color w:val="auto"/>
          <w:sz w:val="32"/>
        </w:rPr>
        <w:t>综合评分法</w:t>
      </w:r>
    </w:p>
    <w:p>
      <w:pPr>
        <w:spacing w:line="560"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rPr>
        <w:t>、评分要求</w:t>
      </w:r>
    </w:p>
    <w:p>
      <w:pPr>
        <w:pStyle w:val="10"/>
        <w:spacing w:line="560" w:lineRule="exact"/>
        <w:ind w:firstLine="640" w:firstLineChars="200"/>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（一）评分规则</w:t>
      </w:r>
    </w:p>
    <w:p>
      <w:pPr>
        <w:spacing w:line="560" w:lineRule="exact"/>
        <w:ind w:firstLine="640" w:firstLineChars="200"/>
        <w:rPr>
          <w:rFonts w:hint="eastAsia" w:ascii="黑体" w:hAnsi="黑体" w:eastAsia="仿宋_GB2312" w:cs="仿宋_GB2312"/>
          <w:bCs/>
          <w:color w:val="auto"/>
          <w:sz w:val="32"/>
          <w:szCs w:val="32"/>
          <w:lang w:eastAsia="zh-CN"/>
        </w:rPr>
      </w:pPr>
      <w:r>
        <w:rPr>
          <w:rFonts w:hint="eastAsia" w:ascii="仿宋_GB2312" w:eastAsia="仿宋_GB2312"/>
          <w:color w:val="auto"/>
          <w:sz w:val="32"/>
          <w:szCs w:val="32"/>
        </w:rPr>
        <w:t>采取综合评分标准，</w:t>
      </w:r>
      <w:r>
        <w:rPr>
          <w:rFonts w:hint="eastAsia" w:ascii="仿宋_GB2312" w:eastAsia="仿宋_GB2312"/>
          <w:color w:val="auto"/>
          <w:sz w:val="32"/>
          <w:szCs w:val="32"/>
          <w:lang w:val="en-US" w:eastAsia="zh-CN"/>
        </w:rPr>
        <w:t>得分</w:t>
      </w:r>
      <w:r>
        <w:rPr>
          <w:rFonts w:hint="eastAsia" w:ascii="仿宋_GB2312" w:eastAsia="仿宋_GB2312"/>
          <w:color w:val="auto"/>
          <w:sz w:val="32"/>
          <w:szCs w:val="32"/>
          <w:highlight w:val="none"/>
        </w:rPr>
        <w:t>最高</w:t>
      </w:r>
      <w:r>
        <w:rPr>
          <w:rFonts w:hint="eastAsia" w:ascii="仿宋_GB2312" w:eastAsia="仿宋_GB2312"/>
          <w:color w:val="auto"/>
          <w:sz w:val="32"/>
          <w:szCs w:val="32"/>
        </w:rPr>
        <w:t>的投标人为本项目中标人。</w:t>
      </w:r>
      <w:r>
        <w:rPr>
          <w:rFonts w:hint="eastAsia" w:ascii="仿宋_GB2312" w:eastAsia="仿宋_GB2312"/>
          <w:color w:val="auto"/>
          <w:sz w:val="32"/>
          <w:szCs w:val="32"/>
          <w:lang w:eastAsia="zh-CN"/>
        </w:rPr>
        <w:t>（</w:t>
      </w:r>
      <w:r>
        <w:rPr>
          <w:rFonts w:hint="eastAsia" w:ascii="仿宋_GB2312" w:eastAsia="仿宋_GB2312"/>
          <w:color w:val="auto"/>
          <w:sz w:val="32"/>
          <w:szCs w:val="32"/>
        </w:rPr>
        <w:t>注：不</w:t>
      </w:r>
      <w:r>
        <w:rPr>
          <w:rFonts w:hint="eastAsia" w:ascii="仿宋_GB2312" w:eastAsia="仿宋_GB2312"/>
          <w:color w:val="auto"/>
          <w:sz w:val="32"/>
          <w:szCs w:val="32"/>
          <w:lang w:eastAsia="zh-CN"/>
        </w:rPr>
        <w:t>能</w:t>
      </w:r>
      <w:r>
        <w:rPr>
          <w:rFonts w:hint="eastAsia" w:ascii="仿宋_GB2312" w:eastAsia="仿宋_GB2312"/>
          <w:color w:val="auto"/>
          <w:sz w:val="32"/>
          <w:szCs w:val="32"/>
        </w:rPr>
        <w:t>提供证明文件或提供的证明文件不合格者，不得分</w:t>
      </w:r>
      <w:r>
        <w:rPr>
          <w:rFonts w:hint="eastAsia" w:ascii="仿宋_GB2312" w:eastAsia="仿宋_GB2312"/>
          <w:color w:val="auto"/>
          <w:sz w:val="32"/>
          <w:szCs w:val="32"/>
          <w:lang w:eastAsia="zh-CN"/>
        </w:rPr>
        <w:t>）</w:t>
      </w:r>
    </w:p>
    <w:p>
      <w:pPr>
        <w:pStyle w:val="10"/>
        <w:spacing w:line="560" w:lineRule="exact"/>
        <w:ind w:firstLine="640" w:firstLineChars="200"/>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（二）评分权重</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2295"/>
        <w:gridCol w:w="2029"/>
        <w:gridCol w:w="22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1" w:type="dxa"/>
            <w:noWrap w:val="0"/>
            <w:vAlign w:val="top"/>
          </w:tcPr>
          <w:p>
            <w:pPr>
              <w:pStyle w:val="10"/>
              <w:spacing w:line="560" w:lineRule="exact"/>
              <w:jc w:val="center"/>
              <w:rPr>
                <w:rFonts w:hint="eastAsia" w:ascii="仿宋_GB2312" w:hAnsi="仿宋_GB2312" w:eastAsia="仿宋_GB2312" w:cs="仿宋_GB2312"/>
                <w:b/>
                <w:bCs w:val="0"/>
                <w:color w:val="auto"/>
                <w:sz w:val="24"/>
                <w:szCs w:val="24"/>
              </w:rPr>
            </w:pPr>
            <w:r>
              <w:rPr>
                <w:rFonts w:hint="eastAsia" w:ascii="仿宋_GB2312" w:hAnsi="仿宋_GB2312" w:eastAsia="仿宋_GB2312" w:cs="仿宋_GB2312"/>
                <w:b/>
                <w:bCs w:val="0"/>
                <w:color w:val="auto"/>
                <w:sz w:val="24"/>
                <w:szCs w:val="24"/>
              </w:rPr>
              <w:t>评分内容</w:t>
            </w:r>
          </w:p>
        </w:tc>
        <w:tc>
          <w:tcPr>
            <w:tcW w:w="2295" w:type="dxa"/>
            <w:noWrap w:val="0"/>
            <w:vAlign w:val="top"/>
          </w:tcPr>
          <w:p>
            <w:pPr>
              <w:pStyle w:val="10"/>
              <w:spacing w:line="560" w:lineRule="exact"/>
              <w:jc w:val="center"/>
              <w:rPr>
                <w:rFonts w:hint="eastAsia" w:ascii="仿宋_GB2312" w:hAnsi="仿宋_GB2312" w:eastAsia="仿宋_GB2312" w:cs="仿宋_GB2312"/>
                <w:b/>
                <w:bCs w:val="0"/>
                <w:color w:val="auto"/>
                <w:sz w:val="24"/>
                <w:szCs w:val="24"/>
              </w:rPr>
            </w:pPr>
            <w:r>
              <w:rPr>
                <w:rFonts w:hint="eastAsia" w:ascii="仿宋_GB2312" w:hAnsi="仿宋_GB2312" w:eastAsia="仿宋_GB2312" w:cs="仿宋_GB2312"/>
                <w:b/>
                <w:bCs w:val="0"/>
                <w:color w:val="auto"/>
                <w:sz w:val="24"/>
                <w:szCs w:val="24"/>
              </w:rPr>
              <w:t>商务能力</w:t>
            </w:r>
          </w:p>
        </w:tc>
        <w:tc>
          <w:tcPr>
            <w:tcW w:w="2029" w:type="dxa"/>
            <w:noWrap w:val="0"/>
            <w:vAlign w:val="top"/>
          </w:tcPr>
          <w:p>
            <w:pPr>
              <w:pStyle w:val="10"/>
              <w:spacing w:line="560" w:lineRule="exact"/>
              <w:jc w:val="center"/>
              <w:rPr>
                <w:rFonts w:hint="eastAsia" w:ascii="仿宋_GB2312" w:hAnsi="仿宋_GB2312" w:eastAsia="仿宋_GB2312" w:cs="仿宋_GB2312"/>
                <w:b/>
                <w:bCs w:val="0"/>
                <w:color w:val="auto"/>
                <w:sz w:val="24"/>
                <w:szCs w:val="24"/>
                <w:lang w:eastAsia="zh-CN"/>
              </w:rPr>
            </w:pPr>
            <w:r>
              <w:rPr>
                <w:rFonts w:hint="eastAsia" w:ascii="仿宋_GB2312" w:hAnsi="仿宋_GB2312" w:eastAsia="仿宋_GB2312" w:cs="仿宋_GB2312"/>
                <w:b/>
                <w:bCs w:val="0"/>
                <w:color w:val="auto"/>
                <w:sz w:val="24"/>
                <w:szCs w:val="24"/>
                <w:lang w:eastAsia="zh-CN"/>
              </w:rPr>
              <w:t>技术能力</w:t>
            </w:r>
          </w:p>
        </w:tc>
        <w:tc>
          <w:tcPr>
            <w:tcW w:w="2201" w:type="dxa"/>
            <w:noWrap w:val="0"/>
            <w:vAlign w:val="top"/>
          </w:tcPr>
          <w:p>
            <w:pPr>
              <w:pStyle w:val="10"/>
              <w:spacing w:line="560" w:lineRule="exact"/>
              <w:jc w:val="center"/>
              <w:rPr>
                <w:rFonts w:hint="eastAsia" w:ascii="仿宋_GB2312" w:hAnsi="仿宋_GB2312" w:eastAsia="仿宋_GB2312" w:cs="仿宋_GB2312"/>
                <w:b/>
                <w:bCs w:val="0"/>
                <w:color w:val="auto"/>
                <w:sz w:val="24"/>
                <w:szCs w:val="24"/>
              </w:rPr>
            </w:pPr>
            <w:r>
              <w:rPr>
                <w:rFonts w:hint="eastAsia" w:ascii="仿宋_GB2312" w:hAnsi="仿宋_GB2312" w:eastAsia="仿宋_GB2312" w:cs="仿宋_GB2312"/>
                <w:b/>
                <w:bCs w:val="0"/>
                <w:color w:val="auto"/>
                <w:sz w:val="24"/>
                <w:szCs w:val="24"/>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1" w:type="dxa"/>
            <w:noWrap w:val="0"/>
            <w:vAlign w:val="top"/>
          </w:tcPr>
          <w:p>
            <w:pPr>
              <w:pStyle w:val="10"/>
              <w:spacing w:line="560" w:lineRule="exact"/>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分值</w:t>
            </w:r>
          </w:p>
        </w:tc>
        <w:tc>
          <w:tcPr>
            <w:tcW w:w="2295" w:type="dxa"/>
            <w:noWrap w:val="0"/>
            <w:vAlign w:val="top"/>
          </w:tcPr>
          <w:p>
            <w:pPr>
              <w:pStyle w:val="10"/>
              <w:spacing w:line="560" w:lineRule="exact"/>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val="en-US" w:eastAsia="zh-CN"/>
              </w:rPr>
              <w:t>30</w:t>
            </w:r>
            <w:r>
              <w:rPr>
                <w:rFonts w:hint="eastAsia" w:ascii="仿宋_GB2312" w:hAnsi="仿宋_GB2312" w:eastAsia="仿宋_GB2312" w:cs="仿宋_GB2312"/>
                <w:b w:val="0"/>
                <w:bCs/>
                <w:color w:val="auto"/>
                <w:sz w:val="24"/>
                <w:szCs w:val="24"/>
              </w:rPr>
              <w:t>分</w:t>
            </w:r>
          </w:p>
        </w:tc>
        <w:tc>
          <w:tcPr>
            <w:tcW w:w="2029" w:type="dxa"/>
            <w:noWrap w:val="0"/>
            <w:vAlign w:val="top"/>
          </w:tcPr>
          <w:p>
            <w:pPr>
              <w:pStyle w:val="10"/>
              <w:spacing w:line="560" w:lineRule="exact"/>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val="en-US" w:eastAsia="zh-CN"/>
              </w:rPr>
              <w:t>50</w:t>
            </w:r>
            <w:r>
              <w:rPr>
                <w:rFonts w:hint="eastAsia" w:ascii="仿宋_GB2312" w:hAnsi="仿宋_GB2312" w:eastAsia="仿宋_GB2312" w:cs="仿宋_GB2312"/>
                <w:b w:val="0"/>
                <w:bCs/>
                <w:color w:val="auto"/>
                <w:sz w:val="24"/>
                <w:szCs w:val="24"/>
              </w:rPr>
              <w:t>分</w:t>
            </w:r>
          </w:p>
        </w:tc>
        <w:tc>
          <w:tcPr>
            <w:tcW w:w="2201" w:type="dxa"/>
            <w:noWrap w:val="0"/>
            <w:vAlign w:val="top"/>
          </w:tcPr>
          <w:p>
            <w:pPr>
              <w:pStyle w:val="10"/>
              <w:spacing w:line="560" w:lineRule="exact"/>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lang w:val="en-US" w:eastAsia="zh-CN"/>
              </w:rPr>
              <w:t>20</w:t>
            </w:r>
            <w:r>
              <w:rPr>
                <w:rFonts w:hint="eastAsia" w:ascii="仿宋_GB2312" w:hAnsi="仿宋_GB2312" w:eastAsia="仿宋_GB2312" w:cs="仿宋_GB2312"/>
                <w:b w:val="0"/>
                <w:bCs/>
                <w:color w:val="auto"/>
                <w:sz w:val="24"/>
                <w:szCs w:val="24"/>
              </w:rPr>
              <w:t>分</w:t>
            </w:r>
          </w:p>
        </w:tc>
      </w:tr>
    </w:tbl>
    <w:p>
      <w:pPr>
        <w:pStyle w:val="10"/>
        <w:spacing w:line="560" w:lineRule="exact"/>
        <w:ind w:firstLine="640" w:firstLineChars="200"/>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（三）评分标准</w:t>
      </w:r>
    </w:p>
    <w:p>
      <w:pPr>
        <w:spacing w:line="560" w:lineRule="exact"/>
        <w:ind w:firstLine="642"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1.商务能力</w:t>
      </w:r>
    </w:p>
    <w:tbl>
      <w:tblPr>
        <w:tblStyle w:val="7"/>
        <w:tblW w:w="89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0"/>
        <w:gridCol w:w="1485"/>
        <w:gridCol w:w="4080"/>
        <w:gridCol w:w="2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935" w:type="dxa"/>
            <w:gridSpan w:val="3"/>
            <w:noWrap w:val="0"/>
            <w:vAlign w:val="center"/>
          </w:tcPr>
          <w:p>
            <w:pPr>
              <w:widowControl/>
              <w:spacing w:line="560" w:lineRule="exact"/>
              <w:jc w:val="center"/>
              <w:rPr>
                <w:rFonts w:hint="eastAsia" w:ascii="仿宋_GB2312" w:hAnsi="仿宋_GB2312" w:eastAsia="仿宋_GB2312" w:cs="仿宋_GB2312"/>
                <w:b/>
                <w:bCs/>
                <w:color w:val="auto"/>
                <w:kern w:val="0"/>
                <w:sz w:val="24"/>
                <w:szCs w:val="24"/>
              </w:rPr>
            </w:pPr>
            <w:r>
              <w:rPr>
                <w:rFonts w:hint="eastAsia" w:ascii="仿宋_GB2312" w:hAnsi="仿宋_GB2312" w:eastAsia="仿宋_GB2312" w:cs="仿宋_GB2312"/>
                <w:b/>
                <w:bCs/>
                <w:color w:val="auto"/>
                <w:kern w:val="0"/>
                <w:sz w:val="24"/>
                <w:szCs w:val="24"/>
              </w:rPr>
              <w:t>项目</w:t>
            </w:r>
          </w:p>
        </w:tc>
        <w:tc>
          <w:tcPr>
            <w:tcW w:w="2970" w:type="dxa"/>
            <w:noWrap w:val="0"/>
            <w:vAlign w:val="center"/>
          </w:tcPr>
          <w:p>
            <w:pPr>
              <w:widowControl/>
              <w:spacing w:line="560" w:lineRule="exact"/>
              <w:jc w:val="center"/>
              <w:rPr>
                <w:rFonts w:hint="eastAsia" w:ascii="仿宋_GB2312" w:hAnsi="仿宋_GB2312" w:eastAsia="仿宋_GB2312" w:cs="仿宋_GB2312"/>
                <w:b/>
                <w:bCs/>
                <w:color w:val="auto"/>
                <w:kern w:val="0"/>
                <w:sz w:val="24"/>
                <w:szCs w:val="24"/>
              </w:rPr>
            </w:pPr>
            <w:r>
              <w:rPr>
                <w:rFonts w:hint="eastAsia" w:ascii="仿宋_GB2312" w:hAnsi="仿宋_GB2312" w:eastAsia="仿宋_GB2312" w:cs="仿宋_GB2312"/>
                <w:b/>
                <w:bCs/>
                <w:color w:val="auto"/>
                <w:kern w:val="0"/>
                <w:sz w:val="24"/>
                <w:szCs w:val="24"/>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370" w:type="dxa"/>
            <w:vMerge w:val="restart"/>
            <w:noWrap w:val="0"/>
            <w:vAlign w:val="center"/>
          </w:tcPr>
          <w:p>
            <w:pPr>
              <w:spacing w:line="560" w:lineRule="exact"/>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
                <w:bCs w:val="0"/>
                <w:color w:val="auto"/>
                <w:sz w:val="24"/>
                <w:szCs w:val="24"/>
                <w:lang w:eastAsia="zh-CN"/>
              </w:rPr>
              <w:t>商务</w:t>
            </w:r>
            <w:r>
              <w:rPr>
                <w:rFonts w:hint="eastAsia" w:ascii="仿宋_GB2312" w:hAnsi="仿宋_GB2312" w:eastAsia="仿宋_GB2312" w:cs="仿宋_GB2312"/>
                <w:b/>
                <w:bCs w:val="0"/>
                <w:color w:val="auto"/>
                <w:sz w:val="24"/>
                <w:szCs w:val="24"/>
              </w:rPr>
              <w:t>能力评分</w:t>
            </w:r>
          </w:p>
        </w:tc>
        <w:tc>
          <w:tcPr>
            <w:tcW w:w="1485" w:type="dxa"/>
            <w:noWrap w:val="0"/>
            <w:vAlign w:val="center"/>
          </w:tcPr>
          <w:p>
            <w:pPr>
              <w:spacing w:line="240" w:lineRule="auto"/>
              <w:jc w:val="center"/>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lang w:eastAsia="zh-CN"/>
              </w:rPr>
              <w:t>同类经验</w:t>
            </w:r>
          </w:p>
          <w:p>
            <w:pPr>
              <w:spacing w:line="240" w:lineRule="auto"/>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sz w:val="24"/>
                <w:szCs w:val="24"/>
              </w:rPr>
              <w:t>（</w:t>
            </w:r>
            <w:r>
              <w:rPr>
                <w:rFonts w:hint="eastAsia" w:ascii="仿宋_GB2312" w:hAnsi="仿宋_GB2312" w:eastAsia="仿宋_GB2312" w:cs="仿宋_GB2312"/>
                <w:bCs/>
                <w:color w:val="auto"/>
                <w:sz w:val="24"/>
                <w:szCs w:val="24"/>
                <w:lang w:val="en-US" w:eastAsia="zh-CN"/>
              </w:rPr>
              <w:t>10</w:t>
            </w:r>
            <w:r>
              <w:rPr>
                <w:rFonts w:hint="eastAsia" w:ascii="仿宋_GB2312" w:hAnsi="仿宋_GB2312" w:eastAsia="仿宋_GB2312" w:cs="仿宋_GB2312"/>
                <w:bCs/>
                <w:color w:val="auto"/>
                <w:sz w:val="24"/>
                <w:szCs w:val="24"/>
              </w:rPr>
              <w:t>分）</w:t>
            </w:r>
          </w:p>
        </w:tc>
        <w:tc>
          <w:tcPr>
            <w:tcW w:w="4080" w:type="dxa"/>
            <w:noWrap w:val="0"/>
            <w:vAlign w:val="center"/>
          </w:tcPr>
          <w:p>
            <w:pPr>
              <w:spacing w:line="240" w:lineRule="auto"/>
              <w:jc w:val="left"/>
              <w:rPr>
                <w:rFonts w:hint="eastAsia" w:ascii="Calibri" w:hAnsi="Calibri" w:eastAsia="宋体" w:cs="Times New Roman"/>
                <w:kern w:val="2"/>
                <w:sz w:val="24"/>
                <w:szCs w:val="24"/>
                <w:lang w:val="en-US" w:eastAsia="zh-CN" w:bidi="ar-SA"/>
              </w:rPr>
            </w:pPr>
            <w:r>
              <w:rPr>
                <w:rFonts w:hint="eastAsia" w:ascii="仿宋_GB2312" w:hAnsi="仿宋_GB2312" w:eastAsia="仿宋_GB2312" w:cs="仿宋_GB2312"/>
                <w:bCs/>
                <w:color w:val="auto"/>
                <w:sz w:val="24"/>
                <w:szCs w:val="24"/>
              </w:rPr>
              <w:t>近三年</w:t>
            </w:r>
            <w:r>
              <w:rPr>
                <w:rFonts w:hint="eastAsia" w:ascii="仿宋_GB2312" w:hAnsi="仿宋_GB2312" w:eastAsia="仿宋_GB2312" w:cs="仿宋_GB2312"/>
                <w:bCs/>
                <w:color w:val="auto"/>
                <w:sz w:val="24"/>
                <w:szCs w:val="24"/>
                <w:lang w:eastAsia="zh-CN"/>
              </w:rPr>
              <w:t>，承接过同类型项目。（提供</w:t>
            </w:r>
            <w:r>
              <w:rPr>
                <w:rFonts w:hint="eastAsia" w:ascii="仿宋_GB2312" w:hAnsi="仿宋_GB2312" w:eastAsia="仿宋_GB2312" w:cs="仿宋_GB2312"/>
                <w:bCs/>
                <w:color w:val="auto"/>
                <w:sz w:val="24"/>
                <w:szCs w:val="24"/>
                <w:lang w:val="en-US" w:eastAsia="zh-CN"/>
              </w:rPr>
              <w:t>1个得5分，2个得10分）</w:t>
            </w:r>
          </w:p>
        </w:tc>
        <w:tc>
          <w:tcPr>
            <w:tcW w:w="2970" w:type="dxa"/>
            <w:noWrap w:val="0"/>
            <w:vAlign w:val="center"/>
          </w:tcPr>
          <w:p>
            <w:pPr>
              <w:spacing w:line="240" w:lineRule="auto"/>
              <w:jc w:val="left"/>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rPr>
              <w:t>1</w:t>
            </w:r>
            <w:r>
              <w:rPr>
                <w:rFonts w:ascii="仿宋_GB2312" w:hAnsi="仿宋_GB2312" w:eastAsia="仿宋_GB2312" w:cs="仿宋_GB2312"/>
                <w:bCs/>
                <w:color w:val="auto"/>
                <w:sz w:val="24"/>
                <w:szCs w:val="24"/>
              </w:rPr>
              <w:t>.</w:t>
            </w:r>
            <w:r>
              <w:rPr>
                <w:rFonts w:hint="eastAsia" w:ascii="仿宋_GB2312" w:hAnsi="仿宋_GB2312" w:eastAsia="仿宋_GB2312" w:cs="仿宋_GB2312"/>
                <w:bCs/>
                <w:color w:val="auto"/>
                <w:sz w:val="24"/>
                <w:szCs w:val="24"/>
              </w:rPr>
              <w:t>需提供项目合同关键页或中标通知书复印件</w:t>
            </w:r>
            <w:r>
              <w:rPr>
                <w:rFonts w:hint="eastAsia" w:ascii="仿宋_GB2312" w:hAnsi="仿宋_GB2312" w:eastAsia="仿宋_GB2312" w:cs="仿宋_GB2312"/>
                <w:bCs/>
                <w:color w:val="auto"/>
                <w:sz w:val="24"/>
                <w:szCs w:val="24"/>
                <w:lang w:eastAsia="zh-CN"/>
              </w:rPr>
              <w:t>。</w:t>
            </w:r>
          </w:p>
          <w:p>
            <w:pPr>
              <w:spacing w:line="240" w:lineRule="auto"/>
              <w:jc w:val="left"/>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2</w:t>
            </w:r>
            <w:r>
              <w:rPr>
                <w:rFonts w:ascii="仿宋_GB2312" w:hAnsi="仿宋_GB2312" w:eastAsia="仿宋_GB2312" w:cs="仿宋_GB2312"/>
                <w:bCs/>
                <w:color w:val="auto"/>
                <w:sz w:val="24"/>
                <w:szCs w:val="24"/>
              </w:rPr>
              <w:t>.</w:t>
            </w:r>
            <w:r>
              <w:rPr>
                <w:rFonts w:hint="eastAsia" w:ascii="仿宋_GB2312" w:hAnsi="仿宋_GB2312" w:eastAsia="仿宋_GB2312" w:cs="仿宋_GB2312"/>
                <w:bCs/>
                <w:color w:val="auto"/>
                <w:sz w:val="24"/>
                <w:szCs w:val="24"/>
              </w:rPr>
              <w:t>未按要求提供或提供不清晰导致无法判断的不得分。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0" w:type="dxa"/>
            <w:vMerge w:val="continue"/>
            <w:noWrap w:val="0"/>
            <w:vAlign w:val="center"/>
          </w:tcPr>
          <w:p>
            <w:pPr>
              <w:spacing w:line="560" w:lineRule="exact"/>
              <w:jc w:val="center"/>
              <w:rPr>
                <w:rFonts w:hint="eastAsia" w:ascii="仿宋_GB2312" w:hAnsi="仿宋_GB2312" w:eastAsia="仿宋_GB2312" w:cs="仿宋_GB2312"/>
                <w:bCs/>
                <w:color w:val="auto"/>
                <w:sz w:val="24"/>
                <w:szCs w:val="24"/>
              </w:rPr>
            </w:pPr>
          </w:p>
        </w:tc>
        <w:tc>
          <w:tcPr>
            <w:tcW w:w="1485" w:type="dxa"/>
            <w:noWrap w:val="0"/>
            <w:vAlign w:val="center"/>
          </w:tcPr>
          <w:p>
            <w:pPr>
              <w:spacing w:line="240" w:lineRule="auto"/>
              <w:jc w:val="center"/>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rPr>
              <w:t>项目</w:t>
            </w:r>
            <w:r>
              <w:rPr>
                <w:rFonts w:hint="eastAsia" w:ascii="仿宋_GB2312" w:hAnsi="仿宋_GB2312" w:eastAsia="仿宋_GB2312" w:cs="仿宋_GB2312"/>
                <w:bCs/>
                <w:color w:val="auto"/>
                <w:sz w:val="24"/>
                <w:szCs w:val="24"/>
                <w:lang w:eastAsia="zh-CN"/>
              </w:rPr>
              <w:t>人员</w:t>
            </w:r>
          </w:p>
          <w:p>
            <w:pPr>
              <w:spacing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eastAsia="zh-CN"/>
              </w:rPr>
              <w:t>资质</w:t>
            </w:r>
            <w:r>
              <w:rPr>
                <w:rFonts w:hint="eastAsia" w:ascii="仿宋_GB2312" w:hAnsi="仿宋_GB2312" w:eastAsia="仿宋_GB2312" w:cs="仿宋_GB2312"/>
                <w:bCs/>
                <w:color w:val="auto"/>
                <w:sz w:val="24"/>
                <w:szCs w:val="24"/>
              </w:rPr>
              <w:t>情况</w:t>
            </w:r>
          </w:p>
          <w:p>
            <w:pPr>
              <w:spacing w:line="240" w:lineRule="auto"/>
              <w:jc w:val="center"/>
              <w:rPr>
                <w:rFonts w:hint="default"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sz w:val="24"/>
                <w:szCs w:val="24"/>
              </w:rPr>
              <w:t>（</w:t>
            </w:r>
            <w:r>
              <w:rPr>
                <w:rFonts w:hint="eastAsia" w:ascii="仿宋_GB2312" w:hAnsi="仿宋_GB2312" w:eastAsia="仿宋_GB2312" w:cs="仿宋_GB2312"/>
                <w:bCs/>
                <w:color w:val="auto"/>
                <w:sz w:val="24"/>
                <w:szCs w:val="24"/>
                <w:lang w:val="en-US" w:eastAsia="zh-CN"/>
              </w:rPr>
              <w:t>10</w:t>
            </w:r>
            <w:r>
              <w:rPr>
                <w:rFonts w:hint="eastAsia" w:ascii="仿宋_GB2312" w:hAnsi="仿宋_GB2312" w:eastAsia="仿宋_GB2312" w:cs="仿宋_GB2312"/>
                <w:bCs/>
                <w:color w:val="auto"/>
                <w:sz w:val="24"/>
                <w:szCs w:val="24"/>
              </w:rPr>
              <w:t>分）</w:t>
            </w:r>
          </w:p>
        </w:tc>
        <w:tc>
          <w:tcPr>
            <w:tcW w:w="4080" w:type="dxa"/>
            <w:noWrap w:val="0"/>
            <w:vAlign w:val="center"/>
          </w:tcPr>
          <w:p>
            <w:pPr>
              <w:widowControl/>
              <w:numPr>
                <w:ilvl w:val="0"/>
                <w:numId w:val="0"/>
              </w:numPr>
              <w:spacing w:after="240" w:line="240" w:lineRule="auto"/>
              <w:jc w:val="left"/>
              <w:rPr>
                <w:rFonts w:hint="eastAsia" w:ascii="仿宋_GB2312" w:hAnsi="仿宋_GB2312" w:eastAsia="仿宋_GB2312" w:cs="仿宋_GB2312"/>
                <w:bCs/>
                <w:color w:val="auto"/>
                <w:kern w:val="2"/>
                <w:sz w:val="24"/>
                <w:szCs w:val="24"/>
                <w:lang w:val="en-US" w:eastAsia="zh-CN" w:bidi="ar-SA"/>
              </w:rPr>
            </w:pPr>
            <w:r>
              <w:rPr>
                <w:rFonts w:hint="eastAsia" w:ascii="仿宋_GB2312" w:hAnsi="仿宋_GB2312" w:eastAsia="仿宋_GB2312" w:cs="仿宋_GB2312"/>
                <w:bCs/>
                <w:color w:val="auto"/>
                <w:sz w:val="24"/>
                <w:szCs w:val="24"/>
                <w:lang w:bidi="ar"/>
              </w:rPr>
              <w:t>具备</w:t>
            </w:r>
            <w:r>
              <w:rPr>
                <w:rFonts w:hint="eastAsia" w:ascii="仿宋_GB2312" w:hAnsi="仿宋_GB2312" w:eastAsia="仿宋_GB2312" w:cs="仿宋_GB2312"/>
                <w:bCs/>
                <w:color w:val="auto"/>
                <w:sz w:val="24"/>
                <w:szCs w:val="24"/>
                <w:lang w:val="en-US" w:eastAsia="zh-CN" w:bidi="ar"/>
              </w:rPr>
              <w:t>出国经验，得5分；</w:t>
            </w:r>
            <w:r>
              <w:rPr>
                <w:rFonts w:hint="eastAsia" w:ascii="仿宋_GB2312" w:hAnsi="仿宋_GB2312" w:eastAsia="仿宋_GB2312" w:cs="仿宋_GB2312"/>
                <w:bCs/>
                <w:color w:val="auto"/>
                <w:sz w:val="24"/>
                <w:szCs w:val="24"/>
              </w:rPr>
              <w:t>英语专八语言证书或雅思7分或托福100分及以上</w:t>
            </w:r>
            <w:r>
              <w:rPr>
                <w:rFonts w:hint="eastAsia" w:ascii="仿宋_GB2312" w:hAnsi="仿宋_GB2312" w:eastAsia="仿宋_GB2312" w:cs="仿宋_GB2312"/>
                <w:bCs/>
                <w:color w:val="auto"/>
                <w:sz w:val="24"/>
                <w:szCs w:val="24"/>
                <w:lang w:bidi="ar"/>
              </w:rPr>
              <w:t>的</w:t>
            </w:r>
            <w:r>
              <w:rPr>
                <w:rFonts w:hint="eastAsia" w:ascii="仿宋_GB2312" w:hAnsi="仿宋_GB2312" w:eastAsia="仿宋_GB2312" w:cs="仿宋_GB2312"/>
                <w:bCs/>
                <w:color w:val="auto"/>
                <w:sz w:val="24"/>
                <w:szCs w:val="24"/>
                <w:lang w:eastAsia="zh-CN" w:bidi="ar"/>
              </w:rPr>
              <w:t>，</w:t>
            </w:r>
            <w:r>
              <w:rPr>
                <w:rFonts w:hint="eastAsia" w:ascii="仿宋_GB2312" w:hAnsi="仿宋_GB2312" w:eastAsia="仿宋_GB2312" w:cs="仿宋_GB2312"/>
                <w:bCs/>
                <w:color w:val="auto"/>
                <w:sz w:val="24"/>
                <w:szCs w:val="24"/>
                <w:lang w:val="en-US" w:eastAsia="zh-CN" w:bidi="ar"/>
              </w:rPr>
              <w:t>1个得5分，两个得10分；</w:t>
            </w:r>
            <w:r>
              <w:rPr>
                <w:rFonts w:hint="eastAsia" w:ascii="仿宋_GB2312" w:hAnsi="仿宋_GB2312" w:eastAsia="仿宋_GB2312" w:cs="仿宋_GB2312"/>
                <w:bCs/>
                <w:color w:val="auto"/>
                <w:sz w:val="24"/>
                <w:szCs w:val="24"/>
                <w:lang w:bidi="ar"/>
              </w:rPr>
              <w:t>本项最高得</w:t>
            </w:r>
            <w:r>
              <w:rPr>
                <w:rFonts w:hint="eastAsia" w:ascii="仿宋_GB2312" w:hAnsi="仿宋_GB2312" w:eastAsia="仿宋_GB2312" w:cs="仿宋_GB2312"/>
                <w:bCs/>
                <w:color w:val="auto"/>
                <w:sz w:val="24"/>
                <w:szCs w:val="24"/>
                <w:lang w:val="en-US" w:eastAsia="zh-CN" w:bidi="ar"/>
              </w:rPr>
              <w:t>10</w:t>
            </w:r>
            <w:r>
              <w:rPr>
                <w:rFonts w:hint="eastAsia" w:ascii="仿宋_GB2312" w:hAnsi="仿宋_GB2312" w:eastAsia="仿宋_GB2312" w:cs="仿宋_GB2312"/>
                <w:bCs/>
                <w:color w:val="auto"/>
                <w:sz w:val="24"/>
                <w:szCs w:val="24"/>
                <w:lang w:bidi="ar"/>
              </w:rPr>
              <w:t>分</w:t>
            </w:r>
            <w:r>
              <w:rPr>
                <w:rFonts w:hint="eastAsia" w:ascii="仿宋_GB2312" w:hAnsi="仿宋_GB2312" w:eastAsia="仿宋_GB2312" w:cs="仿宋_GB2312"/>
                <w:bCs/>
                <w:color w:val="auto"/>
                <w:sz w:val="24"/>
                <w:szCs w:val="24"/>
                <w:lang w:eastAsia="zh-CN" w:bidi="ar"/>
              </w:rPr>
              <w:t>。</w:t>
            </w:r>
          </w:p>
        </w:tc>
        <w:tc>
          <w:tcPr>
            <w:tcW w:w="2970" w:type="dxa"/>
            <w:noWrap w:val="0"/>
            <w:vAlign w:val="center"/>
          </w:tcPr>
          <w:p>
            <w:pPr>
              <w:spacing w:line="240" w:lineRule="auto"/>
              <w:jc w:val="left"/>
              <w:rPr>
                <w:rFonts w:hint="default"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1.提供过往合同佐证材料，包含该工作人员信息；</w:t>
            </w:r>
          </w:p>
          <w:p>
            <w:pPr>
              <w:spacing w:line="240" w:lineRule="auto"/>
              <w:jc w:val="left"/>
              <w:rPr>
                <w:rFonts w:hint="eastAsia"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2.</w:t>
            </w:r>
            <w:r>
              <w:rPr>
                <w:rFonts w:hint="eastAsia" w:ascii="仿宋_GB2312" w:hAnsi="仿宋_GB2312" w:eastAsia="仿宋_GB2312" w:cs="仿宋_GB2312"/>
                <w:bCs/>
                <w:color w:val="auto"/>
                <w:sz w:val="24"/>
                <w:szCs w:val="24"/>
              </w:rPr>
              <w:t>提供人员的资质证书扫描件。</w:t>
            </w:r>
            <w:r>
              <w:rPr>
                <w:rFonts w:hint="eastAsia" w:ascii="仿宋_GB2312" w:hAnsi="仿宋_GB2312" w:eastAsia="仿宋_GB2312" w:cs="仿宋_GB2312"/>
                <w:bCs/>
                <w:color w:val="auto"/>
                <w:sz w:val="24"/>
                <w:szCs w:val="24"/>
                <w:lang w:bidi="ar"/>
              </w:rPr>
              <w:t>学历要求还须提供学历认证服务机构出具的学历验证证明或中国高等教育学生信息网（www.chsi.com.cn）验证结果截图，对于较早颁发的学历证书，学信网无法查询的，可提供其他佐证材料，如毕业院校、人社部门等颁发机构或监管机构等单位出具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16" w:hRule="atLeast"/>
          <w:jc w:val="center"/>
        </w:trPr>
        <w:tc>
          <w:tcPr>
            <w:tcW w:w="370" w:type="dxa"/>
            <w:vMerge w:val="continue"/>
            <w:noWrap w:val="0"/>
            <w:vAlign w:val="center"/>
          </w:tcPr>
          <w:p>
            <w:pPr>
              <w:spacing w:line="560" w:lineRule="exact"/>
              <w:jc w:val="center"/>
              <w:rPr>
                <w:rFonts w:hint="eastAsia" w:ascii="仿宋_GB2312" w:hAnsi="仿宋_GB2312" w:eastAsia="仿宋_GB2312" w:cs="仿宋_GB2312"/>
                <w:bCs/>
                <w:color w:val="auto"/>
                <w:sz w:val="24"/>
                <w:szCs w:val="24"/>
              </w:rPr>
            </w:pPr>
          </w:p>
        </w:tc>
        <w:tc>
          <w:tcPr>
            <w:tcW w:w="1485" w:type="dxa"/>
            <w:noWrap w:val="0"/>
            <w:vAlign w:val="center"/>
          </w:tcPr>
          <w:p>
            <w:pPr>
              <w:spacing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服务承诺</w:t>
            </w:r>
          </w:p>
          <w:p>
            <w:pPr>
              <w:spacing w:line="240" w:lineRule="auto"/>
              <w:jc w:val="center"/>
              <w:rPr>
                <w:rFonts w:hint="eastAsia" w:ascii="仿宋_GB2312" w:hAnsi="仿宋_GB2312" w:eastAsia="仿宋_GB2312" w:cs="仿宋_GB2312"/>
                <w:bCs/>
                <w:color w:val="auto"/>
                <w:kern w:val="2"/>
                <w:sz w:val="24"/>
                <w:szCs w:val="24"/>
                <w:lang w:val="en-US" w:eastAsia="zh-CN" w:bidi="ar-SA"/>
              </w:rPr>
            </w:pPr>
            <w:r>
              <w:rPr>
                <w:rFonts w:hint="eastAsia" w:ascii="仿宋_GB2312" w:hAnsi="仿宋_GB2312" w:eastAsia="仿宋_GB2312" w:cs="仿宋_GB2312"/>
                <w:bCs/>
                <w:color w:val="auto"/>
                <w:sz w:val="24"/>
                <w:szCs w:val="24"/>
              </w:rPr>
              <w:t>（</w:t>
            </w:r>
            <w:r>
              <w:rPr>
                <w:rFonts w:ascii="仿宋_GB2312" w:hAnsi="仿宋_GB2312" w:eastAsia="仿宋_GB2312" w:cs="仿宋_GB2312"/>
                <w:bCs/>
                <w:color w:val="auto"/>
                <w:sz w:val="24"/>
                <w:szCs w:val="24"/>
              </w:rPr>
              <w:t>5</w:t>
            </w:r>
            <w:r>
              <w:rPr>
                <w:rFonts w:hint="eastAsia" w:ascii="仿宋_GB2312" w:hAnsi="仿宋_GB2312" w:eastAsia="仿宋_GB2312" w:cs="仿宋_GB2312"/>
                <w:bCs/>
                <w:color w:val="auto"/>
                <w:sz w:val="24"/>
                <w:szCs w:val="24"/>
              </w:rPr>
              <w:t>分）</w:t>
            </w:r>
          </w:p>
        </w:tc>
        <w:tc>
          <w:tcPr>
            <w:tcW w:w="4080" w:type="dxa"/>
            <w:noWrap w:val="0"/>
            <w:vAlign w:val="center"/>
          </w:tcPr>
          <w:p>
            <w:pPr>
              <w:spacing w:line="240" w:lineRule="auto"/>
              <w:jc w:val="left"/>
              <w:rPr>
                <w:rFonts w:hint="eastAsia" w:ascii="仿宋_GB2312" w:hAnsi="仿宋_GB2312" w:eastAsia="仿宋_GB2312" w:cs="仿宋_GB2312"/>
                <w:bCs/>
                <w:color w:val="auto"/>
                <w:kern w:val="2"/>
                <w:sz w:val="24"/>
                <w:szCs w:val="24"/>
                <w:lang w:val="en-US" w:eastAsia="zh-CN" w:bidi="ar-SA"/>
              </w:rPr>
            </w:pPr>
            <w:r>
              <w:rPr>
                <w:rFonts w:hint="eastAsia" w:ascii="仿宋_GB2312" w:hAnsi="仿宋_GB2312" w:eastAsia="仿宋_GB2312" w:cs="仿宋_GB2312"/>
                <w:bCs/>
                <w:color w:val="auto"/>
                <w:sz w:val="24"/>
                <w:szCs w:val="24"/>
              </w:rPr>
              <w:t>承</w:t>
            </w:r>
            <w:r>
              <w:rPr>
                <w:rFonts w:hint="eastAsia" w:ascii="仿宋_GB2312" w:hAnsi="仿宋_GB2312" w:eastAsia="仿宋_GB2312" w:cs="仿宋_GB2312"/>
                <w:bCs/>
                <w:color w:val="auto"/>
                <w:sz w:val="24"/>
                <w:szCs w:val="24"/>
                <w:lang w:bidi="ar"/>
              </w:rPr>
              <w:t>诺满足招标文件要求，保证措施合理且有针对性，有具体的</w:t>
            </w:r>
            <w:r>
              <w:rPr>
                <w:rFonts w:hint="eastAsia" w:ascii="仿宋_GB2312" w:hAnsi="仿宋_GB2312" w:eastAsia="仿宋_GB2312" w:cs="仿宋_GB2312"/>
                <w:bCs/>
                <w:color w:val="auto"/>
                <w:sz w:val="24"/>
                <w:szCs w:val="24"/>
                <w:lang w:eastAsia="zh-CN" w:bidi="ar"/>
              </w:rPr>
              <w:t>服务</w:t>
            </w:r>
            <w:r>
              <w:rPr>
                <w:rFonts w:hint="eastAsia" w:ascii="仿宋_GB2312" w:hAnsi="仿宋_GB2312" w:eastAsia="仿宋_GB2312" w:cs="仿宋_GB2312"/>
                <w:bCs/>
                <w:color w:val="auto"/>
                <w:sz w:val="24"/>
                <w:szCs w:val="24"/>
                <w:lang w:bidi="ar"/>
              </w:rPr>
              <w:t>承诺。满分5分。</w:t>
            </w:r>
          </w:p>
        </w:tc>
        <w:tc>
          <w:tcPr>
            <w:tcW w:w="2970" w:type="dxa"/>
            <w:noWrap w:val="0"/>
            <w:vAlign w:val="center"/>
          </w:tcPr>
          <w:p>
            <w:pPr>
              <w:spacing w:line="240" w:lineRule="auto"/>
              <w:jc w:val="left"/>
              <w:rPr>
                <w:rFonts w:hint="eastAsia" w:ascii="仿宋_GB2312" w:hAnsi="仿宋_GB2312" w:eastAsia="仿宋_GB2312" w:cs="仿宋_GB2312"/>
                <w:bCs/>
                <w:color w:val="auto"/>
                <w:kern w:val="2"/>
                <w:sz w:val="24"/>
                <w:szCs w:val="24"/>
                <w:lang w:val="en-US" w:eastAsia="zh-CN" w:bidi="ar-SA"/>
              </w:rPr>
            </w:pPr>
            <w:r>
              <w:rPr>
                <w:rFonts w:hint="eastAsia" w:ascii="仿宋_GB2312" w:hAnsi="仿宋_GB2312" w:eastAsia="仿宋_GB2312" w:cs="仿宋_GB2312"/>
                <w:bCs/>
                <w:color w:val="auto"/>
                <w:sz w:val="24"/>
                <w:szCs w:val="24"/>
                <w:lang w:eastAsia="zh-CN"/>
              </w:rPr>
              <w:t>提供盖章版诚信承诺函，具体格式详见附件，</w:t>
            </w:r>
            <w:r>
              <w:rPr>
                <w:rFonts w:hint="eastAsia" w:ascii="仿宋_GB2312" w:hAnsi="仿宋_GB2312" w:eastAsia="仿宋_GB2312" w:cs="仿宋_GB2312"/>
                <w:bCs/>
                <w:color w:val="auto"/>
                <w:sz w:val="24"/>
                <w:szCs w:val="24"/>
                <w:highlight w:val="none"/>
              </w:rPr>
              <w:t>不符或不提供不得分</w:t>
            </w:r>
            <w:r>
              <w:rPr>
                <w:rFonts w:hint="eastAsia" w:ascii="仿宋_GB2312" w:hAnsi="仿宋_GB2312" w:eastAsia="仿宋_GB2312" w:cs="仿宋_GB2312"/>
                <w:bCs/>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jc w:val="center"/>
        </w:trPr>
        <w:tc>
          <w:tcPr>
            <w:tcW w:w="370" w:type="dxa"/>
            <w:vMerge w:val="continue"/>
            <w:noWrap w:val="0"/>
            <w:vAlign w:val="center"/>
          </w:tcPr>
          <w:p>
            <w:pPr>
              <w:spacing w:line="560" w:lineRule="exact"/>
              <w:jc w:val="center"/>
              <w:rPr>
                <w:rFonts w:hint="eastAsia" w:ascii="仿宋_GB2312" w:hAnsi="仿宋_GB2312" w:eastAsia="仿宋_GB2312" w:cs="仿宋_GB2312"/>
                <w:bCs/>
                <w:color w:val="auto"/>
                <w:sz w:val="24"/>
                <w:szCs w:val="24"/>
              </w:rPr>
            </w:pPr>
          </w:p>
        </w:tc>
        <w:tc>
          <w:tcPr>
            <w:tcW w:w="1485" w:type="dxa"/>
            <w:noWrap w:val="0"/>
            <w:vAlign w:val="center"/>
          </w:tcPr>
          <w:p>
            <w:pPr>
              <w:spacing w:line="240" w:lineRule="auto"/>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诚信承诺函</w:t>
            </w:r>
          </w:p>
          <w:p>
            <w:pPr>
              <w:spacing w:line="240" w:lineRule="auto"/>
              <w:jc w:val="center"/>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rPr>
              <w:t>（</w:t>
            </w:r>
            <w:r>
              <w:rPr>
                <w:rFonts w:hint="eastAsia" w:ascii="仿宋_GB2312" w:hAnsi="仿宋_GB2312" w:eastAsia="仿宋_GB2312" w:cs="仿宋_GB2312"/>
                <w:bCs/>
                <w:color w:val="auto"/>
                <w:sz w:val="24"/>
                <w:szCs w:val="24"/>
                <w:lang w:val="en-US" w:eastAsia="zh-CN"/>
              </w:rPr>
              <w:t>5</w:t>
            </w:r>
            <w:r>
              <w:rPr>
                <w:rFonts w:hint="eastAsia" w:ascii="仿宋_GB2312" w:hAnsi="仿宋_GB2312" w:eastAsia="仿宋_GB2312" w:cs="仿宋_GB2312"/>
                <w:bCs/>
                <w:color w:val="auto"/>
                <w:sz w:val="24"/>
                <w:szCs w:val="24"/>
              </w:rPr>
              <w:t>分）</w:t>
            </w:r>
          </w:p>
        </w:tc>
        <w:tc>
          <w:tcPr>
            <w:tcW w:w="4080" w:type="dxa"/>
            <w:noWrap w:val="0"/>
            <w:vAlign w:val="center"/>
          </w:tcPr>
          <w:p>
            <w:pPr>
              <w:spacing w:after="240" w:line="240" w:lineRule="auto"/>
              <w:jc w:val="left"/>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根据《深圳市财政委员会关于加强招投标评审环节诚信管理的通知》（深财购</w:t>
            </w:r>
            <w:r>
              <w:rPr>
                <w:rFonts w:ascii="仿宋_GB2312" w:hAnsi="仿宋_GB2312" w:eastAsia="仿宋_GB2312" w:cs="仿宋_GB2312"/>
                <w:bCs/>
                <w:color w:val="auto"/>
                <w:sz w:val="24"/>
                <w:szCs w:val="24"/>
              </w:rPr>
              <w:t>[2013]27号）相关规定，投标人在参与政府采购活动中出现诚信相关问题且在相关主管部门处理措施实施期限内的本项不得分，否则得满分。</w:t>
            </w:r>
          </w:p>
        </w:tc>
        <w:tc>
          <w:tcPr>
            <w:tcW w:w="2970" w:type="dxa"/>
            <w:noWrap w:val="0"/>
            <w:vAlign w:val="center"/>
          </w:tcPr>
          <w:p>
            <w:pPr>
              <w:numPr>
                <w:ilvl w:val="0"/>
                <w:numId w:val="0"/>
              </w:numPr>
              <w:spacing w:after="240" w:line="240" w:lineRule="auto"/>
              <w:ind w:left="0" w:leftChars="0" w:firstLine="0" w:firstLineChars="0"/>
              <w:jc w:val="left"/>
              <w:rPr>
                <w:rFonts w:hint="eastAsia" w:ascii="仿宋_GB2312" w:hAnsi="仿宋_GB2312" w:eastAsia="仿宋_GB2312" w:cs="仿宋_GB2312"/>
                <w:bCs/>
                <w:color w:val="auto"/>
                <w:sz w:val="24"/>
                <w:szCs w:val="24"/>
                <w:lang w:eastAsia="zh-CN"/>
              </w:rPr>
            </w:pPr>
            <w:r>
              <w:rPr>
                <w:rFonts w:hint="eastAsia" w:ascii="仿宋_GB2312" w:hAnsi="仿宋_GB2312" w:eastAsia="仿宋_GB2312" w:cs="仿宋_GB2312"/>
                <w:bCs/>
                <w:color w:val="auto"/>
                <w:sz w:val="24"/>
                <w:szCs w:val="24"/>
                <w:highlight w:val="none"/>
              </w:rPr>
              <w:t>提供</w:t>
            </w:r>
            <w:r>
              <w:rPr>
                <w:rFonts w:hint="eastAsia" w:ascii="仿宋_GB2312" w:hAnsi="仿宋_GB2312" w:eastAsia="仿宋_GB2312" w:cs="仿宋_GB2312"/>
                <w:bCs/>
                <w:color w:val="auto"/>
                <w:sz w:val="24"/>
                <w:szCs w:val="24"/>
                <w:lang w:eastAsia="zh-CN"/>
              </w:rPr>
              <w:t>盖章版</w:t>
            </w:r>
            <w:r>
              <w:rPr>
                <w:rFonts w:hint="eastAsia" w:ascii="仿宋_GB2312" w:hAnsi="仿宋_GB2312" w:eastAsia="仿宋_GB2312" w:cs="仿宋_GB2312"/>
                <w:bCs/>
                <w:color w:val="auto"/>
                <w:sz w:val="24"/>
                <w:szCs w:val="24"/>
                <w:highlight w:val="none"/>
              </w:rPr>
              <w:t>诚信承诺函，</w:t>
            </w:r>
            <w:r>
              <w:rPr>
                <w:rFonts w:hint="eastAsia" w:ascii="仿宋_GB2312" w:hAnsi="仿宋_GB2312" w:eastAsia="仿宋_GB2312" w:cs="仿宋_GB2312"/>
                <w:bCs/>
                <w:color w:val="auto"/>
                <w:sz w:val="24"/>
                <w:szCs w:val="24"/>
                <w:lang w:eastAsia="zh-CN"/>
              </w:rPr>
              <w:t>具体格式详见附件</w:t>
            </w:r>
            <w:r>
              <w:rPr>
                <w:rFonts w:hint="eastAsia" w:ascii="仿宋_GB2312" w:hAnsi="仿宋_GB2312" w:eastAsia="仿宋_GB2312" w:cs="仿宋_GB2312"/>
                <w:bCs/>
                <w:color w:val="auto"/>
                <w:sz w:val="24"/>
                <w:szCs w:val="24"/>
                <w:highlight w:val="none"/>
              </w:rPr>
              <w:t>，不符或不提供不得分</w:t>
            </w:r>
            <w:r>
              <w:rPr>
                <w:rFonts w:hint="eastAsia" w:ascii="仿宋_GB2312" w:hAnsi="仿宋_GB2312" w:eastAsia="仿宋_GB2312" w:cs="仿宋_GB2312"/>
                <w:bCs/>
                <w:color w:val="auto"/>
                <w:sz w:val="24"/>
                <w:szCs w:val="24"/>
                <w:highlight w:val="none"/>
                <w:lang w:eastAsia="zh-CN"/>
              </w:rPr>
              <w:t>。</w:t>
            </w:r>
          </w:p>
        </w:tc>
      </w:tr>
    </w:tbl>
    <w:p>
      <w:pPr>
        <w:spacing w:line="560" w:lineRule="exact"/>
        <w:ind w:firstLine="321" w:firstLineChars="100"/>
        <w:rPr>
          <w:rFonts w:hint="eastAsia" w:ascii="仿宋_GB2312" w:eastAsia="仿宋_GB2312"/>
          <w:b/>
          <w:bCs/>
          <w:color w:val="auto"/>
          <w:sz w:val="32"/>
          <w:szCs w:val="32"/>
        </w:rPr>
      </w:pPr>
    </w:p>
    <w:p>
      <w:pPr>
        <w:spacing w:line="560" w:lineRule="exact"/>
        <w:ind w:firstLine="321" w:firstLineChars="100"/>
        <w:rPr>
          <w:rFonts w:hint="eastAsia" w:ascii="仿宋_GB2312" w:eastAsia="仿宋_GB2312"/>
          <w:b/>
          <w:bCs/>
          <w:color w:val="auto"/>
          <w:sz w:val="32"/>
          <w:szCs w:val="32"/>
        </w:rPr>
      </w:pPr>
      <w:r>
        <w:rPr>
          <w:rFonts w:hint="eastAsia" w:ascii="仿宋_GB2312" w:eastAsia="仿宋_GB2312"/>
          <w:b/>
          <w:bCs/>
          <w:color w:val="auto"/>
          <w:sz w:val="32"/>
          <w:szCs w:val="32"/>
        </w:rPr>
        <w:t>2.技术能力</w:t>
      </w:r>
    </w:p>
    <w:tbl>
      <w:tblPr>
        <w:tblStyle w:val="7"/>
        <w:tblpPr w:leftFromText="180" w:rightFromText="180" w:vertAnchor="text" w:horzAnchor="page" w:tblpX="1585" w:tblpY="595"/>
        <w:tblOverlap w:val="never"/>
        <w:tblW w:w="89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
        <w:gridCol w:w="1485"/>
        <w:gridCol w:w="4230"/>
        <w:gridCol w:w="2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195" w:type="dxa"/>
            <w:gridSpan w:val="3"/>
            <w:noWrap w:val="0"/>
            <w:vAlign w:val="center"/>
          </w:tcPr>
          <w:p>
            <w:pPr>
              <w:widowControl/>
              <w:spacing w:line="240" w:lineRule="auto"/>
              <w:jc w:val="center"/>
              <w:rPr>
                <w:rFonts w:hint="eastAsia" w:ascii="仿宋_GB2312" w:hAnsi="仿宋_GB2312" w:eastAsia="仿宋_GB2312" w:cs="仿宋_GB2312"/>
                <w:b/>
                <w:bCs/>
                <w:color w:val="auto"/>
                <w:kern w:val="0"/>
                <w:sz w:val="24"/>
                <w:szCs w:val="24"/>
              </w:rPr>
            </w:pPr>
            <w:r>
              <w:rPr>
                <w:rFonts w:hint="eastAsia" w:ascii="仿宋_GB2312" w:hAnsi="仿宋_GB2312" w:eastAsia="仿宋_GB2312" w:cs="仿宋_GB2312"/>
                <w:b/>
                <w:bCs/>
                <w:color w:val="auto"/>
                <w:kern w:val="0"/>
                <w:sz w:val="24"/>
                <w:szCs w:val="24"/>
              </w:rPr>
              <w:t>项目</w:t>
            </w:r>
          </w:p>
        </w:tc>
        <w:tc>
          <w:tcPr>
            <w:tcW w:w="2760" w:type="dxa"/>
            <w:noWrap w:val="0"/>
            <w:vAlign w:val="center"/>
          </w:tcPr>
          <w:p>
            <w:pPr>
              <w:widowControl/>
              <w:spacing w:line="240" w:lineRule="auto"/>
              <w:jc w:val="center"/>
              <w:rPr>
                <w:rFonts w:hint="eastAsia" w:ascii="仿宋_GB2312" w:hAnsi="仿宋_GB2312" w:eastAsia="仿宋_GB2312" w:cs="仿宋_GB2312"/>
                <w:b/>
                <w:bCs/>
                <w:color w:val="auto"/>
                <w:kern w:val="0"/>
                <w:sz w:val="24"/>
                <w:szCs w:val="24"/>
              </w:rPr>
            </w:pPr>
            <w:r>
              <w:rPr>
                <w:rFonts w:hint="eastAsia" w:ascii="仿宋_GB2312" w:hAnsi="仿宋_GB2312" w:eastAsia="仿宋_GB2312" w:cs="仿宋_GB2312"/>
                <w:b/>
                <w:bCs/>
                <w:color w:val="auto"/>
                <w:kern w:val="0"/>
                <w:sz w:val="24"/>
                <w:szCs w:val="24"/>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3" w:hRule="atLeast"/>
        </w:trPr>
        <w:tc>
          <w:tcPr>
            <w:tcW w:w="480" w:type="dxa"/>
            <w:vMerge w:val="restart"/>
            <w:noWrap w:val="0"/>
            <w:vAlign w:val="center"/>
          </w:tcPr>
          <w:p>
            <w:pPr>
              <w:spacing w:line="560" w:lineRule="exact"/>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
                <w:bCs/>
                <w:color w:val="auto"/>
                <w:sz w:val="24"/>
                <w:szCs w:val="24"/>
              </w:rPr>
              <w:t>技术能力</w:t>
            </w:r>
          </w:p>
        </w:tc>
        <w:tc>
          <w:tcPr>
            <w:tcW w:w="1485" w:type="dxa"/>
            <w:noWrap w:val="0"/>
            <w:vAlign w:val="center"/>
          </w:tcPr>
          <w:p>
            <w:pPr>
              <w:spacing w:line="400" w:lineRule="exact"/>
              <w:jc w:val="center"/>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eastAsia="zh-CN"/>
              </w:rPr>
              <w:t>项目</w:t>
            </w:r>
            <w:r>
              <w:rPr>
                <w:rFonts w:hint="eastAsia" w:ascii="仿宋_GB2312" w:hAnsi="仿宋_GB2312" w:eastAsia="仿宋_GB2312" w:cs="仿宋_GB2312"/>
                <w:bCs/>
                <w:color w:val="auto"/>
                <w:sz w:val="24"/>
                <w:szCs w:val="24"/>
              </w:rPr>
              <w:t>方案</w:t>
            </w:r>
          </w:p>
          <w:p>
            <w:pPr>
              <w:spacing w:line="400" w:lineRule="exact"/>
              <w:jc w:val="center"/>
              <w:rPr>
                <w:rFonts w:hint="eastAsia" w:ascii="仿宋_GB2312" w:hAnsi="仿宋_GB2312" w:eastAsia="仿宋_GB2312" w:cs="仿宋_GB2312"/>
                <w:bCs/>
                <w:color w:val="auto"/>
                <w:kern w:val="0"/>
                <w:sz w:val="24"/>
                <w:szCs w:val="24"/>
                <w:highlight w:val="none"/>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30分</w:t>
            </w:r>
            <w:r>
              <w:rPr>
                <w:rFonts w:hint="eastAsia" w:ascii="仿宋_GB2312" w:hAnsi="仿宋_GB2312" w:eastAsia="仿宋_GB2312" w:cs="仿宋_GB2312"/>
                <w:bCs/>
                <w:color w:val="auto"/>
                <w:sz w:val="24"/>
                <w:szCs w:val="24"/>
                <w:lang w:eastAsia="zh-CN"/>
              </w:rPr>
              <w:t>）</w:t>
            </w:r>
          </w:p>
        </w:tc>
        <w:tc>
          <w:tcPr>
            <w:tcW w:w="4230" w:type="dxa"/>
            <w:noWrap w:val="0"/>
            <w:vAlign w:val="center"/>
          </w:tcPr>
          <w:p>
            <w:pPr>
              <w:numPr>
                <w:ilvl w:val="0"/>
                <w:numId w:val="0"/>
              </w:numPr>
              <w:spacing w:after="0" w:line="400" w:lineRule="exact"/>
              <w:jc w:val="left"/>
              <w:rPr>
                <w:rFonts w:hint="eastAsia" w:ascii="仿宋_GB2312" w:hAnsi="仿宋_GB2312" w:eastAsia="仿宋_GB2312" w:cs="仿宋_GB2312"/>
                <w:b/>
                <w:bCs w:val="0"/>
                <w:color w:val="auto"/>
                <w:sz w:val="24"/>
                <w:szCs w:val="24"/>
                <w:highlight w:val="none"/>
                <w:lang w:val="en-US" w:eastAsia="zh-CN"/>
              </w:rPr>
            </w:pPr>
            <w:r>
              <w:rPr>
                <w:rFonts w:hint="eastAsia" w:ascii="仿宋_GB2312" w:hAnsi="仿宋_GB2312" w:eastAsia="仿宋_GB2312" w:cs="仿宋_GB2312"/>
                <w:b/>
                <w:bCs w:val="0"/>
                <w:color w:val="auto"/>
                <w:sz w:val="24"/>
                <w:szCs w:val="24"/>
                <w:highlight w:val="none"/>
                <w:lang w:val="en-US" w:eastAsia="zh-CN"/>
              </w:rPr>
              <w:t>（一）投标人应根据采购文件服务需求，提供合理的项目策划方案</w:t>
            </w:r>
            <w:r>
              <w:rPr>
                <w:rFonts w:hint="eastAsia" w:ascii="仿宋_GB2312" w:hAnsi="仿宋_GB2312" w:eastAsia="仿宋_GB2312" w:cs="仿宋_GB2312"/>
                <w:b/>
                <w:bCs w:val="0"/>
                <w:color w:val="auto"/>
                <w:kern w:val="2"/>
                <w:sz w:val="24"/>
                <w:szCs w:val="24"/>
                <w:highlight w:val="none"/>
                <w:lang w:eastAsia="zh-CN"/>
              </w:rPr>
              <w:t>，</w:t>
            </w:r>
            <w:r>
              <w:rPr>
                <w:rFonts w:hint="eastAsia" w:ascii="仿宋_GB2312" w:hAnsi="仿宋_GB2312" w:eastAsia="仿宋_GB2312" w:cs="仿宋_GB2312"/>
                <w:b/>
                <w:bCs w:val="0"/>
                <w:color w:val="auto"/>
                <w:sz w:val="24"/>
                <w:szCs w:val="24"/>
                <w:highlight w:val="none"/>
                <w:lang w:val="en-US" w:eastAsia="zh-CN"/>
              </w:rPr>
              <w:t>内容包括但不限于：</w:t>
            </w:r>
          </w:p>
          <w:p>
            <w:pPr>
              <w:numPr>
                <w:ilvl w:val="0"/>
                <w:numId w:val="0"/>
              </w:numPr>
              <w:spacing w:after="0" w:line="400" w:lineRule="exact"/>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（1）项目整体规划方案；</w:t>
            </w:r>
          </w:p>
          <w:p>
            <w:pPr>
              <w:numPr>
                <w:ilvl w:val="0"/>
                <w:numId w:val="0"/>
              </w:numPr>
              <w:spacing w:after="0" w:line="400" w:lineRule="exact"/>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（2）项目前期准备工作措施；</w:t>
            </w:r>
          </w:p>
          <w:p>
            <w:pPr>
              <w:numPr>
                <w:ilvl w:val="0"/>
                <w:numId w:val="0"/>
              </w:numPr>
              <w:spacing w:after="0" w:line="400" w:lineRule="exact"/>
              <w:ind w:leftChars="0"/>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（3）项目各阶段任务分析；</w:t>
            </w:r>
          </w:p>
          <w:p>
            <w:pPr>
              <w:numPr>
                <w:ilvl w:val="0"/>
                <w:numId w:val="0"/>
              </w:numPr>
              <w:spacing w:after="0" w:line="400" w:lineRule="exact"/>
              <w:ind w:leftChars="0"/>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（4）项目开展实施保障计划；</w:t>
            </w:r>
          </w:p>
          <w:p>
            <w:pPr>
              <w:numPr>
                <w:ilvl w:val="0"/>
                <w:numId w:val="0"/>
              </w:numPr>
              <w:spacing w:after="0" w:line="400" w:lineRule="exact"/>
              <w:ind w:leftChars="0"/>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（5）突发情况应急预案</w:t>
            </w:r>
            <w:r>
              <w:rPr>
                <w:rFonts w:hint="eastAsia" w:ascii="仿宋_GB2312" w:hAnsi="仿宋_GB2312" w:eastAsia="仿宋_GB2312" w:cs="仿宋_GB2312"/>
                <w:bCs/>
                <w:color w:val="auto"/>
                <w:sz w:val="24"/>
                <w:szCs w:val="24"/>
                <w:highlight w:val="none"/>
                <w:lang w:val="en-US" w:eastAsia="zh-CN"/>
              </w:rPr>
              <w:t>等。</w:t>
            </w:r>
          </w:p>
          <w:p>
            <w:pPr>
              <w:spacing w:after="0" w:line="400" w:lineRule="exact"/>
              <w:jc w:val="left"/>
              <w:rPr>
                <w:rFonts w:hint="eastAsia" w:ascii="仿宋_GB2312" w:hAnsi="仿宋_GB2312" w:eastAsia="仿宋_GB2312" w:cs="仿宋_GB2312"/>
                <w:b/>
                <w:bCs w:val="0"/>
                <w:color w:val="auto"/>
                <w:sz w:val="24"/>
                <w:szCs w:val="24"/>
                <w:highlight w:val="none"/>
                <w:lang w:val="en-US" w:eastAsia="zh-CN"/>
              </w:rPr>
            </w:pPr>
            <w:r>
              <w:rPr>
                <w:rFonts w:hint="eastAsia" w:ascii="仿宋_GB2312" w:hAnsi="仿宋_GB2312" w:eastAsia="仿宋_GB2312" w:cs="仿宋_GB2312"/>
                <w:b/>
                <w:bCs w:val="0"/>
                <w:color w:val="auto"/>
                <w:sz w:val="24"/>
                <w:szCs w:val="24"/>
                <w:highlight w:val="none"/>
                <w:lang w:val="en-US" w:eastAsia="zh-CN"/>
              </w:rPr>
              <w:t>（二）在此基础上，由评标委员会对实施方案进一步评审：</w:t>
            </w:r>
          </w:p>
          <w:p>
            <w:pPr>
              <w:spacing w:after="0" w:line="400" w:lineRule="exact"/>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（1）实施方案内容全面。</w:t>
            </w:r>
          </w:p>
          <w:p>
            <w:pPr>
              <w:spacing w:after="0" w:line="400" w:lineRule="exact"/>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（2）实施方案内容具体。</w:t>
            </w:r>
          </w:p>
          <w:p>
            <w:pPr>
              <w:spacing w:after="0" w:line="400" w:lineRule="exact"/>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（3）实施方案内容科学合理。</w:t>
            </w:r>
          </w:p>
          <w:p>
            <w:pPr>
              <w:spacing w:after="0" w:line="400" w:lineRule="exact"/>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（4）实施方案内容针对性强。</w:t>
            </w:r>
          </w:p>
          <w:p>
            <w:pPr>
              <w:spacing w:after="0" w:line="400" w:lineRule="exact"/>
              <w:jc w:val="left"/>
              <w:rPr>
                <w:rFonts w:hint="default"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（5）实施方案内容可操作性强。</w:t>
            </w:r>
          </w:p>
        </w:tc>
        <w:tc>
          <w:tcPr>
            <w:tcW w:w="2760" w:type="dxa"/>
            <w:noWrap w:val="0"/>
            <w:vAlign w:val="center"/>
          </w:tcPr>
          <w:p>
            <w:pPr>
              <w:pStyle w:val="3"/>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（一）满足以上任意一项内容得7分，最高35分。</w:t>
            </w:r>
          </w:p>
          <w:p>
            <w:pPr>
              <w:spacing w:after="0" w:line="400" w:lineRule="exact"/>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（二）优评分标准：满足以上五项要求的评价为优，得 6分。良评分标准：满足以上四项要求的评价为良，得4分。</w:t>
            </w:r>
          </w:p>
          <w:p>
            <w:pPr>
              <w:spacing w:after="0" w:line="400" w:lineRule="exact"/>
              <w:jc w:val="left"/>
              <w:rPr>
                <w:rFonts w:hint="eastAsia"/>
              </w:rPr>
            </w:pPr>
            <w:r>
              <w:rPr>
                <w:rFonts w:hint="eastAsia" w:ascii="仿宋_GB2312" w:hAnsi="仿宋_GB2312" w:eastAsia="仿宋_GB2312" w:cs="仿宋_GB2312"/>
                <w:b w:val="0"/>
                <w:bCs/>
                <w:color w:val="auto"/>
                <w:sz w:val="24"/>
                <w:szCs w:val="24"/>
                <w:highlight w:val="none"/>
                <w:lang w:val="en-US" w:eastAsia="zh-CN"/>
              </w:rPr>
              <w:t>中评分标准：满足以上三项要求的评价为中，得 2分。差评分标准：上述情况之外的，评差不得分。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9" w:hRule="atLeast"/>
        </w:trPr>
        <w:tc>
          <w:tcPr>
            <w:tcW w:w="480" w:type="dxa"/>
            <w:vMerge w:val="continue"/>
            <w:noWrap w:val="0"/>
            <w:vAlign w:val="center"/>
          </w:tcPr>
          <w:p>
            <w:pPr>
              <w:spacing w:line="560" w:lineRule="exact"/>
              <w:jc w:val="center"/>
              <w:rPr>
                <w:rFonts w:hint="eastAsia" w:ascii="仿宋_GB2312" w:hAnsi="仿宋_GB2312" w:eastAsia="仿宋_GB2312" w:cs="仿宋_GB2312"/>
                <w:bCs/>
                <w:color w:val="auto"/>
                <w:sz w:val="24"/>
                <w:szCs w:val="24"/>
              </w:rPr>
            </w:pPr>
          </w:p>
        </w:tc>
        <w:tc>
          <w:tcPr>
            <w:tcW w:w="1485" w:type="dxa"/>
            <w:noWrap w:val="0"/>
            <w:vAlign w:val="center"/>
          </w:tcPr>
          <w:p>
            <w:pPr>
              <w:keepNext w:val="0"/>
              <w:keepLines w:val="0"/>
              <w:pageBreakBefore w:val="0"/>
              <w:kinsoku/>
              <w:wordWrap/>
              <w:overflowPunct/>
              <w:topLinePunct w:val="0"/>
              <w:autoSpaceDE/>
              <w:autoSpaceDN/>
              <w:bidi w:val="0"/>
              <w:spacing w:line="400" w:lineRule="exact"/>
              <w:jc w:val="center"/>
              <w:textAlignment w:val="auto"/>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项目重点</w:t>
            </w:r>
          </w:p>
          <w:p>
            <w:pPr>
              <w:keepNext w:val="0"/>
              <w:keepLines w:val="0"/>
              <w:pageBreakBefore w:val="0"/>
              <w:kinsoku/>
              <w:wordWrap/>
              <w:overflowPunct/>
              <w:topLinePunct w:val="0"/>
              <w:autoSpaceDE/>
              <w:autoSpaceDN/>
              <w:bidi w:val="0"/>
              <w:spacing w:line="400" w:lineRule="exact"/>
              <w:jc w:val="center"/>
              <w:textAlignment w:val="auto"/>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难点分析</w:t>
            </w:r>
          </w:p>
          <w:p>
            <w:pPr>
              <w:keepNext w:val="0"/>
              <w:keepLines w:val="0"/>
              <w:spacing w:line="400" w:lineRule="exact"/>
              <w:jc w:val="center"/>
              <w:rPr>
                <w:rFonts w:hint="eastAsia" w:ascii="仿宋_GB2312" w:hAnsi="仿宋_GB2312" w:eastAsia="仿宋_GB2312" w:cs="仿宋_GB2312"/>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eastAsia="zh-CN"/>
              </w:rPr>
              <w:t>（</w:t>
            </w:r>
            <w:r>
              <w:rPr>
                <w:rFonts w:hint="eastAsia" w:ascii="仿宋_GB2312" w:hAnsi="仿宋_GB2312" w:eastAsia="仿宋_GB2312" w:cs="仿宋_GB2312"/>
                <w:b w:val="0"/>
                <w:bCs/>
                <w:color w:val="auto"/>
                <w:sz w:val="24"/>
                <w:szCs w:val="24"/>
                <w:highlight w:val="none"/>
                <w:lang w:val="en-US" w:eastAsia="zh-CN"/>
              </w:rPr>
              <w:t>10分</w:t>
            </w:r>
            <w:r>
              <w:rPr>
                <w:rFonts w:hint="eastAsia" w:ascii="仿宋_GB2312" w:hAnsi="仿宋_GB2312" w:eastAsia="仿宋_GB2312" w:cs="仿宋_GB2312"/>
                <w:b w:val="0"/>
                <w:bCs/>
                <w:color w:val="auto"/>
                <w:sz w:val="24"/>
                <w:szCs w:val="24"/>
                <w:highlight w:val="none"/>
                <w:lang w:eastAsia="zh-CN"/>
              </w:rPr>
              <w:t>）</w:t>
            </w:r>
          </w:p>
        </w:tc>
        <w:tc>
          <w:tcPr>
            <w:tcW w:w="4230" w:type="dxa"/>
            <w:noWrap w:val="0"/>
            <w:vAlign w:val="center"/>
          </w:tcPr>
          <w:p>
            <w:pPr>
              <w:numPr>
                <w:ilvl w:val="0"/>
                <w:numId w:val="0"/>
              </w:numPr>
              <w:spacing w:after="0" w:line="400" w:lineRule="exact"/>
              <w:jc w:val="left"/>
              <w:rPr>
                <w:rFonts w:hint="eastAsia" w:ascii="仿宋_GB2312" w:hAnsi="仿宋_GB2312" w:eastAsia="仿宋_GB2312" w:cs="仿宋_GB2312"/>
                <w:b/>
                <w:bCs w:val="0"/>
                <w:color w:val="auto"/>
                <w:sz w:val="24"/>
                <w:szCs w:val="24"/>
                <w:highlight w:val="none"/>
                <w:lang w:val="en-US" w:eastAsia="zh-CN"/>
              </w:rPr>
            </w:pPr>
            <w:r>
              <w:rPr>
                <w:rFonts w:hint="eastAsia" w:ascii="仿宋_GB2312" w:hAnsi="仿宋_GB2312" w:eastAsia="仿宋_GB2312" w:cs="仿宋_GB2312"/>
                <w:b/>
                <w:bCs w:val="0"/>
                <w:color w:val="auto"/>
                <w:sz w:val="24"/>
                <w:szCs w:val="24"/>
                <w:highlight w:val="none"/>
                <w:lang w:val="en-US" w:eastAsia="zh-CN"/>
              </w:rPr>
              <w:t>（一）投标人应根据采购文件服务需求，</w:t>
            </w:r>
            <w:r>
              <w:rPr>
                <w:rFonts w:hint="eastAsia" w:ascii="仿宋_GB2312" w:hAnsi="仿宋_GB2312" w:eastAsia="仿宋_GB2312" w:cs="仿宋_GB2312"/>
                <w:b/>
                <w:bCs w:val="0"/>
                <w:color w:val="000000"/>
                <w:sz w:val="24"/>
                <w:szCs w:val="24"/>
                <w:highlight w:val="none"/>
                <w:lang w:eastAsia="zh-CN"/>
              </w:rPr>
              <w:t>提供</w:t>
            </w:r>
            <w:r>
              <w:rPr>
                <w:rFonts w:hint="eastAsia" w:ascii="仿宋_GB2312" w:hAnsi="仿宋_GB2312" w:eastAsia="仿宋_GB2312" w:cs="仿宋_GB2312"/>
                <w:b/>
                <w:bCs w:val="0"/>
                <w:color w:val="auto"/>
                <w:sz w:val="24"/>
                <w:szCs w:val="24"/>
                <w:highlight w:val="none"/>
                <w:lang w:val="en-US" w:eastAsia="zh-CN"/>
              </w:rPr>
              <w:t>本项目相关重点难点分析、应对措施及合理化建议，内容包括但不限于：</w:t>
            </w:r>
          </w:p>
          <w:p>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（1）重点难点分析；</w:t>
            </w:r>
          </w:p>
          <w:p>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（2）应对措施；</w:t>
            </w:r>
          </w:p>
          <w:p>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（3）合理化建议。</w:t>
            </w:r>
          </w:p>
          <w:p>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
                <w:bCs w:val="0"/>
                <w:color w:val="auto"/>
                <w:sz w:val="24"/>
                <w:szCs w:val="24"/>
                <w:highlight w:val="none"/>
                <w:lang w:val="en-US" w:eastAsia="zh-CN"/>
              </w:rPr>
            </w:pPr>
            <w:r>
              <w:rPr>
                <w:rFonts w:hint="eastAsia" w:ascii="仿宋_GB2312" w:hAnsi="仿宋_GB2312" w:eastAsia="仿宋_GB2312" w:cs="仿宋_GB2312"/>
                <w:b/>
                <w:bCs w:val="0"/>
                <w:color w:val="auto"/>
                <w:sz w:val="24"/>
                <w:szCs w:val="24"/>
                <w:highlight w:val="none"/>
                <w:lang w:val="en-US" w:eastAsia="zh-CN"/>
              </w:rPr>
              <w:t>（二）在此基础上，由评标委员会对实施方案进一步评审：</w:t>
            </w:r>
          </w:p>
          <w:p>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（1）建议内容全面。</w:t>
            </w:r>
          </w:p>
          <w:p>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（2）建议内容具体。</w:t>
            </w:r>
          </w:p>
          <w:p>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（3）建议内容科学合理。</w:t>
            </w:r>
          </w:p>
          <w:p>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（4）建议内容针对性强。</w:t>
            </w:r>
          </w:p>
          <w:p>
            <w:pPr>
              <w:keepNext w:val="0"/>
              <w:keepLines w:val="0"/>
              <w:pageBreakBefore w:val="0"/>
              <w:kinsoku/>
              <w:wordWrap/>
              <w:overflowPunct/>
              <w:topLinePunct w:val="0"/>
              <w:autoSpaceDE/>
              <w:autoSpaceDN/>
              <w:bidi w:val="0"/>
              <w:spacing w:line="400" w:lineRule="exact"/>
              <w:jc w:val="left"/>
              <w:textAlignment w:val="auto"/>
              <w:rPr>
                <w:rFonts w:hint="default" w:ascii="仿宋_GB2312" w:hAnsi="仿宋_GB2312" w:eastAsia="仿宋_GB2312" w:cs="仿宋_GB2312"/>
                <w:bCs/>
                <w:color w:val="auto"/>
                <w:sz w:val="24"/>
                <w:szCs w:val="24"/>
                <w:highlight w:val="none"/>
                <w:lang w:val="en-US"/>
              </w:rPr>
            </w:pPr>
            <w:r>
              <w:rPr>
                <w:rFonts w:hint="eastAsia" w:ascii="仿宋_GB2312" w:hAnsi="仿宋_GB2312" w:eastAsia="仿宋_GB2312" w:cs="仿宋_GB2312"/>
                <w:b w:val="0"/>
                <w:bCs/>
                <w:color w:val="auto"/>
                <w:sz w:val="24"/>
                <w:szCs w:val="24"/>
                <w:highlight w:val="none"/>
                <w:lang w:val="en-US" w:eastAsia="zh-CN"/>
              </w:rPr>
              <w:t>（5）建议内容可操作性强。</w:t>
            </w:r>
          </w:p>
        </w:tc>
        <w:tc>
          <w:tcPr>
            <w:tcW w:w="2760" w:type="dxa"/>
            <w:noWrap w:val="0"/>
            <w:vAlign w:val="center"/>
          </w:tcPr>
          <w:p>
            <w:pPr>
              <w:keepNext w:val="0"/>
              <w:keepLines w:val="0"/>
              <w:pageBreakBefore w:val="0"/>
              <w:kinsoku/>
              <w:wordWrap/>
              <w:overflowPunct/>
              <w:topLinePunct w:val="0"/>
              <w:autoSpaceDE/>
              <w:autoSpaceDN/>
              <w:bidi w:val="0"/>
              <w:spacing w:line="400" w:lineRule="exact"/>
              <w:jc w:val="left"/>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（一）满足以上任意一项内容得5分，最高 15分。</w:t>
            </w:r>
          </w:p>
          <w:p>
            <w:pPr>
              <w:keepNext w:val="0"/>
              <w:keepLines w:val="0"/>
              <w:pageBreakBefore w:val="0"/>
              <w:kinsoku/>
              <w:wordWrap/>
              <w:overflowPunct/>
              <w:topLinePunct w:val="0"/>
              <w:autoSpaceDE/>
              <w:autoSpaceDN/>
              <w:bidi w:val="0"/>
              <w:spacing w:line="400" w:lineRule="exact"/>
              <w:jc w:val="left"/>
              <w:textAlignment w:val="auto"/>
              <w:rPr>
                <w:rFonts w:hint="eastAsia"/>
                <w:lang w:val="en-US" w:eastAsia="zh-CN"/>
              </w:rPr>
            </w:pPr>
            <w:r>
              <w:rPr>
                <w:rFonts w:hint="eastAsia" w:ascii="仿宋_GB2312" w:hAnsi="仿宋_GB2312" w:eastAsia="仿宋_GB2312" w:cs="仿宋_GB2312"/>
                <w:b w:val="0"/>
                <w:bCs/>
                <w:color w:val="auto"/>
                <w:sz w:val="24"/>
                <w:szCs w:val="24"/>
                <w:highlight w:val="none"/>
                <w:lang w:val="en-US" w:eastAsia="zh-CN"/>
              </w:rPr>
              <w:t>（二）优评分标准：满足以上五项要求的评价为优，得 6分。良评分标准：满足以上四项要求的评价为良，得 4分。中评分标准：满足以上三项要求的评价为中，得 2分。差评分标准：上述情况之外的，评差不得分。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480" w:type="dxa"/>
            <w:vMerge w:val="continue"/>
            <w:noWrap w:val="0"/>
            <w:vAlign w:val="center"/>
          </w:tcPr>
          <w:p>
            <w:pPr>
              <w:spacing w:line="560" w:lineRule="exact"/>
              <w:jc w:val="center"/>
              <w:rPr>
                <w:rFonts w:hint="eastAsia" w:ascii="仿宋_GB2312" w:hAnsi="仿宋_GB2312" w:eastAsia="仿宋_GB2312" w:cs="仿宋_GB2312"/>
                <w:bCs/>
                <w:color w:val="auto"/>
                <w:sz w:val="24"/>
                <w:szCs w:val="24"/>
              </w:rPr>
            </w:pPr>
          </w:p>
        </w:tc>
        <w:tc>
          <w:tcPr>
            <w:tcW w:w="1485" w:type="dxa"/>
            <w:noWrap w:val="0"/>
            <w:vAlign w:val="center"/>
          </w:tcPr>
          <w:p>
            <w:pPr>
              <w:jc w:val="center"/>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成果</w:t>
            </w:r>
          </w:p>
          <w:p>
            <w:pPr>
              <w:jc w:val="center"/>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w:t>
            </w:r>
            <w:r>
              <w:rPr>
                <w:rFonts w:hint="eastAsia" w:ascii="仿宋_GB2312" w:hAnsi="仿宋_GB2312" w:eastAsia="仿宋_GB2312" w:cs="仿宋_GB2312"/>
                <w:b w:val="0"/>
                <w:bCs/>
                <w:color w:val="000000"/>
                <w:sz w:val="24"/>
                <w:szCs w:val="24"/>
                <w:highlight w:val="none"/>
                <w:lang w:val="en-US" w:eastAsia="zh-CN"/>
              </w:rPr>
              <w:t>10分</w:t>
            </w:r>
            <w:r>
              <w:rPr>
                <w:rFonts w:hint="eastAsia" w:ascii="仿宋_GB2312" w:hAnsi="仿宋_GB2312" w:eastAsia="仿宋_GB2312" w:cs="仿宋_GB2312"/>
                <w:b w:val="0"/>
                <w:bCs/>
                <w:color w:val="000000"/>
                <w:sz w:val="24"/>
                <w:szCs w:val="24"/>
                <w:highlight w:val="none"/>
                <w:lang w:eastAsia="zh-CN"/>
              </w:rPr>
              <w:t>）</w:t>
            </w:r>
          </w:p>
        </w:tc>
        <w:tc>
          <w:tcPr>
            <w:tcW w:w="4230" w:type="dxa"/>
            <w:noWrap w:val="0"/>
            <w:vAlign w:val="center"/>
          </w:tcPr>
          <w:p>
            <w:pPr>
              <w:rPr>
                <w:rFonts w:hint="eastAsia"/>
                <w:lang w:val="en-US" w:eastAsia="zh-CN"/>
              </w:rPr>
            </w:pPr>
            <w:r>
              <w:rPr>
                <w:rFonts w:hint="eastAsia" w:ascii="仿宋_GB2312" w:hAnsi="仿宋_GB2312" w:eastAsia="仿宋_GB2312" w:cs="仿宋_GB2312"/>
                <w:b w:val="0"/>
                <w:bCs/>
                <w:color w:val="000000"/>
                <w:sz w:val="24"/>
                <w:szCs w:val="24"/>
                <w:highlight w:val="none"/>
                <w:lang w:eastAsia="zh-CN"/>
              </w:rPr>
              <w:t>项目预期效果与项目需求的切合程度</w:t>
            </w:r>
          </w:p>
        </w:tc>
        <w:tc>
          <w:tcPr>
            <w:tcW w:w="2760" w:type="dxa"/>
            <w:noWrap w:val="0"/>
            <w:vAlign w:val="center"/>
          </w:tcPr>
          <w:p>
            <w:pPr>
              <w:jc w:val="left"/>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000000"/>
                <w:sz w:val="24"/>
                <w:szCs w:val="24"/>
                <w:highlight w:val="none"/>
                <w:lang w:eastAsia="zh-CN"/>
              </w:rPr>
              <w:t>提供预期项目成果</w:t>
            </w:r>
          </w:p>
        </w:tc>
      </w:tr>
    </w:tbl>
    <w:p>
      <w:pPr>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3</w:t>
      </w:r>
      <w:r>
        <w:rPr>
          <w:rFonts w:hint="eastAsia" w:ascii="仿宋_GB2312" w:eastAsia="仿宋_GB2312"/>
          <w:color w:val="auto"/>
          <w:sz w:val="32"/>
          <w:szCs w:val="32"/>
        </w:rPr>
        <w:t>.报价</w:t>
      </w:r>
    </w:p>
    <w:p>
      <w:pPr>
        <w:spacing w:line="560"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rPr>
        <w:t>以本次</w:t>
      </w:r>
      <w:r>
        <w:rPr>
          <w:rFonts w:hint="eastAsia" w:ascii="仿宋_GB2312" w:hAnsi="仿宋" w:eastAsia="仿宋_GB2312" w:cs="仿宋_GB2312"/>
          <w:color w:val="auto"/>
          <w:sz w:val="32"/>
          <w:szCs w:val="32"/>
        </w:rPr>
        <w:t>报价或投标</w:t>
      </w:r>
      <w:r>
        <w:rPr>
          <w:rFonts w:hint="eastAsia" w:ascii="仿宋_GB2312" w:eastAsia="仿宋_GB2312"/>
          <w:color w:val="auto"/>
          <w:sz w:val="32"/>
          <w:szCs w:val="32"/>
        </w:rPr>
        <w:t>人所报的有效报价中的最低价作为基准报价。投标人报价得分=（基准价/投标人报价）*</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分。</w:t>
      </w:r>
      <w:r>
        <w:rPr>
          <w:rFonts w:hint="eastAsia" w:ascii="仿宋_GB2312" w:eastAsia="仿宋_GB2312"/>
          <w:color w:val="auto"/>
          <w:sz w:val="32"/>
          <w:szCs w:val="32"/>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after="0" w:line="560" w:lineRule="exact"/>
        <w:ind w:left="0" w:leftChars="0" w:right="0" w:rightChars="0" w:firstLine="420" w:firstLineChars="200"/>
        <w:jc w:val="both"/>
        <w:textAlignment w:val="auto"/>
        <w:rPr>
          <w:rFonts w:hint="eastAsia" w:ascii="楷体_GB2312" w:hAnsi="楷体_GB2312" w:eastAsia="楷体_GB2312" w:cs="楷体_GB2312"/>
          <w:color w:val="auto"/>
          <w:sz w:val="32"/>
          <w:szCs w:val="32"/>
          <w:highlight w:val="none"/>
          <w:lang w:eastAsia="zh-CN"/>
        </w:rPr>
      </w:pPr>
      <w:r>
        <w:rPr>
          <w:rFonts w:hint="eastAsia"/>
          <w:color w:val="auto"/>
        </w:rPr>
        <w:t xml:space="preserve">  </w:t>
      </w:r>
      <w:r>
        <w:rPr>
          <w:rFonts w:hint="eastAsia" w:ascii="楷体_GB2312" w:hAnsi="楷体_GB2312" w:eastAsia="楷体_GB2312" w:cs="楷体_GB2312"/>
          <w:color w:val="auto"/>
          <w:sz w:val="32"/>
          <w:szCs w:val="32"/>
          <w:highlight w:val="none"/>
          <w:lang w:eastAsia="zh-CN"/>
        </w:rPr>
        <w:t>（四）采购评审小组构成</w:t>
      </w:r>
    </w:p>
    <w:p>
      <w:pPr>
        <w:keepNext w:val="0"/>
        <w:keepLines w:val="0"/>
        <w:pageBreakBefore w:val="0"/>
        <w:widowControl/>
        <w:kinsoku/>
        <w:wordWrap/>
        <w:overflowPunct/>
        <w:topLinePunct w:val="0"/>
        <w:autoSpaceDE/>
        <w:autoSpaceDN/>
        <w:bidi w:val="0"/>
        <w:adjustRightInd w:val="0"/>
        <w:snapToGrid w:val="0"/>
        <w:spacing w:after="0" w:line="560" w:lineRule="exact"/>
        <w:ind w:left="0" w:leftChars="0" w:right="0" w:rightChars="0" w:firstLine="640" w:firstLineChars="200"/>
        <w:jc w:val="both"/>
        <w:textAlignment w:val="auto"/>
      </w:pPr>
      <w:r>
        <w:rPr>
          <w:rFonts w:hint="eastAsia" w:ascii="仿宋_GB2312" w:hAnsi="仿宋" w:eastAsia="仿宋_GB2312" w:cs="仿宋_GB2312"/>
          <w:color w:val="auto"/>
          <w:sz w:val="32"/>
          <w:szCs w:val="32"/>
          <w:highlight w:val="none"/>
        </w:rPr>
        <w:t>采购评审小组</w:t>
      </w:r>
      <w:r>
        <w:rPr>
          <w:rFonts w:hint="eastAsia" w:ascii="仿宋_GB2312" w:hAnsi="仿宋" w:eastAsia="仿宋_GB2312" w:cs="仿宋_GB2312"/>
          <w:color w:val="auto"/>
          <w:sz w:val="32"/>
          <w:szCs w:val="32"/>
          <w:highlight w:val="none"/>
          <w:lang w:eastAsia="zh-CN"/>
        </w:rPr>
        <w:t>为</w:t>
      </w:r>
      <w:r>
        <w:rPr>
          <w:rFonts w:hint="eastAsia" w:ascii="仿宋_GB2312" w:hAnsi="仿宋" w:eastAsia="仿宋_GB2312" w:cs="仿宋_GB2312"/>
          <w:color w:val="auto"/>
          <w:sz w:val="32"/>
          <w:szCs w:val="32"/>
          <w:highlight w:val="none"/>
          <w:lang w:val="en-US" w:eastAsia="zh-CN"/>
        </w:rPr>
        <w:t>5</w:t>
      </w:r>
      <w:r>
        <w:rPr>
          <w:rFonts w:hint="eastAsia" w:ascii="仿宋_GB2312" w:hAnsi="仿宋" w:eastAsia="仿宋_GB2312" w:cs="仿宋_GB2312"/>
          <w:color w:val="auto"/>
          <w:sz w:val="32"/>
          <w:szCs w:val="32"/>
          <w:highlight w:val="none"/>
        </w:rPr>
        <w:t>人</w:t>
      </w:r>
      <w:r>
        <w:rPr>
          <w:rFonts w:hint="eastAsia" w:ascii="仿宋_GB2312" w:hAnsi="仿宋" w:eastAsia="仿宋_GB2312" w:cs="仿宋_GB2312"/>
          <w:color w:val="auto"/>
          <w:sz w:val="32"/>
          <w:szCs w:val="32"/>
          <w:highlight w:val="none"/>
          <w:lang w:val="en-US" w:eastAsia="zh-CN"/>
        </w:rPr>
        <w:t>，由龙华区工业和信息化局各科室（中心）代表（在编人员）5人，随机抽签选择。</w:t>
      </w:r>
    </w:p>
    <w:sectPr>
      <w:footerReference r:id="rId3"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00"/>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- 2 -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s0lY7tAAAAAFAQAADwAAAAAAAAABACAA&#10;AAA4AAAAZHJzL2Rvd25yZXYueG1sUEsBAhQAFAAAAAgAh07iQP8/A0c4AgAAbwQAAA4AAAAAAAAA&#10;AQAgAAAANQEAAGRycy9lMm9Eb2MueG1sUEsFBgAAAAAGAAYAWQEAAN8FA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- 2 -</w:t>
                    </w:r>
                    <w:r>
                      <w:rPr>
                        <w:rFonts w:hint="eastAsia" w:ascii="宋体" w:hAnsi="宋体" w:eastAsia="宋体" w:cs="宋体"/>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7F693B"/>
    <w:multiLevelType w:val="singleLevel"/>
    <w:tmpl w:val="FF7F693B"/>
    <w:lvl w:ilvl="0" w:tentative="0">
      <w:start w:val="5"/>
      <w:numFmt w:val="chineseCounting"/>
      <w:suff w:val="nothing"/>
      <w:lvlText w:val="%1、"/>
      <w:lvlJc w:val="left"/>
      <w:rPr>
        <w:rFonts w:hint="eastAsia"/>
      </w:rPr>
    </w:lvl>
  </w:abstractNum>
  <w:abstractNum w:abstractNumId="1">
    <w:nsid w:val="FFFD1271"/>
    <w:multiLevelType w:val="singleLevel"/>
    <w:tmpl w:val="FFFD1271"/>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1A86D6DC"/>
    <w:rsid w:val="1AFC601D"/>
    <w:rsid w:val="1CDADC48"/>
    <w:rsid w:val="237CDCAA"/>
    <w:rsid w:val="29E772F1"/>
    <w:rsid w:val="35EF47BF"/>
    <w:rsid w:val="36F34AB8"/>
    <w:rsid w:val="37AFFE54"/>
    <w:rsid w:val="3AF3B723"/>
    <w:rsid w:val="3BA7B925"/>
    <w:rsid w:val="3EF1F4B6"/>
    <w:rsid w:val="3F7FCC1C"/>
    <w:rsid w:val="3FFBFDF5"/>
    <w:rsid w:val="4A1947CF"/>
    <w:rsid w:val="4F7F4263"/>
    <w:rsid w:val="52EA0C54"/>
    <w:rsid w:val="579A46E3"/>
    <w:rsid w:val="57FEFD32"/>
    <w:rsid w:val="67BDA70A"/>
    <w:rsid w:val="6CB63C01"/>
    <w:rsid w:val="70FD627D"/>
    <w:rsid w:val="777F17B7"/>
    <w:rsid w:val="77BF7D5C"/>
    <w:rsid w:val="77EF5095"/>
    <w:rsid w:val="79F904C9"/>
    <w:rsid w:val="7BBC0B07"/>
    <w:rsid w:val="7D4E2520"/>
    <w:rsid w:val="7DFE4B09"/>
    <w:rsid w:val="7DFFBB97"/>
    <w:rsid w:val="7E5F50A8"/>
    <w:rsid w:val="7EF7CA70"/>
    <w:rsid w:val="7F3C7E20"/>
    <w:rsid w:val="7F3EFEB5"/>
    <w:rsid w:val="7FFB03DA"/>
    <w:rsid w:val="85FDAD59"/>
    <w:rsid w:val="8FE7036B"/>
    <w:rsid w:val="ABCB803C"/>
    <w:rsid w:val="AFFE79E0"/>
    <w:rsid w:val="BBF7AB04"/>
    <w:rsid w:val="BEEEBF57"/>
    <w:rsid w:val="BFAEBC46"/>
    <w:rsid w:val="CDD9F037"/>
    <w:rsid w:val="D5B72858"/>
    <w:rsid w:val="DA7EB6F3"/>
    <w:rsid w:val="DCFBA8EB"/>
    <w:rsid w:val="DFF1DA6A"/>
    <w:rsid w:val="EDE68845"/>
    <w:rsid w:val="EF78B1B0"/>
    <w:rsid w:val="EF9FDAA3"/>
    <w:rsid w:val="EFC128F5"/>
    <w:rsid w:val="EFD6D81A"/>
    <w:rsid w:val="F11FC43C"/>
    <w:rsid w:val="F56E8916"/>
    <w:rsid w:val="F6EF5EED"/>
    <w:rsid w:val="F7391CC1"/>
    <w:rsid w:val="F7DFC524"/>
    <w:rsid w:val="FACA167B"/>
    <w:rsid w:val="FB565D67"/>
    <w:rsid w:val="FD7E7F93"/>
    <w:rsid w:val="FDBE5A0D"/>
    <w:rsid w:val="FDD64BF9"/>
    <w:rsid w:val="FDFD6826"/>
    <w:rsid w:val="FDFFD828"/>
    <w:rsid w:val="FEB626B4"/>
    <w:rsid w:val="FFD8226B"/>
    <w:rsid w:val="FFE9A9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20" w:after="120" w:line="240" w:lineRule="auto"/>
      <w:jc w:val="center"/>
      <w:outlineLvl w:val="0"/>
    </w:pPr>
    <w:rPr>
      <w:rFonts w:ascii="Arial" w:hAnsi="Arial" w:eastAsia="黑体" w:cs="Times New Roman"/>
      <w:kern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lock Text"/>
    <w:basedOn w:val="1"/>
    <w:qFormat/>
    <w:uiPriority w:val="0"/>
    <w:pPr>
      <w:tabs>
        <w:tab w:val="left" w:pos="426"/>
      </w:tabs>
      <w:spacing w:after="120"/>
      <w:ind w:left="1440" w:leftChars="700" w:right="1440" w:rightChars="700"/>
    </w:pPr>
  </w:style>
  <w:style w:type="paragraph" w:styleId="4">
    <w:name w:val="footer"/>
    <w:basedOn w:val="1"/>
    <w:qFormat/>
    <w:uiPriority w:val="0"/>
    <w:pPr>
      <w:tabs>
        <w:tab w:val="center" w:pos="4153"/>
        <w:tab w:val="right" w:pos="8306"/>
      </w:tabs>
      <w:snapToGrid w:val="0"/>
      <w:jc w:val="left"/>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USE 1"/>
    <w:basedOn w:val="1"/>
    <w:qFormat/>
    <w:uiPriority w:val="0"/>
    <w:pPr>
      <w:spacing w:line="200" w:lineRule="atLeast"/>
      <w:jc w:val="left"/>
    </w:pPr>
    <w:rPr>
      <w:rFonts w:ascii="宋体" w:hAnsi="宋体"/>
      <w:b/>
      <w:sz w:val="24"/>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2018-07-16T07:11:00Z</dcterms:created>
  <dc:creator>d</dc:creator>
  <cp:lastModifiedBy>zhangmei</cp:lastModifiedBy>
  <dcterms:modified xsi:type="dcterms:W3CDTF">2025-07-28T12:35:21Z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A95F083CF3A17BD7F700A366340000E0</vt:lpwstr>
  </property>
</Properties>
</file>