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0DF577">
      <w:pPr>
        <w:pStyle w:val="25"/>
        <w:keepNext w:val="0"/>
        <w:keepLines w:val="0"/>
        <w:pageBreakBefore w:val="0"/>
        <w:widowControl w:val="0"/>
        <w:kinsoku/>
        <w:wordWrap/>
        <w:overflowPunct/>
        <w:topLinePunct w:val="0"/>
        <w:autoSpaceDE/>
        <w:autoSpaceDN/>
        <w:bidi w:val="0"/>
        <w:adjustRightInd w:val="0"/>
        <w:snapToGrid w:val="0"/>
        <w:spacing w:line="560" w:lineRule="exact"/>
        <w:ind w:firstLine="0"/>
        <w:jc w:val="both"/>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附件</w:t>
      </w:r>
      <w:bookmarkStart w:id="0" w:name="_GoBack"/>
      <w:bookmarkEnd w:id="0"/>
      <w:r>
        <w:rPr>
          <w:rFonts w:hint="eastAsia" w:ascii="黑体" w:hAnsi="黑体" w:eastAsia="黑体" w:cs="黑体"/>
          <w:sz w:val="32"/>
          <w:szCs w:val="32"/>
          <w:lang w:val="en-US" w:eastAsia="zh-CN"/>
        </w:rPr>
        <w:t>2</w:t>
      </w:r>
    </w:p>
    <w:p w14:paraId="52C6F6E0">
      <w:pPr>
        <w:pStyle w:val="25"/>
        <w:keepNext w:val="0"/>
        <w:keepLines w:val="0"/>
        <w:pageBreakBefore w:val="0"/>
        <w:widowControl w:val="0"/>
        <w:kinsoku/>
        <w:wordWrap/>
        <w:overflowPunct/>
        <w:topLinePunct w:val="0"/>
        <w:autoSpaceDE/>
        <w:autoSpaceDN/>
        <w:bidi w:val="0"/>
        <w:adjustRightInd w:val="0"/>
        <w:snapToGrid w:val="0"/>
        <w:spacing w:line="560" w:lineRule="exact"/>
        <w:ind w:firstLine="0"/>
        <w:rPr>
          <w:rFonts w:hint="eastAsia"/>
          <w:lang w:val="en-US" w:eastAsia="zh-CN"/>
        </w:rPr>
      </w:pPr>
    </w:p>
    <w:p w14:paraId="1D2C4AF4">
      <w:pPr>
        <w:pStyle w:val="25"/>
        <w:keepNext w:val="0"/>
        <w:keepLines w:val="0"/>
        <w:pageBreakBefore w:val="0"/>
        <w:widowControl w:val="0"/>
        <w:kinsoku/>
        <w:wordWrap/>
        <w:overflowPunct/>
        <w:topLinePunct w:val="0"/>
        <w:autoSpaceDE/>
        <w:autoSpaceDN/>
        <w:bidi w:val="0"/>
        <w:adjustRightInd w:val="0"/>
        <w:snapToGrid w:val="0"/>
        <w:spacing w:line="560" w:lineRule="exact"/>
        <w:ind w:firstLine="0"/>
        <w:rPr>
          <w:rFonts w:hint="eastAsia" w:ascii="方正小标宋简体" w:hAnsi="方正小标宋简体" w:eastAsia="方正小标宋简体" w:cs="方正小标宋简体"/>
          <w:sz w:val="44"/>
          <w:szCs w:val="44"/>
          <w:highlight w:val="none"/>
          <w:lang w:val="en-US" w:eastAsia="zh-CN"/>
        </w:rPr>
      </w:pPr>
      <w:r>
        <w:rPr>
          <w:rFonts w:hint="eastAsia"/>
          <w:lang w:val="en-US" w:eastAsia="zh-CN"/>
        </w:rPr>
        <w:t>龙华区公共数据资源</w:t>
      </w:r>
      <w:r>
        <w:rPr>
          <w:rFonts w:hint="eastAsia"/>
        </w:rPr>
        <w:t>授权运营</w:t>
      </w:r>
      <w:r>
        <w:rPr>
          <w:rFonts w:hint="eastAsia"/>
          <w:lang w:eastAsia="zh-CN"/>
        </w:rPr>
        <w:t>实施方案</w:t>
      </w:r>
      <w:r>
        <w:rPr>
          <w:rFonts w:hint="eastAsia" w:ascii="方正小标宋简体" w:hAnsi="方正小标宋简体" w:eastAsia="方正小标宋简体" w:cs="方正小标宋简体"/>
          <w:sz w:val="44"/>
          <w:szCs w:val="44"/>
          <w:highlight w:val="none"/>
          <w:lang w:val="en-US" w:eastAsia="zh-CN"/>
        </w:rPr>
        <w:t>（试行）</w:t>
      </w:r>
    </w:p>
    <w:p w14:paraId="59FAC640">
      <w:pPr>
        <w:pStyle w:val="2"/>
        <w:keepNext w:val="0"/>
        <w:keepLines w:val="0"/>
        <w:pageBreakBefore w:val="0"/>
        <w:widowControl w:val="0"/>
        <w:kinsoku/>
        <w:wordWrap/>
        <w:overflowPunct/>
        <w:topLinePunct w:val="0"/>
        <w:autoSpaceDE/>
        <w:autoSpaceDN/>
        <w:bidi w:val="0"/>
        <w:adjustRightInd w:val="0"/>
        <w:snapToGrid w:val="0"/>
        <w:spacing w:line="560" w:lineRule="exact"/>
        <w:jc w:val="center"/>
        <w:rPr>
          <w:rFonts w:hint="eastAsia" w:ascii="楷体_GB2312" w:hAnsi="楷体_GB2312" w:eastAsia="楷体_GB2312" w:cs="楷体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（征求意见稿）</w:t>
      </w:r>
    </w:p>
    <w:p w14:paraId="094E6EE1">
      <w:pPr>
        <w:keepNext w:val="0"/>
        <w:keepLines w:val="0"/>
        <w:pageBreakBefore w:val="0"/>
        <w:widowControl w:val="0"/>
        <w:kinsoku/>
        <w:wordWrap/>
        <w:overflowPunct/>
        <w:topLinePunct w:val="0"/>
        <w:autoSpaceDE/>
        <w:autoSpaceDN/>
        <w:bidi w:val="0"/>
        <w:spacing w:line="560" w:lineRule="exact"/>
        <w:rPr>
          <w:rFonts w:hint="eastAsia"/>
          <w:lang w:val="en-US" w:eastAsia="zh-CN"/>
        </w:rPr>
      </w:pPr>
    </w:p>
    <w:p w14:paraId="73681337">
      <w:pPr>
        <w:keepNext w:val="0"/>
        <w:keepLines w:val="0"/>
        <w:pageBreakBefore w:val="0"/>
        <w:widowControl w:val="0"/>
        <w:suppressLineNumbers w:val="0"/>
        <w:kinsoku/>
        <w:wordWrap/>
        <w:overflowPunct/>
        <w:topLinePunct w:val="0"/>
        <w:autoSpaceDE/>
        <w:autoSpaceDN/>
        <w:bidi w:val="0"/>
        <w:adjustRightInd w:val="0"/>
        <w:snapToGrid w:val="0"/>
        <w:spacing w:line="560" w:lineRule="exact"/>
        <w:jc w:val="both"/>
        <w:textAlignment w:val="auto"/>
        <w:rPr>
          <w:rFonts w:hint="eastAsia"/>
          <w:color w:val="auto"/>
          <w:lang w:val="en-US" w:eastAsia="zh-CN"/>
        </w:rPr>
      </w:pPr>
      <w:r>
        <w:rPr>
          <w:rFonts w:hint="eastAsia" w:ascii="仿宋_GB2312" w:hAnsi="仿宋_GB2312" w:eastAsia="仿宋_GB2312" w:cs="仿宋_GB2312"/>
          <w:color w:val="auto"/>
          <w:sz w:val="32"/>
          <w:szCs w:val="32"/>
          <w:highlight w:val="none"/>
          <w:lang w:val="en-US" w:eastAsia="zh-CN"/>
        </w:rPr>
        <w:t>为规范龙华区公共数据授权运营管理，加快公共数据资源开发利用，进一步释放数据要素价值</w:t>
      </w:r>
      <w:r>
        <w:rPr>
          <w:rFonts w:hint="eastAsia" w:ascii="仿宋_GB2312" w:hAnsi="仿宋_GB2312" w:eastAsia="仿宋_GB2312" w:cs="仿宋_GB2312"/>
          <w:i w:val="0"/>
          <w:caps w:val="0"/>
          <w:color w:val="auto"/>
          <w:spacing w:val="0"/>
          <w:kern w:val="2"/>
          <w:sz w:val="32"/>
          <w:szCs w:val="24"/>
          <w:shd w:val="clear"/>
          <w:lang w:val="en-US" w:eastAsia="zh-CN" w:bidi="ar-SA"/>
        </w:rPr>
        <w:t>，</w:t>
      </w:r>
      <w:r>
        <w:rPr>
          <w:rFonts w:hint="eastAsia" w:ascii="仿宋_GB2312" w:hAnsi="仿宋_GB2312" w:eastAsia="仿宋_GB2312" w:cs="仿宋_GB2312"/>
          <w:color w:val="auto"/>
          <w:sz w:val="32"/>
          <w:szCs w:val="32"/>
          <w:highlight w:val="none"/>
          <w:lang w:val="en-US" w:eastAsia="zh-CN"/>
        </w:rPr>
        <w:t>根据《中华人民共和国网络安全法》《中华人民共和国数据安全法》《中华人民共和国个人信息保护法》《中共中央 国务院关于构建数据基础制度更好发挥数据要素作用的意见》《</w:t>
      </w:r>
      <w:r>
        <w:rPr>
          <w:rFonts w:hint="eastAsia" w:ascii="仿宋_GB2312" w:hAnsi="仿宋_GB2312" w:eastAsia="仿宋_GB2312" w:cs="仿宋_GB2312"/>
          <w:color w:val="auto"/>
          <w:sz w:val="32"/>
          <w:szCs w:val="32"/>
          <w:highlight w:val="none"/>
        </w:rPr>
        <w:t>中共中央办公厅 国务院办公厅关于加快公共数据资源开发利用的意见</w:t>
      </w:r>
      <w:r>
        <w:rPr>
          <w:rFonts w:hint="eastAsia" w:ascii="仿宋_GB2312" w:hAnsi="仿宋_GB2312" w:eastAsia="仿宋_GB2312" w:cs="仿宋_GB2312"/>
          <w:color w:val="auto"/>
          <w:sz w:val="32"/>
          <w:szCs w:val="32"/>
          <w:highlight w:val="none"/>
          <w:lang w:val="en-US" w:eastAsia="zh-CN"/>
        </w:rPr>
        <w:t>》《公共数据资源授权运营实施规范（试行）》《广东省公共数据管理办法》《</w:t>
      </w:r>
      <w:r>
        <w:rPr>
          <w:rFonts w:hint="default" w:ascii="仿宋_GB2312" w:hAnsi="仿宋_GB2312" w:eastAsia="仿宋_GB2312" w:cs="仿宋_GB2312"/>
          <w:color w:val="auto"/>
          <w:sz w:val="32"/>
          <w:szCs w:val="32"/>
          <w:highlight w:val="none"/>
          <w:lang w:val="en-US" w:eastAsia="zh-CN"/>
        </w:rPr>
        <w:t>深圳经济特区数据条例》 </w:t>
      </w:r>
      <w:r>
        <w:rPr>
          <w:rFonts w:hint="eastAsia" w:ascii="仿宋_GB2312" w:hAnsi="仿宋_GB2312" w:eastAsia="仿宋_GB2312" w:cs="仿宋_GB2312"/>
          <w:color w:val="auto"/>
          <w:sz w:val="32"/>
          <w:szCs w:val="32"/>
          <w:highlight w:val="none"/>
          <w:lang w:val="en-US" w:eastAsia="zh-CN"/>
        </w:rPr>
        <w:t>等有关规定，结合本区实际，制定本方案。</w:t>
      </w:r>
    </w:p>
    <w:p w14:paraId="374C71E9">
      <w:pPr>
        <w:pStyle w:val="17"/>
        <w:keepNext w:val="0"/>
        <w:keepLines w:val="0"/>
        <w:pageBreakBefore w:val="0"/>
        <w:widowControl w:val="0"/>
        <w:kinsoku/>
        <w:wordWrap/>
        <w:overflowPunct/>
        <w:topLinePunct w:val="0"/>
        <w:autoSpaceDE/>
        <w:autoSpaceDN/>
        <w:bidi w:val="0"/>
        <w:adjustRightInd w:val="0"/>
        <w:snapToGrid w:val="0"/>
        <w:spacing w:beforeLines="0" w:afterLines="0" w:line="560" w:lineRule="exact"/>
        <w:jc w:val="both"/>
        <w:rPr>
          <w:rFonts w:hint="default"/>
          <w:color w:val="auto"/>
          <w:lang w:val="en-US" w:eastAsia="zh-CN"/>
        </w:rPr>
      </w:pPr>
      <w:r>
        <w:rPr>
          <w:rFonts w:hint="eastAsia"/>
          <w:color w:val="auto"/>
          <w:lang w:val="en-US" w:eastAsia="zh-CN"/>
        </w:rPr>
        <w:t>授权运营的必要性</w:t>
      </w:r>
    </w:p>
    <w:p w14:paraId="4A3849EA">
      <w:pPr>
        <w:keepNext w:val="0"/>
        <w:keepLines w:val="0"/>
        <w:pageBreakBefore w:val="0"/>
        <w:widowControl w:val="0"/>
        <w:numPr>
          <w:ilvl w:val="-1"/>
          <w:numId w:val="0"/>
        </w:numPr>
        <w:suppressLineNumbers w:val="0"/>
        <w:kinsoku/>
        <w:wordWrap/>
        <w:overflowPunct/>
        <w:topLinePunct w:val="0"/>
        <w:autoSpaceDE/>
        <w:autoSpaceDN/>
        <w:bidi w:val="0"/>
        <w:adjustRightInd w:val="0"/>
        <w:snapToGrid w:val="0"/>
        <w:spacing w:line="560" w:lineRule="exact"/>
        <w:ind w:firstLine="640"/>
        <w:jc w:val="both"/>
        <w:rPr>
          <w:rFonts w:hint="default" w:ascii="仿宋_GB2312" w:hAnsi="仿宋_GB2312" w:eastAsia="仿宋_GB2312" w:cs="仿宋_GB2312"/>
          <w:color w:val="auto"/>
          <w:sz w:val="32"/>
          <w:szCs w:val="32"/>
          <w:highlight w:val="none"/>
          <w:lang w:val="en-US" w:eastAsia="zh-CN"/>
        </w:rPr>
      </w:pPr>
      <w:r>
        <w:rPr>
          <w:rFonts w:hint="eastAsia" w:eastAsia="楷体_GB2312" w:cs="楷体_GB2312"/>
          <w:color w:val="auto"/>
          <w:kern w:val="2"/>
          <w:sz w:val="32"/>
          <w:szCs w:val="24"/>
          <w:lang w:val="en-US" w:eastAsia="zh-CN" w:bidi="ar-SA"/>
        </w:rPr>
        <w:t>（一）</w:t>
      </w:r>
      <w:r>
        <w:rPr>
          <w:rFonts w:hint="default" w:ascii="Times New Roman" w:hAnsi="Times New Roman" w:eastAsia="楷体_GB2312" w:cs="楷体_GB2312"/>
          <w:color w:val="auto"/>
          <w:kern w:val="2"/>
          <w:sz w:val="32"/>
          <w:szCs w:val="24"/>
          <w:lang w:val="en-US" w:eastAsia="zh-CN" w:bidi="ar-SA"/>
        </w:rPr>
        <w:t>落实</w:t>
      </w:r>
      <w:r>
        <w:rPr>
          <w:rFonts w:hint="eastAsia" w:ascii="Times New Roman" w:hAnsi="Times New Roman" w:eastAsia="楷体_GB2312" w:cs="楷体_GB2312"/>
          <w:color w:val="auto"/>
          <w:kern w:val="2"/>
          <w:sz w:val="32"/>
          <w:szCs w:val="24"/>
          <w:lang w:val="en-US" w:eastAsia="zh-CN" w:bidi="ar-SA"/>
        </w:rPr>
        <w:t>国家</w:t>
      </w:r>
      <w:r>
        <w:rPr>
          <w:rFonts w:hint="default" w:ascii="Times New Roman" w:hAnsi="Times New Roman" w:eastAsia="楷体_GB2312" w:cs="楷体_GB2312"/>
          <w:color w:val="auto"/>
          <w:kern w:val="2"/>
          <w:sz w:val="32"/>
          <w:szCs w:val="24"/>
          <w:lang w:val="en-US" w:eastAsia="zh-CN" w:bidi="ar-SA"/>
        </w:rPr>
        <w:t>政策要求</w:t>
      </w:r>
      <w:r>
        <w:rPr>
          <w:rFonts w:hint="eastAsia" w:eastAsia="楷体_GB2312" w:cs="楷体_GB2312"/>
          <w:color w:val="auto"/>
          <w:kern w:val="2"/>
          <w:sz w:val="32"/>
          <w:szCs w:val="24"/>
          <w:lang w:val="en-US" w:eastAsia="zh-CN" w:bidi="ar-SA"/>
        </w:rPr>
        <w:t>，完善顶层设计</w:t>
      </w:r>
    </w:p>
    <w:p w14:paraId="5786B881">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line="560" w:lineRule="exact"/>
        <w:ind w:firstLine="640" w:firstLineChars="200"/>
        <w:jc w:val="both"/>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国家数据局等17部门联合</w:t>
      </w:r>
      <w:r>
        <w:rPr>
          <w:rFonts w:hint="default" w:ascii="仿宋_GB2312" w:hAnsi="仿宋_GB2312" w:eastAsia="仿宋_GB2312" w:cs="仿宋_GB2312"/>
          <w:color w:val="auto"/>
          <w:sz w:val="32"/>
          <w:szCs w:val="32"/>
          <w:highlight w:val="none"/>
          <w:lang w:val="en-US" w:eastAsia="zh-CN"/>
        </w:rPr>
        <w:t>印发</w:t>
      </w:r>
      <w:r>
        <w:rPr>
          <w:rFonts w:hint="eastAsia" w:ascii="仿宋_GB2312" w:hAnsi="仿宋_GB2312" w:eastAsia="仿宋_GB2312" w:cs="仿宋_GB2312"/>
          <w:color w:val="auto"/>
          <w:sz w:val="32"/>
          <w:szCs w:val="32"/>
          <w:highlight w:val="none"/>
          <w:lang w:val="en-US" w:eastAsia="zh-CN"/>
        </w:rPr>
        <w:t>《“数据要素×”三年行动计划（2024—2026年）》（国数政策〔2023〕11号），</w:t>
      </w:r>
      <w:r>
        <w:rPr>
          <w:rFonts w:hint="default" w:ascii="仿宋_GB2312" w:hAnsi="仿宋_GB2312" w:eastAsia="仿宋_GB2312" w:cs="仿宋_GB2312"/>
          <w:color w:val="auto"/>
          <w:sz w:val="32"/>
          <w:szCs w:val="32"/>
          <w:highlight w:val="none"/>
          <w:lang w:val="en-US" w:eastAsia="zh-CN"/>
        </w:rPr>
        <w:t>先行聚焦</w:t>
      </w:r>
      <w:r>
        <w:rPr>
          <w:rFonts w:hint="eastAsia" w:ascii="仿宋_GB2312" w:hAnsi="仿宋_GB2312" w:eastAsia="仿宋_GB2312" w:cs="仿宋_GB2312"/>
          <w:color w:val="auto"/>
          <w:sz w:val="32"/>
          <w:szCs w:val="32"/>
          <w:highlight w:val="none"/>
          <w:lang w:val="en-US" w:eastAsia="zh-CN"/>
        </w:rPr>
        <w:t>金融服务</w:t>
      </w:r>
      <w:r>
        <w:rPr>
          <w:rFonts w:hint="default"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医疗健康</w:t>
      </w:r>
      <w:r>
        <w:rPr>
          <w:rFonts w:hint="default" w:ascii="仿宋_GB2312" w:hAnsi="仿宋_GB2312" w:eastAsia="仿宋_GB2312" w:cs="仿宋_GB2312"/>
          <w:color w:val="auto"/>
          <w:sz w:val="32"/>
          <w:szCs w:val="32"/>
          <w:highlight w:val="none"/>
          <w:lang w:val="en-US" w:eastAsia="zh-CN"/>
        </w:rPr>
        <w:t>、商贸流通等12个</w:t>
      </w:r>
      <w:r>
        <w:rPr>
          <w:rFonts w:hint="eastAsia" w:ascii="仿宋_GB2312" w:hAnsi="仿宋_GB2312" w:eastAsia="仿宋_GB2312" w:cs="仿宋_GB2312"/>
          <w:color w:val="auto"/>
          <w:sz w:val="32"/>
          <w:szCs w:val="32"/>
          <w:highlight w:val="none"/>
          <w:lang w:val="en-US" w:eastAsia="zh-CN"/>
        </w:rPr>
        <w:t>关键</w:t>
      </w:r>
      <w:r>
        <w:rPr>
          <w:rFonts w:hint="default" w:ascii="仿宋_GB2312" w:hAnsi="仿宋_GB2312" w:eastAsia="仿宋_GB2312" w:cs="仿宋_GB2312"/>
          <w:color w:val="auto"/>
          <w:sz w:val="32"/>
          <w:szCs w:val="32"/>
          <w:highlight w:val="none"/>
          <w:lang w:val="en-US" w:eastAsia="zh-CN"/>
        </w:rPr>
        <w:t>领域，发挥数据要素的乘数效应，释放数据要素价值，实现经济规模和效率的倍增。《中共中央办公厅、国务院办公厅关于加快公共数据资源开发利用的意见》明确提出鼓励探索公共数据授权运营，建立健全相关制度和机制。</w:t>
      </w:r>
      <w:r>
        <w:rPr>
          <w:rFonts w:hint="eastAsia" w:ascii="仿宋_GB2312" w:hAnsi="仿宋_GB2312" w:eastAsia="仿宋_GB2312" w:cs="仿宋_GB2312"/>
          <w:color w:val="auto"/>
          <w:sz w:val="32"/>
          <w:szCs w:val="32"/>
          <w:highlight w:val="none"/>
          <w:lang w:val="en-US" w:eastAsia="zh-CN"/>
        </w:rPr>
        <w:t>《公共数据资源授权运营实施规范（试行）》《数据资产全过程管理试点方案》等文件要求，建立公共数据授权运营机制，加大公共数据资源供给，在重点领域、相关区域组织开展公共数据授权运营。</w:t>
      </w:r>
    </w:p>
    <w:p w14:paraId="661DB365">
      <w:pPr>
        <w:keepNext w:val="0"/>
        <w:keepLines w:val="0"/>
        <w:pageBreakBefore w:val="0"/>
        <w:widowControl w:val="0"/>
        <w:numPr>
          <w:ilvl w:val="-1"/>
          <w:numId w:val="0"/>
        </w:numPr>
        <w:suppressLineNumbers w:val="0"/>
        <w:kinsoku/>
        <w:wordWrap/>
        <w:overflowPunct/>
        <w:topLinePunct w:val="0"/>
        <w:autoSpaceDE/>
        <w:autoSpaceDN/>
        <w:bidi w:val="0"/>
        <w:adjustRightInd w:val="0"/>
        <w:snapToGrid w:val="0"/>
        <w:spacing w:line="560" w:lineRule="exact"/>
        <w:ind w:left="0" w:leftChars="0" w:firstLine="640" w:firstLineChars="200"/>
        <w:jc w:val="both"/>
        <w:textAlignment w:val="auto"/>
        <w:rPr>
          <w:rFonts w:hint="eastAsia" w:ascii="Times New Roman" w:hAnsi="Times New Roman" w:eastAsia="楷体_GB2312" w:cs="楷体_GB2312"/>
          <w:color w:val="auto"/>
          <w:kern w:val="2"/>
          <w:sz w:val="32"/>
          <w:szCs w:val="24"/>
          <w:lang w:val="en-US" w:eastAsia="zh-CN" w:bidi="ar-SA"/>
        </w:rPr>
      </w:pPr>
      <w:r>
        <w:rPr>
          <w:rFonts w:hint="eastAsia" w:eastAsia="楷体_GB2312" w:cs="楷体_GB2312"/>
          <w:color w:val="auto"/>
          <w:kern w:val="2"/>
          <w:sz w:val="32"/>
          <w:szCs w:val="24"/>
          <w:lang w:val="en-US" w:eastAsia="zh-CN" w:bidi="ar-SA"/>
        </w:rPr>
        <w:t>（二）</w:t>
      </w:r>
      <w:r>
        <w:rPr>
          <w:rFonts w:hint="eastAsia" w:ascii="Times New Roman" w:hAnsi="Times New Roman" w:eastAsia="楷体_GB2312" w:cs="楷体_GB2312"/>
          <w:color w:val="auto"/>
          <w:kern w:val="2"/>
          <w:sz w:val="32"/>
          <w:szCs w:val="24"/>
          <w:lang w:val="en-US" w:eastAsia="zh-CN" w:bidi="ar-SA"/>
        </w:rPr>
        <w:t>提升</w:t>
      </w:r>
      <w:r>
        <w:rPr>
          <w:rFonts w:hint="default" w:ascii="Times New Roman" w:hAnsi="Times New Roman" w:eastAsia="楷体_GB2312" w:cs="楷体_GB2312"/>
          <w:color w:val="auto"/>
          <w:kern w:val="2"/>
          <w:sz w:val="32"/>
          <w:szCs w:val="24"/>
          <w:lang w:val="en-US" w:eastAsia="zh-CN" w:bidi="ar-SA"/>
        </w:rPr>
        <w:t>数字经济</w:t>
      </w:r>
      <w:r>
        <w:rPr>
          <w:rFonts w:hint="eastAsia" w:ascii="Times New Roman" w:hAnsi="Times New Roman" w:eastAsia="楷体_GB2312" w:cs="楷体_GB2312"/>
          <w:color w:val="auto"/>
          <w:kern w:val="2"/>
          <w:sz w:val="32"/>
          <w:szCs w:val="24"/>
          <w:lang w:val="en-US" w:eastAsia="zh-CN" w:bidi="ar-SA"/>
        </w:rPr>
        <w:t>水平，赋能</w:t>
      </w:r>
      <w:r>
        <w:rPr>
          <w:rFonts w:hint="default" w:ascii="Times New Roman" w:hAnsi="Times New Roman" w:eastAsia="楷体_GB2312" w:cs="楷体_GB2312"/>
          <w:color w:val="auto"/>
          <w:kern w:val="2"/>
          <w:sz w:val="32"/>
          <w:szCs w:val="24"/>
          <w:lang w:val="en-US" w:eastAsia="zh-CN" w:bidi="ar-SA"/>
        </w:rPr>
        <w:t>产业发展</w:t>
      </w:r>
    </w:p>
    <w:p w14:paraId="7BACD7D7">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line="560" w:lineRule="exact"/>
        <w:ind w:firstLine="640" w:firstLineChars="200"/>
        <w:jc w:val="both"/>
        <w:textAlignment w:val="auto"/>
        <w:rPr>
          <w:rFonts w:hint="default" w:ascii="仿宋_GB2312" w:hAnsi="仿宋_GB2312" w:eastAsia="仿宋_GB2312" w:cs="仿宋_GB2312"/>
          <w:color w:val="auto"/>
          <w:sz w:val="32"/>
          <w:szCs w:val="32"/>
          <w:highlight w:val="none"/>
          <w:lang w:val="en-US" w:eastAsia="zh-CN"/>
        </w:rPr>
      </w:pPr>
      <w:r>
        <w:rPr>
          <w:rFonts w:hint="default" w:ascii="仿宋_GB2312" w:hAnsi="仿宋_GB2312" w:eastAsia="仿宋_GB2312" w:cs="仿宋_GB2312"/>
          <w:color w:val="auto"/>
          <w:sz w:val="32"/>
          <w:szCs w:val="32"/>
          <w:highlight w:val="none"/>
          <w:lang w:val="en-US" w:eastAsia="zh-CN"/>
        </w:rPr>
        <w:t>龙华区作为深圳市的产业大区和数字经济发展的排头兵，拥有丰富的数据资源和创新资源，为数字经济的快速发展提供了坚实基础。通过公共数据资源授权运营，能够进一步释放数据价值，推动数字经济与实体经济深度融合，助力产业升级。</w:t>
      </w:r>
    </w:p>
    <w:p w14:paraId="170AA636">
      <w:pPr>
        <w:keepNext w:val="0"/>
        <w:keepLines w:val="0"/>
        <w:pageBreakBefore w:val="0"/>
        <w:widowControl w:val="0"/>
        <w:suppressLineNumbers w:val="0"/>
        <w:kinsoku/>
        <w:wordWrap/>
        <w:overflowPunct/>
        <w:topLinePunct w:val="0"/>
        <w:autoSpaceDE/>
        <w:autoSpaceDN/>
        <w:bidi w:val="0"/>
        <w:adjustRightInd w:val="0"/>
        <w:snapToGrid w:val="0"/>
        <w:spacing w:line="560" w:lineRule="exact"/>
        <w:ind w:firstLine="640" w:firstLineChars="200"/>
        <w:jc w:val="both"/>
        <w:textAlignment w:val="auto"/>
        <w:rPr>
          <w:rFonts w:hint="default" w:ascii="Times New Roman" w:hAnsi="Times New Roman" w:eastAsia="楷体_GB2312" w:cs="楷体_GB2312"/>
          <w:color w:val="auto"/>
          <w:kern w:val="2"/>
          <w:sz w:val="32"/>
          <w:szCs w:val="24"/>
          <w:lang w:val="en-US" w:eastAsia="zh-CN" w:bidi="ar-SA"/>
        </w:rPr>
      </w:pPr>
      <w:r>
        <w:rPr>
          <w:rFonts w:hint="eastAsia" w:ascii="Times New Roman" w:hAnsi="Times New Roman" w:eastAsia="楷体_GB2312" w:cs="楷体_GB2312"/>
          <w:color w:val="auto"/>
          <w:kern w:val="2"/>
          <w:sz w:val="32"/>
          <w:szCs w:val="24"/>
          <w:lang w:val="en-US" w:eastAsia="zh-CN" w:bidi="ar-SA"/>
        </w:rPr>
        <w:t>（三）</w:t>
      </w:r>
      <w:r>
        <w:rPr>
          <w:rFonts w:hint="default" w:ascii="Times New Roman" w:hAnsi="Times New Roman" w:eastAsia="楷体_GB2312" w:cs="楷体_GB2312"/>
          <w:color w:val="auto"/>
          <w:kern w:val="2"/>
          <w:sz w:val="32"/>
          <w:szCs w:val="24"/>
          <w:lang w:val="en-US" w:eastAsia="zh-CN" w:bidi="ar-SA"/>
        </w:rPr>
        <w:t>促进数据要素流通</w:t>
      </w:r>
      <w:r>
        <w:rPr>
          <w:rFonts w:hint="eastAsia" w:ascii="Times New Roman" w:hAnsi="Times New Roman" w:eastAsia="楷体_GB2312" w:cs="楷体_GB2312"/>
          <w:color w:val="auto"/>
          <w:kern w:val="2"/>
          <w:sz w:val="32"/>
          <w:szCs w:val="24"/>
          <w:lang w:val="en-US" w:eastAsia="zh-CN" w:bidi="ar-SA"/>
        </w:rPr>
        <w:t>，</w:t>
      </w:r>
      <w:r>
        <w:rPr>
          <w:rFonts w:hint="default" w:ascii="Times New Roman" w:hAnsi="Times New Roman" w:eastAsia="楷体_GB2312" w:cs="楷体_GB2312"/>
          <w:color w:val="auto"/>
          <w:kern w:val="2"/>
          <w:sz w:val="32"/>
          <w:szCs w:val="24"/>
          <w:lang w:val="en-US" w:eastAsia="zh-CN" w:bidi="ar-SA"/>
        </w:rPr>
        <w:t>提升公共数据价值</w:t>
      </w:r>
    </w:p>
    <w:p w14:paraId="6A9B0F1D">
      <w:pPr>
        <w:keepNext w:val="0"/>
        <w:keepLines w:val="0"/>
        <w:pageBreakBefore w:val="0"/>
        <w:widowControl w:val="0"/>
        <w:suppressLineNumbers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i w:val="0"/>
          <w:caps w:val="0"/>
          <w:color w:val="auto"/>
          <w:spacing w:val="0"/>
          <w:kern w:val="2"/>
          <w:sz w:val="32"/>
          <w:szCs w:val="24"/>
          <w:shd w:val="clear"/>
          <w:lang w:val="en-US" w:eastAsia="zh-CN" w:bidi="ar-SA"/>
        </w:rPr>
      </w:pPr>
      <w:r>
        <w:rPr>
          <w:rFonts w:hint="default" w:ascii="仿宋_GB2312" w:hAnsi="仿宋_GB2312" w:eastAsia="仿宋_GB2312" w:cs="仿宋_GB2312"/>
          <w:color w:val="auto"/>
          <w:sz w:val="32"/>
          <w:szCs w:val="32"/>
          <w:highlight w:val="none"/>
          <w:lang w:val="en-US" w:eastAsia="zh-CN"/>
        </w:rPr>
        <w:t>公共数据具有高价值、体量大、覆盖面广等特点，通过授权运营可以实现数据的深度开发和利用，提升数据资源的经济和社会价值。公共数据授权运营可以为社会治理、公益事业和产业发展提供数据支持，通过多元数据分析、预测和决策，提升社会治理和经济发展效率。</w:t>
      </w:r>
    </w:p>
    <w:p w14:paraId="7C1A3497">
      <w:pPr>
        <w:pStyle w:val="17"/>
        <w:keepNext w:val="0"/>
        <w:keepLines w:val="0"/>
        <w:pageBreakBefore w:val="0"/>
        <w:widowControl w:val="0"/>
        <w:kinsoku/>
        <w:wordWrap/>
        <w:overflowPunct/>
        <w:topLinePunct w:val="0"/>
        <w:autoSpaceDE/>
        <w:autoSpaceDN/>
        <w:bidi w:val="0"/>
        <w:adjustRightInd w:val="0"/>
        <w:snapToGrid w:val="0"/>
        <w:spacing w:beforeLines="0" w:afterLines="0" w:line="560" w:lineRule="exact"/>
        <w:jc w:val="both"/>
        <w:rPr>
          <w:rFonts w:hint="eastAsia"/>
          <w:color w:val="auto"/>
          <w:shd w:val="clear" w:color="auto" w:fill="auto"/>
          <w:lang w:val="en-US" w:eastAsia="zh-CN"/>
        </w:rPr>
      </w:pPr>
      <w:r>
        <w:rPr>
          <w:rFonts w:hint="eastAsia"/>
          <w:color w:val="auto"/>
          <w:shd w:val="clear" w:color="auto" w:fill="auto"/>
          <w:lang w:val="en-US" w:eastAsia="zh-CN"/>
        </w:rPr>
        <w:t>授权运营的可行性</w:t>
      </w:r>
    </w:p>
    <w:p w14:paraId="21DD711A">
      <w:pPr>
        <w:pStyle w:val="19"/>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leftChars="0" w:firstLine="640" w:firstLineChars="200"/>
        <w:jc w:val="both"/>
        <w:rPr>
          <w:rFonts w:hint="default" w:ascii="Times New Roman" w:hAnsi="Times New Roman"/>
          <w:color w:val="auto"/>
          <w:lang w:val="en-US" w:eastAsia="zh-CN"/>
        </w:rPr>
      </w:pPr>
      <w:r>
        <w:rPr>
          <w:rFonts w:hint="eastAsia" w:ascii="Times New Roman" w:hAnsi="Times New Roman"/>
          <w:color w:val="auto"/>
          <w:lang w:val="en-US" w:eastAsia="zh-CN"/>
        </w:rPr>
        <w:t>市场规模与社会需求</w:t>
      </w:r>
    </w:p>
    <w:p w14:paraId="4656E2FA">
      <w:pPr>
        <w:keepNext w:val="0"/>
        <w:keepLines w:val="0"/>
        <w:pageBreakBefore w:val="0"/>
        <w:widowControl w:val="0"/>
        <w:suppressLineNumbers w:val="0"/>
        <w:kinsoku/>
        <w:wordWrap/>
        <w:overflowPunct/>
        <w:topLinePunct w:val="0"/>
        <w:autoSpaceDE/>
        <w:autoSpaceDN/>
        <w:bidi w:val="0"/>
        <w:adjustRightInd w:val="0"/>
        <w:snapToGrid w:val="0"/>
        <w:spacing w:line="560" w:lineRule="exact"/>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全国数据资源调查报告（2024年）》显示，2024年全国数据生产量达41.06泽字节（ZB），同比增长25%；数据存储总量为2.09泽字节（ZB），同比增长20.81%，存储空间利用率61%。数据生产规模的跃升与存储总量的稳步增长，直观展现出数据要素两大基础环节的蓬勃发展态势。深圳市2023年数字经济核心产业增加值突破1万亿元。软件和信息技术服务业增长21.4%，位列</w:t>
      </w:r>
      <w:r>
        <w:rPr>
          <w:rFonts w:hint="default" w:ascii="仿宋_GB2312" w:hAnsi="仿宋_GB2312" w:eastAsia="仿宋_GB2312" w:cs="仿宋_GB2312"/>
          <w:color w:val="auto"/>
          <w:sz w:val="32"/>
          <w:szCs w:val="32"/>
          <w:highlight w:val="none"/>
          <w:lang w:val="en-US" w:eastAsia="zh-CN"/>
        </w:rPr>
        <w:fldChar w:fldCharType="begin"/>
      </w:r>
      <w:r>
        <w:rPr>
          <w:rFonts w:hint="default" w:ascii="仿宋_GB2312" w:hAnsi="仿宋_GB2312" w:eastAsia="仿宋_GB2312" w:cs="仿宋_GB2312"/>
          <w:color w:val="auto"/>
          <w:sz w:val="32"/>
          <w:szCs w:val="32"/>
          <w:highlight w:val="none"/>
          <w:lang w:val="en-US" w:eastAsia="zh-CN"/>
        </w:rPr>
        <w:instrText xml:space="preserve"> HYPERLINK "http://www.100ec.cn/zt/world/" \t "/home/zhangyige/文档\\x/_blank" </w:instrText>
      </w:r>
      <w:r>
        <w:rPr>
          <w:rFonts w:hint="default" w:ascii="仿宋_GB2312" w:hAnsi="仿宋_GB2312" w:eastAsia="仿宋_GB2312" w:cs="仿宋_GB2312"/>
          <w:color w:val="auto"/>
          <w:sz w:val="32"/>
          <w:szCs w:val="32"/>
          <w:highlight w:val="none"/>
          <w:lang w:val="en-US" w:eastAsia="zh-CN"/>
        </w:rPr>
        <w:fldChar w:fldCharType="separate"/>
      </w:r>
      <w:r>
        <w:rPr>
          <w:rFonts w:hint="default" w:ascii="仿宋_GB2312" w:hAnsi="仿宋_GB2312" w:eastAsia="仿宋_GB2312" w:cs="仿宋_GB2312"/>
          <w:color w:val="auto"/>
          <w:sz w:val="32"/>
          <w:szCs w:val="32"/>
          <w:highlight w:val="none"/>
          <w:lang w:val="en-US" w:eastAsia="zh-CN"/>
        </w:rPr>
        <w:t>中国</w:t>
      </w:r>
      <w:r>
        <w:rPr>
          <w:rFonts w:hint="default" w:ascii="仿宋_GB2312" w:hAnsi="仿宋_GB2312" w:eastAsia="仿宋_GB2312" w:cs="仿宋_GB2312"/>
          <w:color w:val="auto"/>
          <w:sz w:val="32"/>
          <w:szCs w:val="32"/>
          <w:highlight w:val="none"/>
          <w:lang w:val="en-US" w:eastAsia="zh-CN"/>
        </w:rPr>
        <w:fldChar w:fldCharType="end"/>
      </w:r>
      <w:r>
        <w:rPr>
          <w:rFonts w:hint="default" w:ascii="仿宋_GB2312" w:hAnsi="仿宋_GB2312" w:eastAsia="仿宋_GB2312" w:cs="仿宋_GB2312"/>
          <w:color w:val="auto"/>
          <w:sz w:val="32"/>
          <w:szCs w:val="32"/>
          <w:highlight w:val="none"/>
          <w:lang w:val="en-US" w:eastAsia="zh-CN"/>
        </w:rPr>
        <w:t>软件名城评估第一名</w:t>
      </w:r>
      <w:r>
        <w:rPr>
          <w:rFonts w:hint="eastAsia" w:ascii="仿宋_GB2312" w:hAnsi="仿宋_GB2312" w:eastAsia="仿宋_GB2312" w:cs="仿宋_GB2312"/>
          <w:color w:val="auto"/>
          <w:sz w:val="32"/>
          <w:szCs w:val="32"/>
          <w:highlight w:val="none"/>
          <w:lang w:val="en-US" w:eastAsia="zh-CN"/>
        </w:rPr>
        <w:t>。此外，深圳数据要素市场活跃度较高，</w:t>
      </w:r>
      <w:r>
        <w:rPr>
          <w:rFonts w:hint="default" w:ascii="仿宋_GB2312" w:hAnsi="仿宋_GB2312" w:eastAsia="仿宋_GB2312" w:cs="仿宋_GB2312"/>
          <w:color w:val="auto"/>
          <w:sz w:val="32"/>
          <w:szCs w:val="32"/>
          <w:highlight w:val="none"/>
          <w:lang w:val="en-US" w:eastAsia="zh-CN"/>
        </w:rPr>
        <w:t>深圳数据交易所截至2024年9月累计完成数据交易额133.58亿元，其中跨境数据交易额达2.45亿元</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龙华作为深圳的制造业大区、产业大区、外贸大区</w:t>
      </w:r>
      <w:r>
        <w:rPr>
          <w:rFonts w:hint="eastAsia" w:ascii="仿宋_GB2312" w:hAnsi="仿宋_GB2312" w:eastAsia="仿宋_GB2312" w:cs="仿宋_GB2312"/>
          <w:color w:val="auto"/>
          <w:sz w:val="32"/>
          <w:szCs w:val="32"/>
          <w:highlight w:val="none"/>
          <w:lang w:val="en-US" w:eastAsia="zh-CN"/>
        </w:rPr>
        <w:t>，数据资源丰富且应用场景成熟。前期，对我区三十余家企业进行调研，发现医疗、金融、商贸流通等领域对公共数据资源需求较为迫切。</w:t>
      </w:r>
    </w:p>
    <w:p w14:paraId="02741515">
      <w:pPr>
        <w:pStyle w:val="19"/>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leftChars="0" w:firstLine="640" w:firstLineChars="200"/>
        <w:jc w:val="both"/>
        <w:rPr>
          <w:rFonts w:hint="default"/>
          <w:color w:val="auto"/>
          <w:lang w:val="en-US" w:eastAsia="zh-CN"/>
        </w:rPr>
      </w:pPr>
      <w:r>
        <w:rPr>
          <w:rFonts w:hint="eastAsia"/>
          <w:color w:val="auto"/>
          <w:lang w:val="en-US" w:eastAsia="zh-CN"/>
        </w:rPr>
        <w:t>授权运营数据全生命周期管理服务</w:t>
      </w:r>
    </w:p>
    <w:p w14:paraId="7F4D1939">
      <w:pPr>
        <w:keepNext w:val="0"/>
        <w:keepLines w:val="0"/>
        <w:pageBreakBefore w:val="0"/>
        <w:widowControl w:val="0"/>
        <w:suppressLineNumbers w:val="0"/>
        <w:kinsoku/>
        <w:wordWrap/>
        <w:overflowPunct/>
        <w:topLinePunct w:val="0"/>
        <w:autoSpaceDE/>
        <w:autoSpaceDN/>
        <w:bidi w:val="0"/>
        <w:adjustRightInd w:val="0"/>
        <w:snapToGrid w:val="0"/>
        <w:spacing w:line="560" w:lineRule="exact"/>
        <w:jc w:val="both"/>
        <w:rPr>
          <w:rFonts w:hint="default"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龙华区“智慧龙华”项目打造“全区一体化”的服务架构，包括IaaS、PaaS、SaaS三层服务模型，并制定了“五统一”原则，确保了数据的统一采集、汇聚与应用，加强了数据质量治理，为全区多种场景落地应用提供数据支撑</w:t>
      </w:r>
      <w:r>
        <w:rPr>
          <w:rFonts w:hint="default"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color w:val="auto"/>
          <w:kern w:val="2"/>
          <w:sz w:val="32"/>
          <w:szCs w:val="32"/>
          <w:highlight w:val="none"/>
          <w:lang w:val="en-US" w:eastAsia="zh-CN" w:bidi="ar-SA"/>
        </w:rPr>
        <w:t>龙华区加强完善的数据全生命周期管理服务体系，涵盖公共数据的采集、存储、治理、共享和销毁等环节。通过一体化数据平台和数据安全管理体系，实现数据的分类分级管理、质量控制、安全防控、应急处置等，确保数据全生命周期的安全</w:t>
      </w:r>
      <w:r>
        <w:rPr>
          <w:rFonts w:hint="default" w:ascii="仿宋_GB2312" w:hAnsi="仿宋_GB2312" w:eastAsia="仿宋_GB2312" w:cs="仿宋_GB2312"/>
          <w:color w:val="auto"/>
          <w:kern w:val="2"/>
          <w:sz w:val="32"/>
          <w:szCs w:val="32"/>
          <w:highlight w:val="none"/>
          <w:lang w:val="en-US" w:eastAsia="zh-CN" w:bidi="ar-SA"/>
        </w:rPr>
        <w:t>。</w:t>
      </w:r>
    </w:p>
    <w:p w14:paraId="0729E3FD">
      <w:pPr>
        <w:keepNext w:val="0"/>
        <w:keepLines w:val="0"/>
        <w:pageBreakBefore w:val="0"/>
        <w:widowControl w:val="0"/>
        <w:suppressLineNumbers w:val="0"/>
        <w:kinsoku/>
        <w:wordWrap/>
        <w:overflowPunct/>
        <w:topLinePunct w:val="0"/>
        <w:autoSpaceDE/>
        <w:autoSpaceDN/>
        <w:bidi w:val="0"/>
        <w:adjustRightInd w:val="0"/>
        <w:snapToGrid w:val="0"/>
        <w:spacing w:line="560" w:lineRule="exact"/>
        <w:jc w:val="both"/>
        <w:rPr>
          <w:rFonts w:hint="default" w:ascii="Times New Roman" w:hAnsi="Times New Roman" w:eastAsia="楷体_GB2312" w:cs="楷体_GB2312"/>
          <w:color w:val="auto"/>
          <w:kern w:val="2"/>
          <w:sz w:val="32"/>
          <w:szCs w:val="24"/>
          <w:lang w:val="en-US" w:eastAsia="zh-CN" w:bidi="ar-SA"/>
        </w:rPr>
      </w:pPr>
      <w:r>
        <w:rPr>
          <w:rFonts w:hint="eastAsia" w:ascii="Times New Roman" w:hAnsi="Times New Roman" w:eastAsia="楷体_GB2312" w:cs="楷体_GB2312"/>
          <w:color w:val="auto"/>
          <w:kern w:val="2"/>
          <w:sz w:val="32"/>
          <w:szCs w:val="24"/>
          <w:lang w:val="en-US" w:eastAsia="zh-CN" w:bidi="ar-SA"/>
        </w:rPr>
        <w:t>（三）</w:t>
      </w:r>
      <w:r>
        <w:rPr>
          <w:rFonts w:hint="eastAsia" w:eastAsia="楷体_GB2312" w:cs="楷体_GB2312"/>
          <w:color w:val="auto"/>
          <w:kern w:val="2"/>
          <w:sz w:val="32"/>
          <w:szCs w:val="24"/>
          <w:lang w:val="en-US" w:eastAsia="zh-CN" w:bidi="ar-SA"/>
        </w:rPr>
        <w:t>公共</w:t>
      </w:r>
      <w:r>
        <w:rPr>
          <w:rFonts w:hint="eastAsia" w:ascii="Times New Roman" w:hAnsi="Times New Roman" w:eastAsia="楷体_GB2312" w:cs="楷体_GB2312"/>
          <w:color w:val="auto"/>
          <w:kern w:val="2"/>
          <w:sz w:val="32"/>
          <w:szCs w:val="24"/>
          <w:lang w:val="en-US" w:eastAsia="zh-CN" w:bidi="ar-SA"/>
        </w:rPr>
        <w:t>数据资源基础</w:t>
      </w:r>
    </w:p>
    <w:p w14:paraId="281176FA">
      <w:pPr>
        <w:pStyle w:val="5"/>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jc w:val="both"/>
        <w:rPr>
          <w:rFonts w:hint="default"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龙华区大数据管理平台打通市区两级跨部门的数据共享通道，建立全区政务信息资源共享、复用的统一管理机制。平台已根据国务院办公厅印发的《六批国务院部门数据共享责任清单》《四批国务院部门垂直管理业务系统与地方数据平台对接责任清单》收集区内各单位数据共享需求和供给信息。截至目前，已汇聚约90个市区两级部门共计4000余张表约90亿条原始政务数据，为全区多种场景落地应用提供数据支撑，</w:t>
      </w:r>
      <w:r>
        <w:rPr>
          <w:rFonts w:hint="default" w:ascii="仿宋_GB2312" w:hAnsi="仿宋_GB2312" w:eastAsia="仿宋_GB2312" w:cs="仿宋_GB2312"/>
          <w:color w:val="auto"/>
          <w:kern w:val="2"/>
          <w:sz w:val="32"/>
          <w:szCs w:val="32"/>
          <w:highlight w:val="none"/>
          <w:lang w:val="en-US" w:eastAsia="zh-CN" w:bidi="ar-SA"/>
        </w:rPr>
        <w:t>为授权运营提供了坚实的技术基础。</w:t>
      </w:r>
    </w:p>
    <w:p w14:paraId="15CCD817">
      <w:pPr>
        <w:pStyle w:val="19"/>
        <w:keepNext w:val="0"/>
        <w:keepLines w:val="0"/>
        <w:pageBreakBefore w:val="0"/>
        <w:widowControl w:val="0"/>
        <w:numPr>
          <w:ilvl w:val="-1"/>
          <w:numId w:val="0"/>
        </w:numPr>
        <w:kinsoku/>
        <w:wordWrap/>
        <w:overflowPunct/>
        <w:topLinePunct w:val="0"/>
        <w:autoSpaceDE/>
        <w:autoSpaceDN/>
        <w:bidi w:val="0"/>
        <w:adjustRightInd w:val="0"/>
        <w:snapToGrid w:val="0"/>
        <w:spacing w:beforeLines="0" w:afterLines="0" w:line="560" w:lineRule="exact"/>
        <w:ind w:left="0" w:leftChars="0" w:firstLine="640" w:firstLineChars="200"/>
        <w:jc w:val="both"/>
        <w:rPr>
          <w:rFonts w:hint="default"/>
          <w:b/>
          <w:bCs/>
          <w:color w:val="auto"/>
          <w:lang w:val="en-US"/>
        </w:rPr>
      </w:pPr>
      <w:r>
        <w:rPr>
          <w:rFonts w:hint="eastAsia"/>
          <w:color w:val="auto"/>
          <w:lang w:val="en-US" w:eastAsia="zh-CN"/>
        </w:rPr>
        <w:t>（四）风险防控与技术支撑</w:t>
      </w:r>
    </w:p>
    <w:p w14:paraId="1B3FEA8A">
      <w:pPr>
        <w:keepNext w:val="0"/>
        <w:keepLines w:val="0"/>
        <w:pageBreakBefore w:val="0"/>
        <w:widowControl w:val="0"/>
        <w:suppressLineNumbers w:val="0"/>
        <w:kinsoku/>
        <w:wordWrap/>
        <w:overflowPunct/>
        <w:topLinePunct w:val="0"/>
        <w:autoSpaceDE/>
        <w:autoSpaceDN/>
        <w:bidi w:val="0"/>
        <w:adjustRightInd w:val="0"/>
        <w:snapToGrid w:val="0"/>
        <w:spacing w:line="560" w:lineRule="exact"/>
        <w:jc w:val="both"/>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1.</w:t>
      </w:r>
      <w:r>
        <w:rPr>
          <w:rFonts w:hint="eastAsia" w:ascii="仿宋_GB2312" w:hAnsi="仿宋_GB2312" w:eastAsia="仿宋_GB2312" w:cs="仿宋_GB2312"/>
          <w:color w:val="auto"/>
          <w:kern w:val="2"/>
          <w:sz w:val="32"/>
          <w:szCs w:val="32"/>
          <w:highlight w:val="none"/>
          <w:lang w:val="en-US" w:eastAsia="zh-CN" w:bidi="ar-SA"/>
        </w:rPr>
        <w:t>龙华区印发《龙华区公共数据分类分级指南》，实施数据分级保护技术框架，确保对高敏感数据（三级及以上）的安全管理，积极探索推动一级（公开数据）和二级（低敏感数据）数据与公共数据授权运营的协同，促进数据的二次利用。通过科学合理的分类和分级，加强数据在授权运营过程中的安全性和合规性，同时提升数据的利用效率和价值。</w:t>
      </w:r>
    </w:p>
    <w:p w14:paraId="512F7E39">
      <w:pPr>
        <w:keepNext w:val="0"/>
        <w:keepLines w:val="0"/>
        <w:pageBreakBefore w:val="0"/>
        <w:widowControl w:val="0"/>
        <w:kinsoku/>
        <w:wordWrap/>
        <w:overflowPunct/>
        <w:topLinePunct w:val="0"/>
        <w:autoSpaceDE/>
        <w:autoSpaceDN/>
        <w:bidi w:val="0"/>
        <w:adjustRightInd w:val="0"/>
        <w:snapToGrid w:val="0"/>
        <w:spacing w:line="560" w:lineRule="exact"/>
        <w:ind w:firstLine="56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color w:val="auto"/>
          <w:kern w:val="2"/>
          <w:sz w:val="32"/>
          <w:szCs w:val="32"/>
          <w:highlight w:val="none"/>
          <w:lang w:val="en-US" w:eastAsia="zh-CN" w:bidi="ar-SA"/>
        </w:rPr>
        <w:t>2.</w:t>
      </w:r>
      <w:r>
        <w:rPr>
          <w:rFonts w:hint="eastAsia" w:ascii="仿宋_GB2312" w:hAnsi="仿宋_GB2312" w:eastAsia="仿宋_GB2312" w:cs="仿宋_GB2312"/>
          <w:color w:val="auto"/>
          <w:sz w:val="32"/>
          <w:szCs w:val="32"/>
          <w:lang w:val="en-US" w:eastAsia="zh-CN"/>
        </w:rPr>
        <w:t>龙华区已搭建全区统一的</w:t>
      </w:r>
      <w:r>
        <w:rPr>
          <w:rFonts w:hint="eastAsia" w:ascii="仿宋_GB2312" w:hAnsi="仿宋_GB2312" w:eastAsia="仿宋_GB2312" w:cs="仿宋_GB2312"/>
          <w:color w:val="auto"/>
          <w:sz w:val="32"/>
          <w:szCs w:val="32"/>
        </w:rPr>
        <w:t>隐私计算平台，</w:t>
      </w:r>
      <w:r>
        <w:rPr>
          <w:rFonts w:hint="eastAsia" w:ascii="仿宋_GB2312" w:hAnsi="仿宋_GB2312" w:eastAsia="仿宋_GB2312" w:cs="仿宋_GB2312"/>
          <w:color w:val="auto"/>
          <w:sz w:val="32"/>
          <w:szCs w:val="32"/>
          <w:lang w:val="en-US" w:eastAsia="zh-CN"/>
        </w:rPr>
        <w:t>以</w:t>
      </w:r>
      <w:r>
        <w:rPr>
          <w:rFonts w:hint="eastAsia" w:ascii="仿宋_GB2312" w:hAnsi="仿宋_GB2312" w:eastAsia="仿宋_GB2312" w:cs="仿宋_GB2312"/>
          <w:color w:val="auto"/>
          <w:sz w:val="32"/>
          <w:szCs w:val="32"/>
          <w:lang w:eastAsia="zh-CN"/>
        </w:rPr>
        <w:t>解决多方数据融合计算过程中的安全、信任和隐私保护问题</w:t>
      </w:r>
      <w:r>
        <w:rPr>
          <w:rFonts w:hint="eastAsia" w:ascii="仿宋_GB2312" w:hAnsi="仿宋_GB2312" w:eastAsia="仿宋_GB2312" w:cs="仿宋_GB2312"/>
          <w:color w:val="auto"/>
          <w:kern w:val="2"/>
          <w:sz w:val="32"/>
          <w:szCs w:val="32"/>
          <w:highlight w:val="none"/>
          <w:lang w:val="en-US" w:eastAsia="zh-CN" w:bidi="ar-SA"/>
        </w:rPr>
        <w:t>。平台</w:t>
      </w:r>
      <w:r>
        <w:rPr>
          <w:rFonts w:hint="eastAsia" w:ascii="仿宋_GB2312" w:hAnsi="仿宋_GB2312" w:eastAsia="仿宋_GB2312" w:cs="仿宋_GB2312"/>
          <w:color w:val="auto"/>
          <w:sz w:val="32"/>
          <w:szCs w:val="32"/>
        </w:rPr>
        <w:t>通过采用五位一体化的模式保障对数据进行全生命周期的防护，从平台安全、传输安全、存储安全、</w:t>
      </w:r>
      <w:r>
        <w:rPr>
          <w:rFonts w:hint="eastAsia" w:ascii="仿宋_GB2312" w:hAnsi="仿宋_GB2312" w:eastAsia="仿宋_GB2312" w:cs="仿宋_GB2312"/>
          <w:color w:val="auto"/>
          <w:sz w:val="32"/>
          <w:szCs w:val="32"/>
          <w:lang w:val="en-US" w:eastAsia="zh-CN"/>
        </w:rPr>
        <w:t>加工</w:t>
      </w:r>
      <w:r>
        <w:rPr>
          <w:rFonts w:hint="eastAsia" w:ascii="仿宋_GB2312" w:hAnsi="仿宋_GB2312" w:eastAsia="仿宋_GB2312" w:cs="仿宋_GB2312"/>
          <w:color w:val="auto"/>
          <w:sz w:val="32"/>
          <w:szCs w:val="32"/>
        </w:rPr>
        <w:t>安全、</w:t>
      </w:r>
      <w:r>
        <w:rPr>
          <w:rFonts w:hint="eastAsia" w:ascii="仿宋_GB2312" w:hAnsi="仿宋_GB2312" w:eastAsia="仿宋_GB2312" w:cs="仿宋_GB2312"/>
          <w:color w:val="auto"/>
          <w:sz w:val="32"/>
          <w:szCs w:val="32"/>
          <w:lang w:val="en-US" w:eastAsia="zh-CN"/>
        </w:rPr>
        <w:t>提供</w:t>
      </w:r>
      <w:r>
        <w:rPr>
          <w:rFonts w:hint="eastAsia" w:ascii="仿宋_GB2312" w:hAnsi="仿宋_GB2312" w:eastAsia="仿宋_GB2312" w:cs="仿宋_GB2312"/>
          <w:color w:val="auto"/>
          <w:sz w:val="32"/>
          <w:szCs w:val="32"/>
        </w:rPr>
        <w:t>安全，进行数据全生命周期</w:t>
      </w:r>
      <w:r>
        <w:rPr>
          <w:rFonts w:hint="eastAsia" w:ascii="仿宋_GB2312" w:hAnsi="仿宋_GB2312" w:eastAsia="仿宋_GB2312" w:cs="仿宋_GB2312"/>
          <w:color w:val="auto"/>
          <w:sz w:val="32"/>
          <w:szCs w:val="32"/>
          <w:lang w:eastAsia="zh-CN"/>
        </w:rPr>
        <w:t>风险防控</w:t>
      </w:r>
      <w:r>
        <w:rPr>
          <w:rFonts w:hint="eastAsia" w:ascii="仿宋_GB2312" w:hAnsi="仿宋_GB2312" w:eastAsia="仿宋_GB2312" w:cs="仿宋_GB2312"/>
          <w:color w:val="auto"/>
          <w:sz w:val="32"/>
          <w:szCs w:val="32"/>
        </w:rPr>
        <w:t>，最终保障多方数据安全计算的可靠</w:t>
      </w:r>
      <w:r>
        <w:rPr>
          <w:rFonts w:hint="eastAsia" w:ascii="仿宋_GB2312" w:hAnsi="仿宋_GB2312" w:eastAsia="仿宋_GB2312" w:cs="仿宋_GB2312"/>
          <w:color w:val="auto"/>
          <w:sz w:val="32"/>
          <w:szCs w:val="32"/>
          <w:lang w:val="en-US" w:eastAsia="zh-CN"/>
        </w:rPr>
        <w:t>性</w:t>
      </w:r>
      <w:r>
        <w:rPr>
          <w:rFonts w:hint="eastAsia" w:ascii="仿宋_GB2312" w:hAnsi="仿宋_GB2312" w:eastAsia="仿宋_GB2312" w:cs="仿宋_GB2312"/>
          <w:color w:val="auto"/>
          <w:sz w:val="32"/>
          <w:szCs w:val="32"/>
        </w:rPr>
        <w:t>、可控性、可管性和可溯性。</w:t>
      </w:r>
    </w:p>
    <w:p w14:paraId="48971496">
      <w:pPr>
        <w:pStyle w:val="18"/>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rPr>
          <w:rFonts w:hint="default"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cs="仿宋_GB2312"/>
          <w:b w:val="0"/>
          <w:bCs w:val="0"/>
          <w:color w:val="auto"/>
          <w:sz w:val="32"/>
          <w:szCs w:val="32"/>
          <w:lang w:val="en-US" w:eastAsia="zh-CN"/>
        </w:rPr>
        <w:t>3.</w:t>
      </w:r>
      <w:r>
        <w:rPr>
          <w:rFonts w:hint="default" w:ascii="仿宋_GB2312" w:hAnsi="仿宋_GB2312" w:eastAsia="仿宋_GB2312" w:cs="仿宋_GB2312"/>
          <w:b w:val="0"/>
          <w:bCs w:val="0"/>
          <w:color w:val="auto"/>
          <w:kern w:val="2"/>
          <w:sz w:val="32"/>
          <w:szCs w:val="32"/>
          <w:highlight w:val="none"/>
          <w:lang w:val="en-US" w:eastAsia="zh-CN" w:bidi="ar-SA"/>
        </w:rPr>
        <w:t>龙华区大数据管理平台实施综合性的技术安全措施来保护数据安全和用户隐私，包括数据加密和基于角色的访问控制，确保敏感数据仅对授权用户开放。</w:t>
      </w:r>
      <w:r>
        <w:rPr>
          <w:rFonts w:hint="eastAsia" w:ascii="仿宋_GB2312" w:hAnsi="仿宋_GB2312" w:eastAsia="仿宋_GB2312" w:cs="仿宋_GB2312"/>
          <w:b w:val="0"/>
          <w:bCs w:val="0"/>
          <w:color w:val="auto"/>
          <w:kern w:val="2"/>
          <w:sz w:val="32"/>
          <w:szCs w:val="32"/>
          <w:highlight w:val="none"/>
          <w:lang w:val="en-US" w:eastAsia="zh-CN" w:bidi="ar-SA"/>
        </w:rPr>
        <w:t>平台严格遵守国密要求和标准，集成了如SM2、SM3和SM4等多种国产密码算法，以确保数据传输和存储的安全性。依据GB/T 39786</w:t>
      </w:r>
      <w:r>
        <w:rPr>
          <w:rFonts w:hint="eastAsia" w:ascii="仿宋_GB2312" w:hAnsi="仿宋_GB2312" w:cs="仿宋_GB2312"/>
          <w:b w:val="0"/>
          <w:bCs w:val="0"/>
          <w:color w:val="auto"/>
          <w:kern w:val="2"/>
          <w:sz w:val="32"/>
          <w:szCs w:val="32"/>
          <w:highlight w:val="none"/>
          <w:lang w:val="en-US" w:eastAsia="zh-CN" w:bidi="ar-SA"/>
        </w:rPr>
        <w:t>—</w:t>
      </w:r>
      <w:r>
        <w:rPr>
          <w:rFonts w:hint="eastAsia" w:ascii="仿宋_GB2312" w:hAnsi="仿宋_GB2312" w:eastAsia="仿宋_GB2312" w:cs="仿宋_GB2312"/>
          <w:b w:val="0"/>
          <w:bCs w:val="0"/>
          <w:color w:val="auto"/>
          <w:kern w:val="2"/>
          <w:sz w:val="32"/>
          <w:szCs w:val="32"/>
          <w:highlight w:val="none"/>
          <w:lang w:val="en-US" w:eastAsia="zh-CN" w:bidi="ar-SA"/>
        </w:rPr>
        <w:t>2021《信息安全技</w:t>
      </w:r>
      <w:r>
        <w:rPr>
          <w:rFonts w:hint="default" w:ascii="仿宋_GB2312" w:hAnsi="仿宋_GB2312" w:eastAsia="仿宋_GB2312" w:cs="仿宋_GB2312"/>
          <w:b w:val="0"/>
          <w:bCs w:val="0"/>
          <w:color w:val="auto"/>
          <w:kern w:val="2"/>
          <w:sz w:val="32"/>
          <w:szCs w:val="32"/>
          <w:highlight w:val="none"/>
          <w:lang w:val="en-US" w:eastAsia="zh-CN" w:bidi="ar-SA"/>
        </w:rPr>
        <w:t>术信息系统密码应用基本要求》，平台的密码应用设计</w:t>
      </w:r>
      <w:r>
        <w:rPr>
          <w:rFonts w:hint="eastAsia" w:ascii="仿宋_GB2312" w:hAnsi="仿宋_GB2312" w:eastAsia="仿宋_GB2312" w:cs="仿宋_GB2312"/>
          <w:b w:val="0"/>
          <w:bCs w:val="0"/>
          <w:color w:val="auto"/>
          <w:kern w:val="2"/>
          <w:sz w:val="32"/>
          <w:szCs w:val="32"/>
          <w:highlight w:val="none"/>
          <w:lang w:val="en-US" w:eastAsia="zh-CN" w:bidi="ar-SA"/>
        </w:rPr>
        <w:t>、</w:t>
      </w:r>
      <w:r>
        <w:rPr>
          <w:rFonts w:hint="default" w:ascii="仿宋_GB2312" w:hAnsi="仿宋_GB2312" w:eastAsia="仿宋_GB2312" w:cs="仿宋_GB2312"/>
          <w:b w:val="0"/>
          <w:bCs w:val="0"/>
          <w:color w:val="auto"/>
          <w:kern w:val="2"/>
          <w:sz w:val="32"/>
          <w:szCs w:val="32"/>
          <w:highlight w:val="none"/>
          <w:lang w:val="en-US" w:eastAsia="zh-CN" w:bidi="ar-SA"/>
        </w:rPr>
        <w:t>持续监控和快速响应</w:t>
      </w:r>
      <w:r>
        <w:rPr>
          <w:rFonts w:hint="eastAsia" w:ascii="仿宋_GB2312" w:hAnsi="仿宋_GB2312" w:eastAsia="仿宋_GB2312" w:cs="仿宋_GB2312"/>
          <w:b w:val="0"/>
          <w:bCs w:val="0"/>
          <w:color w:val="auto"/>
          <w:kern w:val="2"/>
          <w:sz w:val="32"/>
          <w:szCs w:val="32"/>
          <w:highlight w:val="none"/>
          <w:lang w:val="en-US" w:eastAsia="zh-CN" w:bidi="ar-SA"/>
        </w:rPr>
        <w:t>等</w:t>
      </w:r>
      <w:r>
        <w:rPr>
          <w:rFonts w:hint="default" w:ascii="仿宋_GB2312" w:hAnsi="仿宋_GB2312" w:eastAsia="仿宋_GB2312" w:cs="仿宋_GB2312"/>
          <w:b w:val="0"/>
          <w:bCs w:val="0"/>
          <w:color w:val="auto"/>
          <w:kern w:val="2"/>
          <w:sz w:val="32"/>
          <w:szCs w:val="32"/>
          <w:highlight w:val="none"/>
          <w:lang w:val="en-US" w:eastAsia="zh-CN" w:bidi="ar-SA"/>
        </w:rPr>
        <w:t>机制有效管理潜在的安全威胁并减轻数</w:t>
      </w:r>
      <w:r>
        <w:rPr>
          <w:rFonts w:hint="eastAsia" w:ascii="仿宋_GB2312" w:hAnsi="仿宋_GB2312" w:eastAsia="仿宋_GB2312" w:cs="仿宋_GB2312"/>
          <w:b w:val="0"/>
          <w:bCs w:val="0"/>
          <w:color w:val="auto"/>
          <w:kern w:val="2"/>
          <w:sz w:val="32"/>
          <w:szCs w:val="32"/>
          <w:highlight w:val="none"/>
          <w:lang w:val="en-US" w:eastAsia="zh-CN" w:bidi="ar-SA"/>
        </w:rPr>
        <w:t>据安全事件的影响，保证</w:t>
      </w:r>
      <w:r>
        <w:rPr>
          <w:rFonts w:hint="default" w:ascii="仿宋_GB2312" w:hAnsi="仿宋_GB2312" w:eastAsia="仿宋_GB2312" w:cs="仿宋_GB2312"/>
          <w:b w:val="0"/>
          <w:bCs w:val="0"/>
          <w:color w:val="auto"/>
          <w:kern w:val="2"/>
          <w:sz w:val="32"/>
          <w:szCs w:val="32"/>
          <w:highlight w:val="none"/>
          <w:lang w:val="en-US" w:eastAsia="zh-CN" w:bidi="ar-SA"/>
        </w:rPr>
        <w:t>数据的机密性、完整性和不可否认性，全面支持系统的安全运营。</w:t>
      </w:r>
    </w:p>
    <w:p w14:paraId="661F81AD">
      <w:pPr>
        <w:pStyle w:val="19"/>
        <w:keepNext w:val="0"/>
        <w:keepLines w:val="0"/>
        <w:pageBreakBefore w:val="0"/>
        <w:widowControl w:val="0"/>
        <w:numPr>
          <w:ilvl w:val="-1"/>
          <w:numId w:val="0"/>
        </w:numPr>
        <w:kinsoku/>
        <w:wordWrap/>
        <w:overflowPunct/>
        <w:topLinePunct w:val="0"/>
        <w:autoSpaceDE/>
        <w:autoSpaceDN/>
        <w:bidi w:val="0"/>
        <w:adjustRightInd w:val="0"/>
        <w:snapToGrid w:val="0"/>
        <w:spacing w:beforeLines="0" w:afterLines="0" w:line="560" w:lineRule="exact"/>
        <w:ind w:left="0" w:leftChars="0" w:firstLine="640" w:firstLineChars="200"/>
        <w:jc w:val="both"/>
        <w:rPr>
          <w:rFonts w:hint="eastAsia" w:ascii="Times New Roman" w:hAnsi="Times New Roman"/>
          <w:color w:val="auto"/>
          <w:lang w:val="en-US" w:eastAsia="zh-CN"/>
        </w:rPr>
      </w:pPr>
      <w:r>
        <w:rPr>
          <w:rFonts w:hint="eastAsia"/>
          <w:color w:val="auto"/>
          <w:lang w:val="en-US" w:eastAsia="zh-CN"/>
        </w:rPr>
        <w:t>（五）</w:t>
      </w:r>
      <w:r>
        <w:rPr>
          <w:rFonts w:hint="eastAsia" w:ascii="Times New Roman" w:hAnsi="Times New Roman"/>
          <w:color w:val="auto"/>
          <w:lang w:val="en-US" w:eastAsia="zh-CN"/>
        </w:rPr>
        <w:t>试点经验与实践基础</w:t>
      </w:r>
    </w:p>
    <w:p w14:paraId="7776884B">
      <w:pPr>
        <w:pStyle w:val="18"/>
        <w:keepNext w:val="0"/>
        <w:keepLines w:val="0"/>
        <w:pageBreakBefore w:val="0"/>
        <w:widowControl w:val="0"/>
        <w:kinsoku/>
        <w:wordWrap/>
        <w:overflowPunct/>
        <w:topLinePunct w:val="0"/>
        <w:autoSpaceDE/>
        <w:autoSpaceDN/>
        <w:bidi w:val="0"/>
        <w:adjustRightInd w:val="0"/>
        <w:snapToGrid w:val="0"/>
        <w:spacing w:line="560" w:lineRule="exact"/>
        <w:jc w:val="both"/>
        <w:rPr>
          <w:rFonts w:hint="eastAsia" w:ascii="仿宋_GB2312" w:hAnsi="仿宋_GB2312" w:eastAsia="仿宋_GB2312" w:cs="仿宋_GB2312"/>
          <w:color w:val="auto"/>
          <w:kern w:val="2"/>
          <w:sz w:val="32"/>
          <w:szCs w:val="32"/>
          <w:highlight w:val="none"/>
          <w:shd w:val="clear" w:color="FFFFFF" w:fill="D9D9D9"/>
          <w:lang w:val="en-US" w:eastAsia="zh-CN" w:bidi="ar-SA"/>
        </w:rPr>
      </w:pPr>
      <w:r>
        <w:rPr>
          <w:rFonts w:hint="eastAsia" w:ascii="仿宋_GB2312" w:hAnsi="仿宋_GB2312" w:eastAsia="仿宋_GB2312" w:cs="仿宋_GB2312"/>
          <w:color w:val="auto"/>
          <w:kern w:val="2"/>
          <w:sz w:val="32"/>
          <w:szCs w:val="32"/>
          <w:highlight w:val="none"/>
          <w:lang w:val="en-US" w:eastAsia="zh-CN" w:bidi="ar-SA"/>
        </w:rPr>
        <w:t>龙华区在公共数据授权运营中已</w:t>
      </w:r>
      <w:r>
        <w:rPr>
          <w:rFonts w:hint="eastAsia" w:ascii="仿宋_GB2312" w:hAnsi="仿宋_GB2312" w:cs="仿宋_GB2312"/>
          <w:color w:val="auto"/>
          <w:kern w:val="2"/>
          <w:sz w:val="32"/>
          <w:szCs w:val="32"/>
          <w:highlight w:val="none"/>
          <w:lang w:val="en-US" w:eastAsia="zh-CN" w:bidi="ar-SA"/>
        </w:rPr>
        <w:t>开展</w:t>
      </w:r>
      <w:r>
        <w:rPr>
          <w:rFonts w:hint="eastAsia" w:ascii="仿宋_GB2312" w:hAnsi="仿宋_GB2312" w:eastAsia="仿宋_GB2312" w:cs="仿宋_GB2312"/>
          <w:color w:val="auto"/>
          <w:kern w:val="2"/>
          <w:sz w:val="32"/>
          <w:szCs w:val="32"/>
          <w:highlight w:val="none"/>
          <w:lang w:val="en-US" w:eastAsia="zh-CN" w:bidi="ar-SA"/>
        </w:rPr>
        <w:t>突破性</w:t>
      </w:r>
      <w:r>
        <w:rPr>
          <w:rFonts w:hint="eastAsia" w:ascii="仿宋_GB2312" w:hAnsi="仿宋_GB2312" w:cs="仿宋_GB2312"/>
          <w:color w:val="auto"/>
          <w:kern w:val="2"/>
          <w:sz w:val="32"/>
          <w:szCs w:val="32"/>
          <w:highlight w:val="none"/>
          <w:lang w:val="en-US" w:eastAsia="zh-CN" w:bidi="ar-SA"/>
        </w:rPr>
        <w:t>探索</w:t>
      </w:r>
      <w:r>
        <w:rPr>
          <w:rFonts w:hint="eastAsia" w:ascii="仿宋_GB2312" w:hAnsi="仿宋_GB2312" w:eastAsia="仿宋_GB2312" w:cs="仿宋_GB2312"/>
          <w:color w:val="auto"/>
          <w:kern w:val="2"/>
          <w:sz w:val="32"/>
          <w:szCs w:val="32"/>
          <w:highlight w:val="none"/>
          <w:lang w:val="en-US" w:eastAsia="zh-CN" w:bidi="ar-SA"/>
        </w:rPr>
        <w:t>，形成了可复制的经验。</w:t>
      </w:r>
      <w:r>
        <w:rPr>
          <w:rFonts w:hint="eastAsia" w:ascii="仿宋_GB2312" w:hAnsi="仿宋_GB2312" w:cs="仿宋_GB2312"/>
          <w:b/>
          <w:bCs/>
          <w:color w:val="auto"/>
          <w:kern w:val="2"/>
          <w:sz w:val="32"/>
          <w:szCs w:val="32"/>
          <w:highlight w:val="none"/>
          <w:lang w:val="en-US" w:eastAsia="zh-CN" w:bidi="ar-SA"/>
        </w:rPr>
        <w:t>一是</w:t>
      </w:r>
      <w:r>
        <w:rPr>
          <w:rFonts w:hint="eastAsia" w:ascii="仿宋_GB2312" w:hAnsi="仿宋_GB2312" w:cs="仿宋_GB2312"/>
          <w:color w:val="auto"/>
          <w:kern w:val="2"/>
          <w:sz w:val="32"/>
          <w:szCs w:val="32"/>
          <w:highlight w:val="none"/>
          <w:lang w:val="en-US" w:eastAsia="zh-CN" w:bidi="ar-SA"/>
        </w:rPr>
        <w:t>区政务和数据局</w:t>
      </w:r>
      <w:r>
        <w:rPr>
          <w:rFonts w:hint="eastAsia" w:ascii="仿宋_GB2312" w:hAnsi="仿宋_GB2312" w:eastAsia="仿宋_GB2312" w:cs="仿宋_GB2312"/>
          <w:color w:val="auto"/>
          <w:kern w:val="2"/>
          <w:sz w:val="32"/>
          <w:szCs w:val="32"/>
          <w:highlight w:val="none"/>
          <w:lang w:val="en-US" w:eastAsia="zh-CN" w:bidi="ar-SA"/>
        </w:rPr>
        <w:t>在全市打造</w:t>
      </w:r>
      <w:r>
        <w:rPr>
          <w:rFonts w:hint="eastAsia" w:ascii="仿宋_GB2312" w:hAnsi="仿宋_GB2312" w:cs="仿宋_GB2312"/>
          <w:color w:val="auto"/>
          <w:kern w:val="2"/>
          <w:sz w:val="32"/>
          <w:szCs w:val="32"/>
          <w:highlight w:val="none"/>
          <w:lang w:val="en-US" w:eastAsia="zh-CN" w:bidi="ar-SA"/>
        </w:rPr>
        <w:t>首个金融领域公共数据产品</w:t>
      </w:r>
      <w:r>
        <w:rPr>
          <w:rFonts w:hint="eastAsia" w:ascii="仿宋_GB2312" w:hAnsi="仿宋_GB2312" w:eastAsia="仿宋_GB2312" w:cs="仿宋_GB2312"/>
          <w:color w:val="auto"/>
          <w:kern w:val="2"/>
          <w:sz w:val="32"/>
          <w:szCs w:val="32"/>
          <w:highlight w:val="none"/>
          <w:lang w:val="en-US" w:eastAsia="zh-CN" w:bidi="ar-SA"/>
        </w:rPr>
        <w:t>“龙数贷”</w:t>
      </w:r>
      <w:r>
        <w:rPr>
          <w:rFonts w:hint="eastAsia" w:ascii="仿宋_GB2312" w:hAnsi="仿宋_GB2312" w:cs="仿宋_GB2312"/>
          <w:color w:val="auto"/>
          <w:kern w:val="2"/>
          <w:sz w:val="32"/>
          <w:szCs w:val="32"/>
          <w:highlight w:val="none"/>
          <w:lang w:val="en-US" w:eastAsia="zh-CN" w:bidi="ar-SA"/>
        </w:rPr>
        <w:t>。产品</w:t>
      </w:r>
      <w:r>
        <w:rPr>
          <w:rFonts w:hint="eastAsia" w:ascii="仿宋_GB2312" w:hAnsi="仿宋_GB2312" w:eastAsia="仿宋_GB2312" w:cs="仿宋_GB2312"/>
          <w:color w:val="auto"/>
          <w:kern w:val="2"/>
          <w:sz w:val="32"/>
          <w:szCs w:val="32"/>
          <w:highlight w:val="none"/>
          <w:lang w:val="en-US" w:eastAsia="zh-CN" w:bidi="ar-SA"/>
        </w:rPr>
        <w:t>通过区产业部门惠企补贴数据为企业贷款增信，</w:t>
      </w:r>
      <w:r>
        <w:rPr>
          <w:rFonts w:hint="default" w:ascii="仿宋_GB2312" w:hAnsi="仿宋_GB2312" w:eastAsia="仿宋_GB2312" w:cs="仿宋_GB2312"/>
          <w:color w:val="auto"/>
          <w:kern w:val="2"/>
          <w:sz w:val="32"/>
          <w:szCs w:val="32"/>
          <w:highlight w:val="none"/>
          <w:lang w:val="en-US" w:eastAsia="zh-CN" w:bidi="ar-SA"/>
        </w:rPr>
        <w:t>帮助</w:t>
      </w:r>
      <w:r>
        <w:rPr>
          <w:rFonts w:hint="eastAsia" w:ascii="仿宋_GB2312" w:hAnsi="仿宋_GB2312" w:eastAsia="仿宋_GB2312" w:cs="仿宋_GB2312"/>
          <w:color w:val="auto"/>
          <w:kern w:val="2"/>
          <w:sz w:val="32"/>
          <w:szCs w:val="32"/>
          <w:highlight w:val="none"/>
          <w:lang w:val="en-US" w:eastAsia="zh-CN" w:bidi="ar-SA"/>
        </w:rPr>
        <w:t>科技中小微企业</w:t>
      </w:r>
      <w:r>
        <w:rPr>
          <w:rFonts w:hint="default" w:ascii="仿宋_GB2312" w:hAnsi="仿宋_GB2312" w:eastAsia="仿宋_GB2312" w:cs="仿宋_GB2312"/>
          <w:color w:val="auto"/>
          <w:kern w:val="2"/>
          <w:sz w:val="32"/>
          <w:szCs w:val="32"/>
          <w:highlight w:val="none"/>
          <w:lang w:val="en-US" w:eastAsia="zh-CN" w:bidi="ar-SA"/>
        </w:rPr>
        <w:t>提升</w:t>
      </w:r>
      <w:r>
        <w:rPr>
          <w:rFonts w:hint="eastAsia" w:ascii="仿宋_GB2312" w:hAnsi="仿宋_GB2312" w:eastAsia="仿宋_GB2312" w:cs="仿宋_GB2312"/>
          <w:color w:val="auto"/>
          <w:kern w:val="2"/>
          <w:sz w:val="32"/>
          <w:szCs w:val="32"/>
          <w:highlight w:val="none"/>
          <w:lang w:val="en-US" w:eastAsia="zh-CN" w:bidi="ar-SA"/>
        </w:rPr>
        <w:t>贷款额度</w:t>
      </w:r>
      <w:r>
        <w:rPr>
          <w:rFonts w:hint="default" w:ascii="仿宋_GB2312" w:hAnsi="仿宋_GB2312" w:eastAsia="仿宋_GB2312" w:cs="仿宋_GB2312"/>
          <w:color w:val="auto"/>
          <w:kern w:val="2"/>
          <w:sz w:val="32"/>
          <w:szCs w:val="32"/>
          <w:highlight w:val="none"/>
          <w:lang w:val="en-US" w:eastAsia="zh-CN" w:bidi="ar-SA"/>
        </w:rPr>
        <w:t>，有效提升金融服务的精准度与效率</w:t>
      </w:r>
      <w:r>
        <w:rPr>
          <w:rFonts w:hint="eastAsia" w:ascii="仿宋_GB2312" w:hAnsi="仿宋_GB2312" w:cs="仿宋_GB2312"/>
          <w:color w:val="auto"/>
          <w:kern w:val="2"/>
          <w:sz w:val="32"/>
          <w:szCs w:val="32"/>
          <w:highlight w:val="none"/>
          <w:lang w:val="en-US" w:eastAsia="zh-CN" w:bidi="ar-SA"/>
        </w:rPr>
        <w:t>。</w:t>
      </w:r>
      <w:r>
        <w:rPr>
          <w:rFonts w:hint="eastAsia" w:ascii="仿宋_GB2312" w:hAnsi="仿宋_GB2312" w:eastAsia="仿宋_GB2312" w:cs="仿宋_GB2312"/>
          <w:color w:val="auto"/>
          <w:kern w:val="2"/>
          <w:sz w:val="32"/>
          <w:szCs w:val="32"/>
          <w:highlight w:val="none"/>
          <w:lang w:val="en-US" w:eastAsia="zh-CN" w:bidi="ar-SA"/>
        </w:rPr>
        <w:t>“龙数贷”</w:t>
      </w:r>
      <w:r>
        <w:rPr>
          <w:rFonts w:hint="eastAsia" w:ascii="仿宋_GB2312" w:hAnsi="仿宋_GB2312" w:cs="仿宋_GB2312"/>
          <w:color w:val="auto"/>
          <w:kern w:val="2"/>
          <w:sz w:val="32"/>
          <w:szCs w:val="32"/>
          <w:highlight w:val="none"/>
          <w:lang w:val="en-US" w:eastAsia="zh-CN" w:bidi="ar-SA"/>
        </w:rPr>
        <w:t>数据产品</w:t>
      </w:r>
      <w:r>
        <w:rPr>
          <w:rFonts w:hint="eastAsia" w:ascii="仿宋_GB2312" w:hAnsi="仿宋_GB2312" w:eastAsia="仿宋_GB2312" w:cs="仿宋_GB2312"/>
          <w:color w:val="auto"/>
          <w:kern w:val="2"/>
          <w:sz w:val="32"/>
          <w:szCs w:val="32"/>
          <w:highlight w:val="none"/>
          <w:lang w:val="en-US" w:eastAsia="zh-CN" w:bidi="ar-SA"/>
        </w:rPr>
        <w:t>已正式上市深圳数据交易所，由龙华数据公司具体运营。截至目前，</w:t>
      </w:r>
      <w:r>
        <w:rPr>
          <w:rFonts w:hint="eastAsia" w:ascii="仿宋_GB2312" w:hAnsi="仿宋_GB2312" w:cs="仿宋_GB2312"/>
          <w:color w:val="auto"/>
          <w:kern w:val="2"/>
          <w:sz w:val="32"/>
          <w:szCs w:val="32"/>
          <w:highlight w:val="none"/>
          <w:lang w:val="en-US" w:eastAsia="zh-CN" w:bidi="ar-SA"/>
        </w:rPr>
        <w:t>产</w:t>
      </w:r>
      <w:r>
        <w:rPr>
          <w:rFonts w:hint="eastAsia" w:ascii="仿宋_GB2312" w:hAnsi="仿宋_GB2312" w:eastAsia="仿宋_GB2312" w:cs="仿宋_GB2312"/>
          <w:color w:val="auto"/>
          <w:kern w:val="2"/>
          <w:sz w:val="32"/>
          <w:szCs w:val="32"/>
          <w:highlight w:val="none"/>
          <w:lang w:val="en-US" w:eastAsia="zh-CN" w:bidi="ar-SA"/>
        </w:rPr>
        <w:t>品累计提供贷款额度超3亿元，验证了数据赋能实体经济的可行性。</w:t>
      </w:r>
      <w:r>
        <w:rPr>
          <w:rFonts w:hint="eastAsia" w:ascii="仿宋_GB2312" w:hAnsi="仿宋_GB2312" w:cs="仿宋_GB2312"/>
          <w:b/>
          <w:bCs/>
          <w:color w:val="auto"/>
          <w:kern w:val="2"/>
          <w:sz w:val="32"/>
          <w:szCs w:val="32"/>
          <w:highlight w:val="none"/>
          <w:lang w:val="en-US" w:eastAsia="zh-CN" w:bidi="ar-SA"/>
        </w:rPr>
        <w:t>二是</w:t>
      </w:r>
      <w:r>
        <w:rPr>
          <w:rFonts w:hint="eastAsia" w:ascii="仿宋_GB2312" w:hAnsi="仿宋_GB2312" w:cs="仿宋_GB2312"/>
          <w:color w:val="auto"/>
          <w:kern w:val="2"/>
          <w:sz w:val="32"/>
          <w:szCs w:val="32"/>
          <w:highlight w:val="none"/>
          <w:lang w:val="en-US" w:eastAsia="zh-CN" w:bidi="ar-SA"/>
        </w:rPr>
        <w:t>区属国企</w:t>
      </w:r>
      <w:r>
        <w:rPr>
          <w:rFonts w:hint="eastAsia" w:ascii="仿宋_GB2312" w:hAnsi="仿宋_GB2312" w:eastAsia="仿宋_GB2312" w:cs="仿宋_GB2312"/>
          <w:color w:val="auto"/>
          <w:kern w:val="2"/>
          <w:sz w:val="32"/>
          <w:szCs w:val="32"/>
          <w:highlight w:val="none"/>
          <w:lang w:val="en-US" w:eastAsia="zh-CN" w:bidi="ar-SA"/>
        </w:rPr>
        <w:t>龙华排水公司以“河道水位监测预警分析数据集产品”作为增信条件，完成全市首例国有企业“数据资产入表+融资授信”，成功获得光大银行深圳分行1.1亿元融资授信额度，打通了数据要素资源化向资产化、资本化的转变路径。</w:t>
      </w:r>
      <w:r>
        <w:rPr>
          <w:rFonts w:hint="eastAsia" w:ascii="仿宋_GB2312" w:hAnsi="仿宋_GB2312" w:cs="仿宋_GB2312"/>
          <w:b/>
          <w:bCs/>
          <w:color w:val="auto"/>
          <w:kern w:val="2"/>
          <w:sz w:val="32"/>
          <w:szCs w:val="32"/>
          <w:highlight w:val="none"/>
          <w:lang w:val="en-US" w:eastAsia="zh-CN" w:bidi="ar-SA"/>
        </w:rPr>
        <w:t>三是</w:t>
      </w:r>
      <w:r>
        <w:rPr>
          <w:rFonts w:hint="eastAsia" w:ascii="仿宋_GB2312" w:hAnsi="仿宋_GB2312" w:eastAsia="仿宋_GB2312" w:cs="仿宋_GB2312"/>
          <w:color w:val="auto"/>
          <w:kern w:val="2"/>
          <w:sz w:val="32"/>
          <w:szCs w:val="32"/>
          <w:highlight w:val="none"/>
          <w:lang w:val="en-US" w:eastAsia="zh-CN" w:bidi="ar-SA"/>
        </w:rPr>
        <w:t>区工业和信息化局联合深圳数据交易所、深圳交易集团有限公司龙华分公司</w:t>
      </w:r>
      <w:r>
        <w:rPr>
          <w:rFonts w:ascii="仿宋_GB2312" w:hAnsi="仿宋_GB2312" w:eastAsia="仿宋_GB2312" w:cs="仿宋_GB2312"/>
          <w:color w:val="auto"/>
          <w:sz w:val="32"/>
          <w:szCs w:val="32"/>
          <w:highlight w:val="none"/>
        </w:rPr>
        <w:t>共建</w:t>
      </w:r>
      <w:r>
        <w:rPr>
          <w:rFonts w:hint="eastAsia" w:ascii="仿宋_GB2312" w:hAnsi="仿宋_GB2312" w:eastAsia="仿宋_GB2312" w:cs="仿宋_GB2312"/>
          <w:b w:val="0"/>
          <w:bCs w:val="0"/>
          <w:color w:val="auto"/>
          <w:kern w:val="2"/>
          <w:sz w:val="32"/>
          <w:szCs w:val="32"/>
          <w:lang w:val="en-US" w:eastAsia="zh-CN"/>
        </w:rPr>
        <w:t>龙华区</w:t>
      </w:r>
      <w:r>
        <w:rPr>
          <w:rFonts w:ascii="仿宋_GB2312" w:hAnsi="仿宋_GB2312" w:eastAsia="仿宋_GB2312" w:cs="仿宋_GB2312"/>
          <w:color w:val="auto"/>
          <w:kern w:val="2"/>
          <w:sz w:val="32"/>
          <w:szCs w:val="32"/>
        </w:rPr>
        <w:t>数据要素服务工作站</w:t>
      </w:r>
      <w:r>
        <w:rPr>
          <w:rFonts w:hint="eastAsia" w:ascii="仿宋_GB2312" w:hAnsi="仿宋_GB2312" w:cs="仿宋_GB2312"/>
          <w:color w:val="auto"/>
          <w:kern w:val="2"/>
          <w:sz w:val="32"/>
          <w:szCs w:val="32"/>
          <w:lang w:eastAsia="zh-CN"/>
        </w:rPr>
        <w:t>，</w:t>
      </w:r>
      <w:r>
        <w:rPr>
          <w:rFonts w:hint="eastAsia" w:ascii="仿宋_GB2312" w:hAnsi="仿宋_GB2312" w:eastAsia="仿宋_GB2312" w:cs="仿宋_GB2312"/>
          <w:b w:val="0"/>
          <w:bCs/>
          <w:color w:val="auto"/>
          <w:kern w:val="2"/>
          <w:sz w:val="32"/>
          <w:szCs w:val="32"/>
        </w:rPr>
        <w:t>以集成资源库为龙华企业及机构提供数据流通交易前后所需的数据安全合规、数据应用规划、数据治理及其他增值服务</w:t>
      </w:r>
      <w:r>
        <w:rPr>
          <w:rFonts w:hint="eastAsia" w:ascii="仿宋_GB2312" w:hAnsi="仿宋_GB2312" w:cs="仿宋_GB2312"/>
          <w:b w:val="0"/>
          <w:bCs/>
          <w:color w:val="auto"/>
          <w:kern w:val="2"/>
          <w:sz w:val="32"/>
          <w:szCs w:val="32"/>
          <w:lang w:eastAsia="zh-CN"/>
        </w:rPr>
        <w:t>。</w:t>
      </w:r>
    </w:p>
    <w:p w14:paraId="7DEB7A9E">
      <w:pPr>
        <w:pStyle w:val="18"/>
        <w:keepNext w:val="0"/>
        <w:keepLines w:val="0"/>
        <w:pageBreakBefore w:val="0"/>
        <w:widowControl w:val="0"/>
        <w:kinsoku/>
        <w:wordWrap/>
        <w:overflowPunct/>
        <w:topLinePunct w:val="0"/>
        <w:autoSpaceDE/>
        <w:autoSpaceDN/>
        <w:bidi w:val="0"/>
        <w:adjustRightInd w:val="0"/>
        <w:snapToGrid w:val="0"/>
        <w:spacing w:line="560" w:lineRule="exact"/>
        <w:jc w:val="both"/>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上述实践为</w:t>
      </w:r>
      <w:r>
        <w:rPr>
          <w:rFonts w:hint="eastAsia" w:ascii="仿宋_GB2312" w:hAnsi="仿宋_GB2312" w:cs="仿宋_GB2312"/>
          <w:color w:val="auto"/>
          <w:kern w:val="2"/>
          <w:sz w:val="32"/>
          <w:szCs w:val="32"/>
          <w:highlight w:val="none"/>
          <w:lang w:val="en-US" w:eastAsia="zh-CN" w:bidi="ar-SA"/>
        </w:rPr>
        <w:t>公共</w:t>
      </w:r>
      <w:r>
        <w:rPr>
          <w:rFonts w:hint="eastAsia" w:ascii="仿宋_GB2312" w:hAnsi="仿宋_GB2312" w:eastAsia="仿宋_GB2312" w:cs="仿宋_GB2312"/>
          <w:color w:val="auto"/>
          <w:kern w:val="2"/>
          <w:sz w:val="32"/>
          <w:szCs w:val="32"/>
          <w:highlight w:val="none"/>
          <w:lang w:val="en-US" w:eastAsia="zh-CN" w:bidi="ar-SA"/>
        </w:rPr>
        <w:t>数据产品的开发与交易提供了</w:t>
      </w:r>
      <w:r>
        <w:rPr>
          <w:rFonts w:hint="eastAsia" w:ascii="仿宋_GB2312" w:hAnsi="仿宋_GB2312" w:cs="仿宋_GB2312"/>
          <w:color w:val="auto"/>
          <w:kern w:val="2"/>
          <w:sz w:val="32"/>
          <w:szCs w:val="32"/>
          <w:highlight w:val="none"/>
          <w:lang w:val="en-US" w:eastAsia="zh-CN" w:bidi="ar-SA"/>
        </w:rPr>
        <w:t>经验支持</w:t>
      </w:r>
      <w:r>
        <w:rPr>
          <w:rFonts w:hint="eastAsia" w:ascii="仿宋_GB2312" w:hAnsi="仿宋_GB2312" w:eastAsia="仿宋_GB2312" w:cs="仿宋_GB2312"/>
          <w:color w:val="auto"/>
          <w:kern w:val="2"/>
          <w:sz w:val="32"/>
          <w:szCs w:val="32"/>
          <w:highlight w:val="none"/>
          <w:lang w:val="en-US" w:eastAsia="zh-CN" w:bidi="ar-SA"/>
        </w:rPr>
        <w:t>，为推动数据要素市场化配置改革、探索数字经济发展开辟新空间</w:t>
      </w:r>
      <w:r>
        <w:rPr>
          <w:rFonts w:hint="eastAsia" w:ascii="仿宋_GB2312" w:hAnsi="仿宋_GB2312" w:cs="仿宋_GB2312"/>
          <w:color w:val="auto"/>
          <w:kern w:val="2"/>
          <w:sz w:val="32"/>
          <w:szCs w:val="32"/>
          <w:highlight w:val="none"/>
          <w:lang w:val="en-US" w:eastAsia="zh-CN" w:bidi="ar-SA"/>
        </w:rPr>
        <w:t>。</w:t>
      </w:r>
    </w:p>
    <w:p w14:paraId="66D61052">
      <w:pPr>
        <w:pStyle w:val="17"/>
        <w:keepNext w:val="0"/>
        <w:keepLines w:val="0"/>
        <w:pageBreakBefore w:val="0"/>
        <w:widowControl w:val="0"/>
        <w:kinsoku/>
        <w:wordWrap/>
        <w:overflowPunct/>
        <w:topLinePunct w:val="0"/>
        <w:autoSpaceDE/>
        <w:autoSpaceDN/>
        <w:bidi w:val="0"/>
        <w:adjustRightInd w:val="0"/>
        <w:snapToGrid w:val="0"/>
        <w:spacing w:beforeLines="0" w:afterLines="0" w:line="560" w:lineRule="exact"/>
        <w:jc w:val="both"/>
        <w:rPr>
          <w:rFonts w:hint="eastAsia"/>
          <w:color w:val="auto"/>
          <w:shd w:val="clear" w:color="auto" w:fill="auto"/>
          <w:lang w:val="en-US" w:eastAsia="zh-CN"/>
        </w:rPr>
      </w:pPr>
      <w:r>
        <w:rPr>
          <w:rFonts w:hint="eastAsia"/>
          <w:color w:val="auto"/>
          <w:shd w:val="clear" w:color="auto" w:fill="auto"/>
          <w:lang w:val="en-US" w:eastAsia="zh-CN"/>
        </w:rPr>
        <w:t>运营机构的选择条件</w:t>
      </w:r>
    </w:p>
    <w:p w14:paraId="6CA67772">
      <w:pPr>
        <w:pStyle w:val="19"/>
        <w:keepNext w:val="0"/>
        <w:keepLines w:val="0"/>
        <w:pageBreakBefore w:val="0"/>
        <w:widowControl w:val="0"/>
        <w:numPr>
          <w:ilvl w:val="0"/>
          <w:numId w:val="6"/>
        </w:numPr>
        <w:kinsoku/>
        <w:wordWrap/>
        <w:overflowPunct/>
        <w:topLinePunct w:val="0"/>
        <w:autoSpaceDE/>
        <w:autoSpaceDN/>
        <w:bidi w:val="0"/>
        <w:adjustRightInd w:val="0"/>
        <w:snapToGrid w:val="0"/>
        <w:spacing w:beforeLines="0" w:afterLines="0" w:line="560" w:lineRule="exact"/>
        <w:jc w:val="both"/>
        <w:rPr>
          <w:rFonts w:hint="eastAsia"/>
          <w:color w:val="auto"/>
          <w:highlight w:val="none"/>
          <w:shd w:val="clear" w:color="auto" w:fill="auto"/>
          <w:lang w:val="en-US" w:eastAsia="zh-CN"/>
        </w:rPr>
      </w:pPr>
      <w:r>
        <w:rPr>
          <w:rFonts w:hint="eastAsia"/>
          <w:color w:val="auto"/>
          <w:highlight w:val="none"/>
          <w:shd w:val="clear" w:color="auto" w:fill="auto"/>
          <w:lang w:val="en-US" w:eastAsia="zh-CN"/>
        </w:rPr>
        <w:t>资格</w:t>
      </w:r>
    </w:p>
    <w:p w14:paraId="529F7427">
      <w:pPr>
        <w:keepNext w:val="0"/>
        <w:keepLines w:val="0"/>
        <w:pageBreakBefore w:val="0"/>
        <w:widowControl w:val="0"/>
        <w:suppressLineNumbers w:val="0"/>
        <w:kinsoku/>
        <w:wordWrap/>
        <w:overflowPunct/>
        <w:topLinePunct w:val="0"/>
        <w:autoSpaceDE/>
        <w:autoSpaceDN/>
        <w:bidi w:val="0"/>
        <w:adjustRightInd w:val="0"/>
        <w:snapToGrid w:val="0"/>
        <w:spacing w:line="560" w:lineRule="exact"/>
        <w:jc w:val="both"/>
        <w:rPr>
          <w:rFonts w:hint="eastAsia" w:ascii="仿宋_GB2312" w:hAnsi="仿宋_GB2312" w:eastAsia="仿宋_GB2312" w:cs="仿宋_GB2312"/>
          <w:color w:val="auto"/>
          <w:kern w:val="2"/>
          <w:sz w:val="32"/>
          <w:szCs w:val="24"/>
          <w:shd w:val="clear" w:color="auto" w:fill="auto"/>
          <w:lang w:val="en-US" w:eastAsia="zh-CN" w:bidi="ar-SA"/>
        </w:rPr>
      </w:pPr>
      <w:r>
        <w:rPr>
          <w:rFonts w:hint="eastAsia" w:ascii="仿宋_GB2312" w:hAnsi="仿宋_GB2312" w:eastAsia="仿宋_GB2312" w:cs="仿宋_GB2312"/>
          <w:color w:val="auto"/>
          <w:kern w:val="2"/>
          <w:sz w:val="32"/>
          <w:szCs w:val="24"/>
          <w:shd w:val="clear" w:color="auto" w:fill="auto"/>
          <w:lang w:val="en-US" w:eastAsia="zh-CN" w:bidi="ar-SA"/>
        </w:rPr>
        <w:t>运营机构应为中华人民共和国境内合法注册的企业，持有有效的统一社会信用代码或其他合法资质证照。</w:t>
      </w:r>
    </w:p>
    <w:p w14:paraId="14988B88">
      <w:pPr>
        <w:pStyle w:val="19"/>
        <w:keepNext w:val="0"/>
        <w:keepLines w:val="0"/>
        <w:pageBreakBefore w:val="0"/>
        <w:widowControl w:val="0"/>
        <w:numPr>
          <w:ilvl w:val="0"/>
          <w:numId w:val="6"/>
        </w:numPr>
        <w:kinsoku/>
        <w:wordWrap/>
        <w:overflowPunct/>
        <w:topLinePunct w:val="0"/>
        <w:autoSpaceDE/>
        <w:autoSpaceDN/>
        <w:bidi w:val="0"/>
        <w:adjustRightInd w:val="0"/>
        <w:snapToGrid w:val="0"/>
        <w:spacing w:beforeLines="0" w:afterLines="0" w:line="560" w:lineRule="exact"/>
        <w:jc w:val="both"/>
        <w:rPr>
          <w:rFonts w:hint="eastAsia"/>
          <w:color w:val="auto"/>
          <w:shd w:val="clear" w:color="auto" w:fill="auto"/>
          <w:lang w:val="en-US" w:eastAsia="zh-CN"/>
        </w:rPr>
      </w:pPr>
      <w:r>
        <w:rPr>
          <w:rFonts w:hint="eastAsia"/>
          <w:color w:val="auto"/>
          <w:shd w:val="clear" w:color="auto" w:fill="auto"/>
          <w:lang w:val="en-US" w:eastAsia="zh-CN"/>
        </w:rPr>
        <w:t>资金</w:t>
      </w:r>
    </w:p>
    <w:p w14:paraId="47CC58ED">
      <w:pPr>
        <w:keepNext w:val="0"/>
        <w:keepLines w:val="0"/>
        <w:pageBreakBefore w:val="0"/>
        <w:widowControl w:val="0"/>
        <w:suppressLineNumbers w:val="0"/>
        <w:kinsoku/>
        <w:wordWrap/>
        <w:overflowPunct/>
        <w:topLinePunct w:val="0"/>
        <w:autoSpaceDE/>
        <w:autoSpaceDN/>
        <w:bidi w:val="0"/>
        <w:adjustRightInd w:val="0"/>
        <w:snapToGrid w:val="0"/>
        <w:spacing w:line="560" w:lineRule="exact"/>
        <w:jc w:val="both"/>
        <w:rPr>
          <w:rFonts w:hint="eastAsia" w:ascii="仿宋_GB2312" w:hAnsi="仿宋_GB2312" w:eastAsia="仿宋_GB2312" w:cs="仿宋_GB2312"/>
          <w:color w:val="auto"/>
          <w:kern w:val="2"/>
          <w:sz w:val="32"/>
          <w:szCs w:val="24"/>
          <w:shd w:val="clear" w:color="auto" w:fill="auto"/>
          <w:lang w:val="en-US" w:eastAsia="zh-CN" w:bidi="ar-SA"/>
        </w:rPr>
      </w:pPr>
      <w:r>
        <w:rPr>
          <w:rFonts w:hint="eastAsia" w:ascii="仿宋_GB2312" w:hAnsi="仿宋_GB2312" w:eastAsia="仿宋_GB2312" w:cs="仿宋_GB2312"/>
          <w:color w:val="auto"/>
          <w:kern w:val="2"/>
          <w:sz w:val="32"/>
          <w:szCs w:val="24"/>
          <w:shd w:val="clear" w:color="auto" w:fill="auto"/>
          <w:lang w:val="en-US" w:eastAsia="zh-CN" w:bidi="ar-SA"/>
        </w:rPr>
        <w:t>运营机构需具备独立法人资格，且近三年无重大财务失信记录。须提供经审计的财务报表，证明其具备承担数据开发、运营维护及风险应对的资金能力。鼓励具备国有资本背景或混合所有制企业参与，确保资金使用符合国有资产监管要求；社会资本主导的机构需承诺资金来源合法透明，接受财政、审计部门监督。</w:t>
      </w:r>
    </w:p>
    <w:p w14:paraId="6257474D">
      <w:pPr>
        <w:pStyle w:val="19"/>
        <w:keepNext w:val="0"/>
        <w:keepLines w:val="0"/>
        <w:pageBreakBefore w:val="0"/>
        <w:widowControl w:val="0"/>
        <w:numPr>
          <w:ilvl w:val="0"/>
          <w:numId w:val="6"/>
        </w:numPr>
        <w:kinsoku/>
        <w:wordWrap/>
        <w:overflowPunct/>
        <w:topLinePunct w:val="0"/>
        <w:autoSpaceDE/>
        <w:autoSpaceDN/>
        <w:bidi w:val="0"/>
        <w:adjustRightInd w:val="0"/>
        <w:snapToGrid w:val="0"/>
        <w:spacing w:beforeLines="0" w:afterLines="0" w:line="560" w:lineRule="exact"/>
        <w:jc w:val="both"/>
        <w:rPr>
          <w:rFonts w:hint="eastAsia"/>
          <w:color w:val="auto"/>
          <w:shd w:val="clear" w:color="auto" w:fill="auto"/>
          <w:lang w:val="en-US" w:eastAsia="zh-CN"/>
        </w:rPr>
      </w:pPr>
      <w:r>
        <w:rPr>
          <w:rFonts w:hint="eastAsia"/>
          <w:color w:val="auto"/>
          <w:shd w:val="clear" w:color="auto" w:fill="auto"/>
          <w:lang w:val="en-US" w:eastAsia="zh-CN"/>
        </w:rPr>
        <w:t>管理</w:t>
      </w:r>
    </w:p>
    <w:p w14:paraId="287BC0F1">
      <w:pPr>
        <w:pStyle w:val="18"/>
        <w:keepNext w:val="0"/>
        <w:keepLines w:val="0"/>
        <w:pageBreakBefore w:val="0"/>
        <w:widowControl w:val="0"/>
        <w:kinsoku/>
        <w:wordWrap/>
        <w:overflowPunct/>
        <w:topLinePunct w:val="0"/>
        <w:autoSpaceDE/>
        <w:autoSpaceDN/>
        <w:bidi w:val="0"/>
        <w:adjustRightInd w:val="0"/>
        <w:snapToGrid w:val="0"/>
        <w:spacing w:line="560" w:lineRule="exact"/>
        <w:jc w:val="both"/>
        <w:rPr>
          <w:rFonts w:hint="eastAsia" w:ascii="仿宋_GB2312" w:hAnsi="仿宋_GB2312" w:eastAsia="仿宋_GB2312" w:cs="仿宋_GB2312"/>
          <w:color w:val="auto"/>
          <w:shd w:val="clear" w:color="auto" w:fill="auto"/>
          <w:lang w:val="en-US" w:eastAsia="zh-CN"/>
        </w:rPr>
      </w:pPr>
      <w:r>
        <w:rPr>
          <w:rFonts w:hint="eastAsia" w:ascii="仿宋_GB2312" w:hAnsi="仿宋_GB2312" w:eastAsia="仿宋_GB2312" w:cs="仿宋_GB2312"/>
          <w:color w:val="auto"/>
          <w:shd w:val="clear" w:color="auto" w:fill="auto"/>
          <w:lang w:val="en-US" w:eastAsia="zh-CN"/>
        </w:rPr>
        <w:t>运营机构需配备专职数据管理团队，核心成员需具有3年以上数据治理、</w:t>
      </w:r>
      <w:r>
        <w:rPr>
          <w:rFonts w:hint="eastAsia" w:ascii="仿宋_GB2312" w:hAnsi="仿宋_GB2312" w:cs="仿宋_GB2312"/>
          <w:color w:val="auto"/>
          <w:shd w:val="clear" w:color="auto" w:fill="auto"/>
          <w:lang w:val="en-US" w:eastAsia="zh-CN"/>
        </w:rPr>
        <w:t>开发项目</w:t>
      </w:r>
      <w:r>
        <w:rPr>
          <w:rFonts w:hint="eastAsia" w:ascii="仿宋_GB2312" w:hAnsi="仿宋_GB2312" w:eastAsia="仿宋_GB2312" w:cs="仿宋_GB2312"/>
          <w:color w:val="auto"/>
          <w:shd w:val="clear" w:color="auto" w:fill="auto"/>
          <w:lang w:val="en-US" w:eastAsia="zh-CN"/>
        </w:rPr>
        <w:t>经验，并持有相关专业认证（如项目管理、数据治理工程师</w:t>
      </w:r>
      <w:r>
        <w:rPr>
          <w:rFonts w:hint="eastAsia" w:ascii="仿宋_GB2312" w:hAnsi="仿宋_GB2312" w:cs="仿宋_GB2312"/>
          <w:color w:val="auto"/>
          <w:shd w:val="clear" w:color="auto" w:fill="auto"/>
          <w:lang w:val="en-US" w:eastAsia="zh-CN"/>
        </w:rPr>
        <w:t>、</w:t>
      </w:r>
      <w:r>
        <w:rPr>
          <w:rFonts w:hint="eastAsia" w:ascii="仿宋_GB2312" w:hAnsi="仿宋_GB2312" w:eastAsia="仿宋_GB2312" w:cs="仿宋_GB2312"/>
          <w:color w:val="auto"/>
          <w:shd w:val="clear" w:color="auto" w:fill="auto"/>
          <w:lang w:val="en-US" w:eastAsia="zh-CN"/>
        </w:rPr>
        <w:t>数据安全工程师等）。团队</w:t>
      </w:r>
      <w:r>
        <w:rPr>
          <w:rFonts w:hint="eastAsia" w:ascii="仿宋_GB2312" w:hAnsi="仿宋_GB2312" w:cs="仿宋_GB2312"/>
          <w:color w:val="auto"/>
          <w:shd w:val="clear" w:color="auto" w:fill="auto"/>
          <w:lang w:val="en-US" w:eastAsia="zh-CN"/>
        </w:rPr>
        <w:t>应</w:t>
      </w:r>
      <w:r>
        <w:rPr>
          <w:rFonts w:hint="eastAsia" w:ascii="仿宋_GB2312" w:hAnsi="仿宋_GB2312" w:eastAsia="仿宋_GB2312" w:cs="仿宋_GB2312"/>
          <w:color w:val="auto"/>
          <w:shd w:val="clear" w:color="auto" w:fill="auto"/>
          <w:lang w:val="en-US" w:eastAsia="zh-CN"/>
        </w:rPr>
        <w:t>包含数据质量管理、</w:t>
      </w:r>
      <w:r>
        <w:rPr>
          <w:rFonts w:hint="eastAsia" w:ascii="仿宋_GB2312" w:hAnsi="仿宋_GB2312" w:cs="仿宋_GB2312"/>
          <w:color w:val="auto"/>
          <w:shd w:val="clear" w:color="auto" w:fill="auto"/>
          <w:lang w:val="en-US" w:eastAsia="zh-CN"/>
        </w:rPr>
        <w:t>数据贯标、</w:t>
      </w:r>
      <w:r>
        <w:rPr>
          <w:rFonts w:hint="eastAsia" w:ascii="仿宋_GB2312" w:hAnsi="仿宋_GB2312" w:eastAsia="仿宋_GB2312" w:cs="仿宋_GB2312"/>
          <w:color w:val="auto"/>
          <w:shd w:val="clear" w:color="auto" w:fill="auto"/>
          <w:lang w:val="en-US" w:eastAsia="zh-CN"/>
        </w:rPr>
        <w:t>数据安全</w:t>
      </w:r>
      <w:r>
        <w:rPr>
          <w:rFonts w:hint="eastAsia" w:ascii="仿宋_GB2312" w:hAnsi="仿宋_GB2312" w:cs="仿宋_GB2312"/>
          <w:color w:val="auto"/>
          <w:shd w:val="clear" w:color="auto" w:fill="auto"/>
          <w:lang w:val="en-US" w:eastAsia="zh-CN"/>
        </w:rPr>
        <w:t>和数据</w:t>
      </w:r>
      <w:r>
        <w:rPr>
          <w:rFonts w:hint="eastAsia" w:ascii="仿宋_GB2312" w:hAnsi="仿宋_GB2312" w:eastAsia="仿宋_GB2312" w:cs="仿宋_GB2312"/>
          <w:color w:val="auto"/>
          <w:shd w:val="clear" w:color="auto" w:fill="auto"/>
          <w:lang w:val="en-US" w:eastAsia="zh-CN"/>
        </w:rPr>
        <w:t>合规等</w:t>
      </w:r>
      <w:r>
        <w:rPr>
          <w:rFonts w:hint="eastAsia" w:ascii="仿宋_GB2312" w:hAnsi="仿宋_GB2312" w:cs="仿宋_GB2312"/>
          <w:color w:val="auto"/>
          <w:shd w:val="clear" w:color="auto" w:fill="auto"/>
          <w:lang w:val="en-US" w:eastAsia="zh-CN"/>
        </w:rPr>
        <w:t>相关专业</w:t>
      </w:r>
      <w:r>
        <w:rPr>
          <w:rFonts w:hint="eastAsia" w:ascii="仿宋_GB2312" w:hAnsi="仿宋_GB2312" w:eastAsia="仿宋_GB2312" w:cs="仿宋_GB2312"/>
          <w:color w:val="auto"/>
          <w:shd w:val="clear" w:color="auto" w:fill="auto"/>
          <w:lang w:val="en-US" w:eastAsia="zh-CN"/>
        </w:rPr>
        <w:t>人员，确保全流程规范化运作。运营机构需提供过往数据</w:t>
      </w:r>
      <w:r>
        <w:rPr>
          <w:rFonts w:hint="eastAsia" w:ascii="仿宋_GB2312" w:hAnsi="仿宋_GB2312" w:cs="仿宋_GB2312"/>
          <w:color w:val="auto"/>
          <w:shd w:val="clear" w:color="auto" w:fill="auto"/>
          <w:lang w:val="en-US" w:eastAsia="zh-CN"/>
        </w:rPr>
        <w:t>开发或</w:t>
      </w:r>
      <w:r>
        <w:rPr>
          <w:rFonts w:hint="eastAsia" w:ascii="仿宋_GB2312" w:hAnsi="仿宋_GB2312" w:eastAsia="仿宋_GB2312" w:cs="仿宋_GB2312"/>
          <w:color w:val="auto"/>
          <w:shd w:val="clear" w:color="auto" w:fill="auto"/>
          <w:lang w:val="en-US" w:eastAsia="zh-CN"/>
        </w:rPr>
        <w:t>运营项目案例，证明其在需求分析、资源调度、风险控制等方面的成熟经验。</w:t>
      </w:r>
    </w:p>
    <w:p w14:paraId="0256057F">
      <w:pPr>
        <w:pStyle w:val="19"/>
        <w:keepNext w:val="0"/>
        <w:keepLines w:val="0"/>
        <w:pageBreakBefore w:val="0"/>
        <w:widowControl w:val="0"/>
        <w:numPr>
          <w:ilvl w:val="0"/>
          <w:numId w:val="6"/>
        </w:numPr>
        <w:kinsoku/>
        <w:wordWrap/>
        <w:overflowPunct/>
        <w:topLinePunct w:val="0"/>
        <w:autoSpaceDE/>
        <w:autoSpaceDN/>
        <w:bidi w:val="0"/>
        <w:adjustRightInd w:val="0"/>
        <w:snapToGrid w:val="0"/>
        <w:spacing w:beforeLines="0" w:afterLines="0" w:line="560" w:lineRule="exact"/>
        <w:jc w:val="both"/>
        <w:rPr>
          <w:rFonts w:hint="eastAsia"/>
          <w:color w:val="auto"/>
          <w:shd w:val="clear" w:color="auto" w:fill="auto"/>
          <w:lang w:val="en-US" w:eastAsia="zh-CN"/>
        </w:rPr>
      </w:pPr>
      <w:r>
        <w:rPr>
          <w:rFonts w:hint="eastAsia"/>
          <w:color w:val="auto"/>
          <w:shd w:val="clear" w:color="auto" w:fill="auto"/>
          <w:lang w:val="en-US" w:eastAsia="zh-CN"/>
        </w:rPr>
        <w:t>技术</w:t>
      </w:r>
    </w:p>
    <w:p w14:paraId="2D04D8BE">
      <w:pPr>
        <w:pStyle w:val="18"/>
        <w:keepNext w:val="0"/>
        <w:keepLines w:val="0"/>
        <w:pageBreakBefore w:val="0"/>
        <w:widowControl w:val="0"/>
        <w:kinsoku/>
        <w:wordWrap/>
        <w:overflowPunct/>
        <w:topLinePunct w:val="0"/>
        <w:autoSpaceDE/>
        <w:autoSpaceDN/>
        <w:bidi w:val="0"/>
        <w:adjustRightInd w:val="0"/>
        <w:snapToGrid w:val="0"/>
        <w:spacing w:line="560" w:lineRule="exact"/>
        <w:jc w:val="both"/>
        <w:rPr>
          <w:rFonts w:hint="eastAsia"/>
          <w:color w:val="auto"/>
          <w:shd w:val="clear" w:color="auto" w:fill="auto"/>
          <w:lang w:val="en-US" w:eastAsia="zh-CN"/>
        </w:rPr>
      </w:pPr>
      <w:r>
        <w:rPr>
          <w:rFonts w:hint="eastAsia"/>
          <w:color w:val="auto"/>
          <w:shd w:val="clear" w:color="auto" w:fill="auto"/>
          <w:lang w:val="en-US" w:eastAsia="zh-CN"/>
        </w:rPr>
        <w:t>运营机构需适应龙华区本地技术生态需求，确保公共数据在开发和利用过程中遵循合规要求，并在数据的计算、应用和销毁等环节实现全程可控。借助区块链、数据水印和数据血缘等技术，确保数据的开放性和可追溯性。运营机构应具备数据采集、清洗、存储和分析的技术能力，能够整合多维度数据，开发支持不同领域的产品和服务。</w:t>
      </w:r>
    </w:p>
    <w:p w14:paraId="4994AFA6">
      <w:pPr>
        <w:pStyle w:val="19"/>
        <w:keepNext w:val="0"/>
        <w:keepLines w:val="0"/>
        <w:pageBreakBefore w:val="0"/>
        <w:widowControl w:val="0"/>
        <w:numPr>
          <w:ilvl w:val="0"/>
          <w:numId w:val="6"/>
        </w:numPr>
        <w:kinsoku/>
        <w:wordWrap/>
        <w:overflowPunct/>
        <w:topLinePunct w:val="0"/>
        <w:autoSpaceDE/>
        <w:autoSpaceDN/>
        <w:bidi w:val="0"/>
        <w:adjustRightInd w:val="0"/>
        <w:snapToGrid w:val="0"/>
        <w:spacing w:beforeLines="0" w:afterLines="0" w:line="560" w:lineRule="exact"/>
        <w:jc w:val="both"/>
        <w:rPr>
          <w:rFonts w:hint="eastAsia"/>
          <w:color w:val="auto"/>
          <w:shd w:val="clear" w:color="auto" w:fill="auto"/>
          <w:lang w:val="en-US" w:eastAsia="zh-CN"/>
        </w:rPr>
      </w:pPr>
      <w:r>
        <w:rPr>
          <w:rFonts w:hint="eastAsia"/>
          <w:color w:val="auto"/>
          <w:shd w:val="clear" w:color="auto" w:fill="auto"/>
          <w:lang w:val="en-US" w:eastAsia="zh-CN"/>
        </w:rPr>
        <w:t>服务</w:t>
      </w:r>
    </w:p>
    <w:p w14:paraId="33F375D9">
      <w:pPr>
        <w:keepNext w:val="0"/>
        <w:keepLines w:val="0"/>
        <w:pageBreakBefore w:val="0"/>
        <w:widowControl w:val="0"/>
        <w:suppressLineNumbers w:val="0"/>
        <w:kinsoku/>
        <w:wordWrap/>
        <w:overflowPunct/>
        <w:topLinePunct w:val="0"/>
        <w:autoSpaceDE/>
        <w:autoSpaceDN/>
        <w:bidi w:val="0"/>
        <w:adjustRightInd w:val="0"/>
        <w:snapToGrid w:val="0"/>
        <w:spacing w:line="560" w:lineRule="exact"/>
        <w:jc w:val="both"/>
        <w:rPr>
          <w:rFonts w:hint="eastAsia" w:ascii="仿宋_GB2312" w:hAnsi="仿宋_GB2312" w:eastAsia="仿宋_GB2312" w:cs="仿宋_GB2312"/>
          <w:color w:val="auto"/>
          <w:kern w:val="2"/>
          <w:sz w:val="32"/>
          <w:szCs w:val="24"/>
          <w:shd w:val="clear" w:color="auto" w:fill="auto"/>
          <w:lang w:val="en-US" w:eastAsia="zh-CN" w:bidi="ar-SA"/>
        </w:rPr>
      </w:pPr>
      <w:r>
        <w:rPr>
          <w:rFonts w:hint="eastAsia" w:ascii="仿宋_GB2312" w:hAnsi="仿宋_GB2312" w:eastAsia="仿宋_GB2312" w:cs="仿宋_GB2312"/>
          <w:color w:val="auto"/>
          <w:kern w:val="2"/>
          <w:sz w:val="32"/>
          <w:szCs w:val="24"/>
          <w:shd w:val="clear" w:color="auto" w:fill="auto"/>
          <w:lang w:val="en-US" w:eastAsia="zh-CN" w:bidi="ar-SA"/>
        </w:rPr>
        <w:t>运营机构需配备专职技术及产品团队，制定数据产品服务清单，明确服务内容、响应时效及收费标准，优先支持公益性数据服务。同时，运营机构应具备整合数据供应方、需求方及第三方数据服务商的能力，以构建高效的数据服务生态。</w:t>
      </w:r>
    </w:p>
    <w:p w14:paraId="58DB01EB">
      <w:pPr>
        <w:pStyle w:val="19"/>
        <w:keepNext w:val="0"/>
        <w:keepLines w:val="0"/>
        <w:pageBreakBefore w:val="0"/>
        <w:widowControl w:val="0"/>
        <w:numPr>
          <w:ilvl w:val="0"/>
          <w:numId w:val="6"/>
        </w:numPr>
        <w:kinsoku/>
        <w:wordWrap/>
        <w:overflowPunct/>
        <w:topLinePunct w:val="0"/>
        <w:autoSpaceDE/>
        <w:autoSpaceDN/>
        <w:bidi w:val="0"/>
        <w:adjustRightInd w:val="0"/>
        <w:snapToGrid w:val="0"/>
        <w:spacing w:beforeLines="0" w:afterLines="0" w:line="560" w:lineRule="exact"/>
        <w:jc w:val="both"/>
        <w:rPr>
          <w:rFonts w:hint="eastAsia"/>
          <w:color w:val="auto"/>
          <w:shd w:val="clear" w:color="auto" w:fill="auto"/>
          <w:lang w:val="en-US" w:eastAsia="zh-CN"/>
        </w:rPr>
      </w:pPr>
      <w:r>
        <w:rPr>
          <w:rFonts w:hint="eastAsia"/>
          <w:color w:val="auto"/>
          <w:shd w:val="clear" w:color="auto" w:fill="auto"/>
          <w:lang w:val="en-US" w:eastAsia="zh-CN"/>
        </w:rPr>
        <w:t>安全能力</w:t>
      </w:r>
    </w:p>
    <w:p w14:paraId="402C088C">
      <w:pPr>
        <w:keepNext w:val="0"/>
        <w:keepLines w:val="0"/>
        <w:pageBreakBefore w:val="0"/>
        <w:widowControl w:val="0"/>
        <w:suppressLineNumbers w:val="0"/>
        <w:kinsoku/>
        <w:wordWrap/>
        <w:overflowPunct/>
        <w:topLinePunct w:val="0"/>
        <w:autoSpaceDE/>
        <w:autoSpaceDN/>
        <w:bidi w:val="0"/>
        <w:adjustRightInd w:val="0"/>
        <w:snapToGrid w:val="0"/>
        <w:spacing w:line="560" w:lineRule="exact"/>
        <w:jc w:val="both"/>
        <w:rPr>
          <w:rFonts w:hint="eastAsia" w:ascii="仿宋_GB2312" w:hAnsi="仿宋_GB2312" w:eastAsia="仿宋_GB2312" w:cs="仿宋_GB2312"/>
          <w:color w:val="auto"/>
          <w:highlight w:val="none"/>
          <w:shd w:val="clear" w:color="auto" w:fill="auto"/>
          <w:lang w:val="en-US" w:eastAsia="zh-CN"/>
        </w:rPr>
      </w:pPr>
      <w:r>
        <w:rPr>
          <w:rFonts w:hint="eastAsia" w:ascii="仿宋_GB2312" w:hAnsi="仿宋_GB2312" w:eastAsia="仿宋_GB2312" w:cs="仿宋_GB2312"/>
          <w:color w:val="auto"/>
          <w:kern w:val="2"/>
          <w:sz w:val="32"/>
          <w:szCs w:val="24"/>
          <w:shd w:val="clear" w:color="auto" w:fill="auto"/>
          <w:lang w:val="en-US" w:eastAsia="zh-CN" w:bidi="ar-SA"/>
        </w:rPr>
        <w:t>运营机构需建立符合《深圳经济特区数据条例》的安全管理体系，明确数据分类分级标准；依据《GB/T 42574-2023 信息安全技术 个人信息处理中告知和同意的实施指南》《GB/T 42460-2023 信息安全技术 个人信息去标识化效果评估指南》《GB/T 45574-2025 数据安全技术 敏感个人信息处理安全要求》等要求处理个人信息；设立数据安全管理部门及负责人，定期开展风险评估与应急演练；采用国产化可控技术，实现数据采集、存储、加工、销毁的全流程加密与审计；通过ISO 27001等信息安全认证，确保敏感数据零泄露；近3年内未发生网络安全、数据安全事件。</w:t>
      </w:r>
    </w:p>
    <w:p w14:paraId="542F4620">
      <w:pPr>
        <w:pStyle w:val="17"/>
        <w:keepNext w:val="0"/>
        <w:keepLines w:val="0"/>
        <w:pageBreakBefore w:val="0"/>
        <w:widowControl w:val="0"/>
        <w:kinsoku/>
        <w:wordWrap/>
        <w:overflowPunct/>
        <w:topLinePunct w:val="0"/>
        <w:autoSpaceDE/>
        <w:autoSpaceDN/>
        <w:bidi w:val="0"/>
        <w:adjustRightInd w:val="0"/>
        <w:snapToGrid w:val="0"/>
        <w:spacing w:beforeLines="0" w:afterLines="0" w:line="560" w:lineRule="exact"/>
        <w:jc w:val="both"/>
        <w:rPr>
          <w:rFonts w:hint="eastAsia"/>
          <w:color w:val="auto"/>
          <w:lang w:val="en-US" w:eastAsia="zh-CN"/>
        </w:rPr>
      </w:pPr>
      <w:r>
        <w:rPr>
          <w:rFonts w:hint="eastAsia"/>
          <w:color w:val="auto"/>
          <w:lang w:val="en-US" w:eastAsia="zh-CN"/>
        </w:rPr>
        <w:t>授权运营的模式</w:t>
      </w:r>
    </w:p>
    <w:p w14:paraId="0AA41BDF">
      <w:pPr>
        <w:pStyle w:val="19"/>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60" w:lineRule="exact"/>
        <w:ind w:left="640" w:leftChars="200" w:firstLine="0" w:firstLineChars="0"/>
        <w:jc w:val="both"/>
        <w:rPr>
          <w:rFonts w:hint="eastAsia" w:ascii="Times New Roman" w:hAnsi="Times New Roman"/>
          <w:color w:val="auto"/>
          <w:shd w:val="clear" w:color="auto" w:fill="auto"/>
          <w:lang w:val="en-US" w:eastAsia="zh-CN"/>
        </w:rPr>
      </w:pPr>
      <w:r>
        <w:rPr>
          <w:rFonts w:hint="eastAsia" w:ascii="Times New Roman" w:hAnsi="Times New Roman"/>
          <w:color w:val="auto"/>
          <w:shd w:val="clear" w:color="auto" w:fill="auto"/>
          <w:lang w:val="en-US" w:eastAsia="zh-CN"/>
        </w:rPr>
        <w:t>（一）数据授权运营模式</w:t>
      </w:r>
    </w:p>
    <w:p w14:paraId="22C1E190">
      <w:pPr>
        <w:keepNext w:val="0"/>
        <w:keepLines w:val="0"/>
        <w:pageBreakBefore w:val="0"/>
        <w:widowControl w:val="0"/>
        <w:suppressLineNumbers w:val="0"/>
        <w:kinsoku/>
        <w:wordWrap/>
        <w:overflowPunct/>
        <w:topLinePunct w:val="0"/>
        <w:autoSpaceDE/>
        <w:autoSpaceDN/>
        <w:bidi w:val="0"/>
        <w:adjustRightInd w:val="0"/>
        <w:snapToGrid w:val="0"/>
        <w:spacing w:line="560" w:lineRule="exact"/>
        <w:jc w:val="both"/>
        <w:rPr>
          <w:rFonts w:hint="eastAsia" w:ascii="Times New Roman" w:hAnsi="Times New Roman" w:eastAsia="仿宋_GB2312" w:cs="仿宋_GB2312"/>
          <w:strike/>
          <w:dstrike w:val="0"/>
          <w:color w:val="auto"/>
          <w:kern w:val="2"/>
          <w:sz w:val="32"/>
          <w:szCs w:val="24"/>
          <w:lang w:val="en-US" w:eastAsia="zh-CN" w:bidi="ar-SA"/>
        </w:rPr>
      </w:pPr>
      <w:r>
        <w:rPr>
          <w:rFonts w:hint="eastAsia" w:ascii="Times New Roman" w:hAnsi="Times New Roman" w:eastAsia="仿宋_GB2312" w:cs="仿宋_GB2312"/>
          <w:color w:val="auto"/>
          <w:shd w:val="clear" w:color="auto" w:fill="auto"/>
          <w:lang w:val="en-US" w:eastAsia="zh-CN"/>
        </w:rPr>
        <w:t>本区公共数据的授权运营采用整体授权模式，由区实施机构统一向运营机构进行授权。</w:t>
      </w:r>
      <w:r>
        <w:rPr>
          <w:rFonts w:hint="eastAsia" w:ascii="Times New Roman" w:hAnsi="Times New Roman" w:eastAsia="仿宋_GB2312" w:cs="仿宋_GB2312"/>
          <w:color w:val="auto"/>
          <w:highlight w:val="none"/>
          <w:shd w:val="clear" w:color="auto" w:fill="auto"/>
          <w:lang w:val="en-US" w:eastAsia="zh-CN"/>
        </w:rPr>
        <w:t>运营机构在签署公共数据授权运营协议后依法依规在授权范围内开展运营</w:t>
      </w:r>
      <w:r>
        <w:rPr>
          <w:rFonts w:hint="eastAsia" w:eastAsia="仿宋_GB2312" w:cs="仿宋_GB2312"/>
          <w:color w:val="auto"/>
          <w:highlight w:val="none"/>
          <w:shd w:val="clear" w:color="auto" w:fill="auto"/>
          <w:lang w:val="en-US" w:eastAsia="zh-CN"/>
        </w:rPr>
        <w:t>业务</w:t>
      </w:r>
      <w:r>
        <w:rPr>
          <w:rFonts w:hint="eastAsia" w:ascii="Times New Roman" w:hAnsi="Times New Roman" w:eastAsia="仿宋_GB2312" w:cs="仿宋_GB2312"/>
          <w:color w:val="auto"/>
          <w:highlight w:val="none"/>
          <w:shd w:val="clear" w:color="auto" w:fill="auto"/>
          <w:lang w:val="en-US" w:eastAsia="zh-CN"/>
        </w:rPr>
        <w:t>。</w:t>
      </w:r>
    </w:p>
    <w:p w14:paraId="18CF778A">
      <w:pPr>
        <w:pStyle w:val="19"/>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60" w:lineRule="exact"/>
        <w:ind w:left="640" w:leftChars="200" w:firstLine="0" w:firstLineChars="0"/>
        <w:jc w:val="both"/>
        <w:rPr>
          <w:rFonts w:hint="eastAsia" w:ascii="Times New Roman" w:hAnsi="Times New Roman"/>
          <w:color w:val="auto"/>
          <w:shd w:val="clear" w:color="auto" w:fill="auto"/>
          <w:lang w:val="en-US" w:eastAsia="zh-CN"/>
        </w:rPr>
      </w:pPr>
      <w:r>
        <w:rPr>
          <w:rFonts w:hint="eastAsia" w:ascii="Times New Roman" w:hAnsi="Times New Roman"/>
          <w:color w:val="auto"/>
          <w:shd w:val="clear" w:color="auto" w:fill="auto"/>
          <w:lang w:val="en-US" w:eastAsia="zh-CN"/>
        </w:rPr>
        <w:t>（二）主体资格遴选</w:t>
      </w:r>
    </w:p>
    <w:p w14:paraId="4A093BB3">
      <w:pPr>
        <w:keepNext w:val="0"/>
        <w:keepLines w:val="0"/>
        <w:pageBreakBefore w:val="0"/>
        <w:widowControl w:val="0"/>
        <w:kinsoku/>
        <w:wordWrap/>
        <w:overflowPunct/>
        <w:topLinePunct w:val="0"/>
        <w:autoSpaceDE/>
        <w:autoSpaceDN/>
        <w:bidi w:val="0"/>
        <w:adjustRightInd w:val="0"/>
        <w:snapToGrid w:val="0"/>
        <w:spacing w:line="560" w:lineRule="exact"/>
        <w:jc w:val="both"/>
        <w:rPr>
          <w:rFonts w:hint="eastAsia" w:eastAsia="仿宋_GB2312" w:cs="仿宋_GB2312"/>
          <w:color w:val="auto"/>
          <w:lang w:val="en-US" w:eastAsia="zh-CN"/>
        </w:rPr>
      </w:pPr>
      <w:r>
        <w:rPr>
          <w:rFonts w:hint="eastAsia" w:eastAsia="仿宋_GB2312" w:cs="仿宋_GB2312"/>
          <w:color w:val="auto"/>
          <w:lang w:val="en-US" w:eastAsia="zh-CN"/>
        </w:rPr>
        <w:t>实施机构通过公开招标、邀请招标、谈判等公平竞争方式，遴选具备数据治理能力、行业经验及合规资质的</w:t>
      </w:r>
      <w:r>
        <w:rPr>
          <w:rFonts w:hint="eastAsia" w:ascii="Times New Roman" w:hAnsi="Times New Roman" w:eastAsia="仿宋_GB2312" w:cs="仿宋_GB2312"/>
          <w:i w:val="0"/>
          <w:caps w:val="0"/>
          <w:color w:val="auto"/>
          <w:spacing w:val="0"/>
          <w:kern w:val="2"/>
          <w:sz w:val="32"/>
          <w:szCs w:val="24"/>
          <w:shd w:val="clear"/>
          <w:lang w:val="en-US" w:eastAsia="zh-CN" w:bidi="ar-SA"/>
        </w:rPr>
        <w:t>法人或其他组织</w:t>
      </w:r>
      <w:r>
        <w:rPr>
          <w:rFonts w:hint="eastAsia" w:eastAsia="仿宋_GB2312" w:cs="仿宋_GB2312"/>
          <w:color w:val="auto"/>
          <w:lang w:val="en-US" w:eastAsia="zh-CN"/>
        </w:rPr>
        <w:t>作为运营机构。</w:t>
      </w:r>
    </w:p>
    <w:p w14:paraId="3F38B144">
      <w:pPr>
        <w:pStyle w:val="19"/>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60" w:lineRule="exact"/>
        <w:ind w:left="640" w:leftChars="200" w:firstLine="0" w:firstLineChars="0"/>
        <w:jc w:val="both"/>
        <w:rPr>
          <w:rFonts w:hint="eastAsia" w:ascii="Times New Roman" w:hAnsi="Times New Roman"/>
          <w:color w:val="auto"/>
          <w:shd w:val="clear" w:color="auto" w:fill="auto"/>
          <w:lang w:val="en-US" w:eastAsia="zh-CN"/>
        </w:rPr>
      </w:pPr>
      <w:r>
        <w:rPr>
          <w:rFonts w:hint="eastAsia" w:ascii="Times New Roman" w:hAnsi="Times New Roman"/>
          <w:color w:val="auto"/>
          <w:shd w:val="clear" w:color="auto" w:fill="auto"/>
          <w:lang w:val="en-US" w:eastAsia="zh-CN"/>
        </w:rPr>
        <w:t>（三）数据分级</w:t>
      </w:r>
      <w:r>
        <w:rPr>
          <w:rFonts w:hint="eastAsia"/>
          <w:color w:val="auto"/>
          <w:shd w:val="clear" w:color="auto" w:fill="auto"/>
          <w:lang w:val="en-US" w:eastAsia="zh-CN"/>
        </w:rPr>
        <w:t>开发</w:t>
      </w:r>
    </w:p>
    <w:p w14:paraId="387C5162">
      <w:pPr>
        <w:pStyle w:val="18"/>
        <w:keepNext w:val="0"/>
        <w:keepLines w:val="0"/>
        <w:pageBreakBefore w:val="0"/>
        <w:widowControl w:val="0"/>
        <w:kinsoku/>
        <w:wordWrap/>
        <w:overflowPunct/>
        <w:topLinePunct w:val="0"/>
        <w:autoSpaceDE/>
        <w:autoSpaceDN/>
        <w:bidi w:val="0"/>
        <w:adjustRightInd w:val="0"/>
        <w:snapToGrid w:val="0"/>
        <w:spacing w:line="560" w:lineRule="exact"/>
        <w:jc w:val="both"/>
        <w:rPr>
          <w:rFonts w:hint="eastAsia"/>
          <w:strike/>
          <w:dstrike w:val="0"/>
          <w:color w:val="auto"/>
          <w:highlight w:val="none"/>
          <w:lang w:val="en-US" w:eastAsia="zh-CN"/>
        </w:rPr>
      </w:pPr>
      <w:r>
        <w:rPr>
          <w:rFonts w:hint="eastAsia"/>
          <w:color w:val="auto"/>
          <w:highlight w:val="none"/>
          <w:lang w:val="en-US" w:eastAsia="zh-CN"/>
        </w:rPr>
        <w:t>为了推动公共数据的共享及应用，建立公共数据的分类分级标准。开放数据依据《中华人民共和国数据安全法》《中华人民共和国个人信息保护法》及国家、省、市相关数据开放政策的要求，全面推进数据分类分级管理和有序开放。对于低敏感级别数据，由运营机构进行标准化处理和开发，以提升数据的可用性和共享效益；对于涉及个人信息或敏感信息的数据，将依托隐私计算、可信执行环境等技术，开展数据融合、联合建模及结果验证，</w:t>
      </w:r>
      <w:r>
        <w:rPr>
          <w:rFonts w:hint="eastAsia" w:ascii="仿宋_GB2312" w:hAnsi="仿宋_GB2312" w:eastAsia="仿宋_GB2312" w:cs="仿宋_GB2312"/>
          <w:color w:val="auto"/>
          <w:sz w:val="32"/>
          <w:szCs w:val="32"/>
          <w:highlight w:val="none"/>
        </w:rPr>
        <w:t>在</w:t>
      </w:r>
      <w:r>
        <w:rPr>
          <w:rFonts w:hint="eastAsia" w:ascii="仿宋_GB2312" w:hAnsi="仿宋_GB2312" w:cs="仿宋_GB2312"/>
          <w:color w:val="auto"/>
          <w:sz w:val="32"/>
          <w:szCs w:val="32"/>
          <w:highlight w:val="none"/>
          <w:lang w:eastAsia="zh-CN"/>
        </w:rPr>
        <w:t>确保</w:t>
      </w:r>
      <w:r>
        <w:rPr>
          <w:rFonts w:hint="eastAsia" w:ascii="仿宋_GB2312" w:hAnsi="仿宋_GB2312" w:eastAsia="仿宋_GB2312" w:cs="仿宋_GB2312"/>
          <w:color w:val="auto"/>
          <w:sz w:val="32"/>
          <w:szCs w:val="32"/>
          <w:highlight w:val="none"/>
        </w:rPr>
        <w:t>数据安全前提下，</w:t>
      </w:r>
      <w:r>
        <w:rPr>
          <w:rFonts w:hint="eastAsia"/>
          <w:color w:val="auto"/>
          <w:highlight w:val="none"/>
          <w:lang w:val="en-US" w:eastAsia="zh-CN"/>
        </w:rPr>
        <w:t>遵循“原始数据不出域、数据可用不可见”的原则进行开发利用。</w:t>
      </w:r>
    </w:p>
    <w:p w14:paraId="4871AF73">
      <w:pPr>
        <w:pStyle w:val="19"/>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60" w:lineRule="exact"/>
        <w:ind w:left="640" w:leftChars="200" w:firstLine="0" w:firstLineChars="0"/>
        <w:jc w:val="both"/>
        <w:rPr>
          <w:rFonts w:hint="eastAsia" w:ascii="Times New Roman" w:hAnsi="Times New Roman" w:eastAsia="楷体_GB2312" w:cs="楷体_GB2312"/>
          <w:color w:val="auto"/>
          <w:shd w:val="clear" w:color="auto" w:fill="auto"/>
          <w:lang w:val="en-US" w:eastAsia="zh-CN"/>
        </w:rPr>
      </w:pPr>
      <w:r>
        <w:rPr>
          <w:rFonts w:hint="eastAsia" w:ascii="Times New Roman" w:hAnsi="Times New Roman" w:eastAsia="楷体_GB2312" w:cs="楷体_GB2312"/>
          <w:color w:val="auto"/>
          <w:shd w:val="clear" w:color="auto" w:fill="auto"/>
          <w:lang w:val="en-US" w:eastAsia="zh-CN"/>
        </w:rPr>
        <w:t>（四）运营主体与监管协同</w:t>
      </w:r>
    </w:p>
    <w:p w14:paraId="08796679">
      <w:pPr>
        <w:keepNext w:val="0"/>
        <w:keepLines w:val="0"/>
        <w:pageBreakBefore w:val="0"/>
        <w:widowControl w:val="0"/>
        <w:suppressLineNumbers w:val="0"/>
        <w:kinsoku/>
        <w:wordWrap/>
        <w:overflowPunct/>
        <w:topLinePunct w:val="0"/>
        <w:autoSpaceDE/>
        <w:autoSpaceDN/>
        <w:bidi w:val="0"/>
        <w:adjustRightInd w:val="0"/>
        <w:snapToGrid w:val="0"/>
        <w:spacing w:line="560" w:lineRule="exact"/>
        <w:jc w:val="both"/>
        <w:rPr>
          <w:rFonts w:hint="eastAsia"/>
          <w:color w:val="auto"/>
          <w:highlight w:val="none"/>
          <w:lang w:val="en-US" w:eastAsia="zh-CN"/>
        </w:rPr>
      </w:pPr>
      <w:r>
        <w:rPr>
          <w:rFonts w:hint="eastAsia" w:ascii="仿宋_GB2312" w:hAnsi="仿宋_GB2312" w:eastAsia="仿宋_GB2312" w:cs="仿宋_GB2312"/>
          <w:color w:val="auto"/>
          <w:highlight w:val="none"/>
          <w:lang w:val="en-US" w:eastAsia="zh-CN"/>
        </w:rPr>
        <w:t>为推动数据要素市场的发展，建立“政府主导+企业运营”的双轮驱动机制，明确运营机构、监管部门及行业主管部门的职责分工。运营机构应当负责制定授权规则和安全标准，优化业务流程、创新技术，提升服务效率并加强财务管理，依法接受监督。区网信、公安、保密等部门在职责范围内负责公共数据授权运营的安全监管工作，区发改、工信、科创、市场监管等部门应依法监督管理职责范围内的数据产品和服务流通交易等活动。运营合作方应始终坚持最小授权原则，合规使用数据，发现问题时应及时整改，若存在严重违规行为，将终止合作。社会公众有权依法监督数据运营活动，主管部门应及时受理举报并依法进行处理。</w:t>
      </w:r>
    </w:p>
    <w:p w14:paraId="0D4B236A">
      <w:pPr>
        <w:pStyle w:val="17"/>
        <w:keepNext w:val="0"/>
        <w:keepLines w:val="0"/>
        <w:pageBreakBefore w:val="0"/>
        <w:widowControl w:val="0"/>
        <w:kinsoku/>
        <w:wordWrap/>
        <w:overflowPunct/>
        <w:topLinePunct w:val="0"/>
        <w:autoSpaceDE/>
        <w:autoSpaceDN/>
        <w:bidi w:val="0"/>
        <w:adjustRightInd w:val="0"/>
        <w:snapToGrid w:val="0"/>
        <w:spacing w:beforeLines="0" w:afterLines="0" w:line="560" w:lineRule="exact"/>
        <w:jc w:val="both"/>
        <w:rPr>
          <w:rFonts w:hint="eastAsia"/>
          <w:color w:val="auto"/>
          <w:highlight w:val="none"/>
          <w:lang w:val="en-US" w:eastAsia="zh-CN"/>
        </w:rPr>
      </w:pPr>
      <w:r>
        <w:rPr>
          <w:rFonts w:hint="eastAsia"/>
          <w:color w:val="auto"/>
          <w:highlight w:val="none"/>
          <w:lang w:val="en-US" w:eastAsia="zh-CN"/>
        </w:rPr>
        <w:t>授权数据资源要求</w:t>
      </w:r>
    </w:p>
    <w:p w14:paraId="7DE76254">
      <w:pPr>
        <w:pStyle w:val="19"/>
        <w:keepNext w:val="0"/>
        <w:keepLines w:val="0"/>
        <w:pageBreakBefore w:val="0"/>
        <w:widowControl w:val="0"/>
        <w:numPr>
          <w:ilvl w:val="0"/>
          <w:numId w:val="7"/>
        </w:numPr>
        <w:kinsoku/>
        <w:wordWrap/>
        <w:overflowPunct/>
        <w:topLinePunct w:val="0"/>
        <w:autoSpaceDE/>
        <w:autoSpaceDN/>
        <w:bidi w:val="0"/>
        <w:adjustRightInd w:val="0"/>
        <w:snapToGrid w:val="0"/>
        <w:spacing w:beforeLines="0" w:afterLines="0" w:line="560" w:lineRule="exact"/>
        <w:jc w:val="both"/>
        <w:rPr>
          <w:rFonts w:hint="eastAsia"/>
          <w:color w:val="auto"/>
          <w:lang w:val="en-US" w:eastAsia="zh-CN"/>
        </w:rPr>
      </w:pPr>
      <w:r>
        <w:rPr>
          <w:rFonts w:hint="eastAsia"/>
          <w:color w:val="auto"/>
          <w:lang w:val="en-US" w:eastAsia="zh-CN"/>
        </w:rPr>
        <w:t>数据授权运营目录</w:t>
      </w:r>
    </w:p>
    <w:p w14:paraId="672D153B">
      <w:pPr>
        <w:keepNext w:val="0"/>
        <w:keepLines w:val="0"/>
        <w:pageBreakBefore w:val="0"/>
        <w:widowControl w:val="0"/>
        <w:kinsoku/>
        <w:wordWrap/>
        <w:overflowPunct/>
        <w:topLinePunct w:val="0"/>
        <w:autoSpaceDE/>
        <w:autoSpaceDN/>
        <w:bidi w:val="0"/>
        <w:adjustRightInd w:val="0"/>
        <w:snapToGrid w:val="0"/>
        <w:spacing w:line="560" w:lineRule="exact"/>
        <w:ind w:firstLine="640"/>
        <w:jc w:val="both"/>
        <w:textAlignment w:val="baseline"/>
        <w:rPr>
          <w:rFonts w:hint="eastAsia"/>
          <w:color w:val="auto"/>
          <w:lang w:val="en-US" w:eastAsia="zh-CN"/>
        </w:rPr>
      </w:pPr>
      <w:r>
        <w:rPr>
          <w:rFonts w:hint="eastAsia" w:ascii="仿宋_GB2312" w:hAnsi="仿宋_GB2312" w:eastAsia="仿宋_GB2312" w:cs="仿宋_GB2312"/>
          <w:color w:val="auto"/>
          <w:sz w:val="32"/>
          <w:szCs w:val="32"/>
          <w:highlight w:val="none"/>
          <w:lang w:val="en-US" w:eastAsia="zh-CN"/>
        </w:rPr>
        <w:t>龙华区公共数据资源授权运营开展分批次授权。实施机构梳理可授权运营的数据资源目录，经数源单位审核后，</w:t>
      </w:r>
      <w:r>
        <w:rPr>
          <w:rFonts w:hint="eastAsia" w:ascii="仿宋_GB2312" w:hAnsi="Calibri" w:eastAsia="仿宋_GB2312"/>
          <w:color w:val="auto"/>
          <w:sz w:val="32"/>
          <w:szCs w:val="32"/>
          <w:lang w:eastAsia="zh-CN"/>
        </w:rPr>
        <w:t>在</w:t>
      </w:r>
      <w:r>
        <w:rPr>
          <w:rFonts w:hint="eastAsia" w:ascii="仿宋_GB2312" w:hAnsi="Calibri" w:eastAsia="仿宋_GB2312"/>
          <w:color w:val="auto"/>
          <w:sz w:val="32"/>
          <w:szCs w:val="32"/>
        </w:rPr>
        <w:t>公共数据授权运营</w:t>
      </w:r>
      <w:r>
        <w:rPr>
          <w:rFonts w:hint="eastAsia" w:ascii="仿宋_GB2312" w:hAnsi="Calibri" w:eastAsia="仿宋_GB2312"/>
          <w:color w:val="auto"/>
          <w:sz w:val="32"/>
          <w:szCs w:val="32"/>
          <w:lang w:eastAsia="zh-CN"/>
        </w:rPr>
        <w:t>资源</w:t>
      </w:r>
      <w:r>
        <w:rPr>
          <w:rFonts w:hint="eastAsia" w:ascii="仿宋_GB2312" w:hAnsi="Calibri" w:eastAsia="仿宋_GB2312"/>
          <w:color w:val="auto"/>
          <w:sz w:val="32"/>
          <w:szCs w:val="32"/>
        </w:rPr>
        <w:t>目录中予以列示</w:t>
      </w:r>
      <w:r>
        <w:rPr>
          <w:rFonts w:hint="eastAsia" w:ascii="仿宋_GB2312" w:hAnsi="仿宋_GB2312" w:eastAsia="仿宋_GB2312" w:cs="仿宋_GB2312"/>
          <w:color w:val="auto"/>
          <w:sz w:val="32"/>
          <w:szCs w:val="32"/>
          <w:highlight w:val="none"/>
          <w:lang w:val="en-US" w:eastAsia="zh-CN"/>
        </w:rPr>
        <w:t>。实施机构动态更新数据资源目录并完善开放需求反馈机制，优先支持与民生紧密相关、行业增值潜力显著、产业战略意义重大的行业领域。根据调研情况，初期重点在市场需求强烈、数据基础较好的金融服务、外贸流通、卫生健康、城市治理四个领域开展公共数据授权运营。第一批拟授权运营的公共数据资源目录详见下表：</w:t>
      </w:r>
    </w:p>
    <w:tbl>
      <w:tblPr>
        <w:tblStyle w:val="11"/>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9"/>
        <w:gridCol w:w="3375"/>
        <w:gridCol w:w="1965"/>
        <w:gridCol w:w="1275"/>
        <w:gridCol w:w="1196"/>
      </w:tblGrid>
      <w:tr w14:paraId="2BDEDC13">
        <w:trPr>
          <w:trHeight w:val="23" w:hRule="atLeast"/>
        </w:trPr>
        <w:tc>
          <w:tcPr>
            <w:tcW w:w="689" w:type="pct"/>
            <w:noWrap/>
            <w:vAlign w:val="center"/>
          </w:tcPr>
          <w:p w14:paraId="23B53B30">
            <w:pPr>
              <w:pStyle w:val="23"/>
              <w:widowControl w:val="0"/>
              <w:adjustRightInd w:val="0"/>
              <w:snapToGrid w:val="0"/>
              <w:spacing w:beforeLines="0" w:afterLines="0" w:line="360" w:lineRule="exact"/>
              <w:ind w:left="0" w:leftChars="0" w:firstLineChars="0"/>
              <w:jc w:val="center"/>
              <w:rPr>
                <w:rFonts w:hint="eastAsia" w:ascii="黑体" w:hAnsi="黑体" w:eastAsia="黑体" w:cs="黑体"/>
                <w:color w:val="auto"/>
              </w:rPr>
            </w:pPr>
            <w:r>
              <w:rPr>
                <w:rFonts w:hint="eastAsia" w:ascii="黑体" w:hAnsi="黑体" w:eastAsia="黑体" w:cs="黑体"/>
                <w:color w:val="auto"/>
                <w:lang w:val="en-US" w:eastAsia="zh-CN"/>
              </w:rPr>
              <w:t>领域</w:t>
            </w:r>
          </w:p>
        </w:tc>
        <w:tc>
          <w:tcPr>
            <w:tcW w:w="1862" w:type="pct"/>
            <w:noWrap/>
            <w:vAlign w:val="center"/>
          </w:tcPr>
          <w:p w14:paraId="09142885">
            <w:pPr>
              <w:pStyle w:val="23"/>
              <w:widowControl w:val="0"/>
              <w:adjustRightInd w:val="0"/>
              <w:snapToGrid w:val="0"/>
              <w:spacing w:beforeLines="0" w:afterLines="0" w:line="360" w:lineRule="exact"/>
              <w:ind w:left="0" w:leftChars="0" w:firstLineChars="0"/>
              <w:jc w:val="center"/>
              <w:rPr>
                <w:rFonts w:hint="eastAsia" w:ascii="黑体" w:hAnsi="黑体" w:eastAsia="黑体" w:cs="黑体"/>
                <w:color w:val="auto"/>
                <w:lang w:val="en-US"/>
              </w:rPr>
            </w:pPr>
            <w:r>
              <w:rPr>
                <w:rFonts w:hint="eastAsia" w:ascii="黑体" w:hAnsi="黑体" w:eastAsia="黑体" w:cs="黑体"/>
                <w:color w:val="auto"/>
                <w:lang w:val="en-US" w:eastAsia="zh-CN"/>
              </w:rPr>
              <w:t>数源单位</w:t>
            </w:r>
          </w:p>
        </w:tc>
        <w:tc>
          <w:tcPr>
            <w:tcW w:w="1084" w:type="pct"/>
            <w:noWrap/>
            <w:vAlign w:val="center"/>
          </w:tcPr>
          <w:p w14:paraId="700834CD">
            <w:pPr>
              <w:pStyle w:val="23"/>
              <w:widowControl w:val="0"/>
              <w:adjustRightInd w:val="0"/>
              <w:snapToGrid w:val="0"/>
              <w:spacing w:beforeLines="0" w:afterLines="0" w:line="360" w:lineRule="exact"/>
              <w:jc w:val="center"/>
              <w:rPr>
                <w:rFonts w:hint="eastAsia" w:ascii="黑体" w:hAnsi="黑体" w:eastAsia="黑体" w:cs="黑体"/>
                <w:color w:val="auto"/>
              </w:rPr>
            </w:pPr>
            <w:r>
              <w:rPr>
                <w:rFonts w:hint="eastAsia" w:ascii="黑体" w:hAnsi="黑体" w:eastAsia="黑体" w:cs="黑体"/>
                <w:color w:val="auto"/>
                <w:lang w:val="en-US" w:eastAsia="zh-CN"/>
              </w:rPr>
              <w:t>数据资源字段</w:t>
            </w:r>
          </w:p>
        </w:tc>
        <w:tc>
          <w:tcPr>
            <w:tcW w:w="703" w:type="pct"/>
            <w:noWrap/>
            <w:vAlign w:val="center"/>
          </w:tcPr>
          <w:p w14:paraId="651BD086">
            <w:pPr>
              <w:pStyle w:val="23"/>
              <w:widowControl w:val="0"/>
              <w:adjustRightInd w:val="0"/>
              <w:snapToGrid w:val="0"/>
              <w:spacing w:beforeLines="0" w:afterLines="0" w:line="360" w:lineRule="exact"/>
              <w:ind w:left="0" w:leftChars="0" w:firstLineChars="0"/>
              <w:jc w:val="center"/>
              <w:rPr>
                <w:rFonts w:hint="eastAsia" w:ascii="黑体" w:hAnsi="黑体" w:eastAsia="黑体" w:cs="黑体"/>
                <w:color w:val="auto"/>
              </w:rPr>
            </w:pPr>
            <w:r>
              <w:rPr>
                <w:rFonts w:hint="eastAsia" w:ascii="黑体" w:hAnsi="黑体" w:eastAsia="黑体" w:cs="黑体"/>
                <w:color w:val="auto"/>
                <w:lang w:val="en-US" w:eastAsia="zh-CN"/>
              </w:rPr>
              <w:t>数据范围</w:t>
            </w:r>
          </w:p>
        </w:tc>
        <w:tc>
          <w:tcPr>
            <w:tcW w:w="660" w:type="pct"/>
            <w:noWrap/>
            <w:vAlign w:val="center"/>
          </w:tcPr>
          <w:p w14:paraId="412587C3">
            <w:pPr>
              <w:pStyle w:val="23"/>
              <w:widowControl w:val="0"/>
              <w:adjustRightInd w:val="0"/>
              <w:snapToGrid w:val="0"/>
              <w:spacing w:beforeLines="0" w:afterLines="0" w:line="360" w:lineRule="exact"/>
              <w:ind w:left="0" w:leftChars="0" w:firstLineChars="0"/>
              <w:jc w:val="center"/>
              <w:rPr>
                <w:rFonts w:hint="eastAsia" w:ascii="黑体" w:hAnsi="黑体" w:eastAsia="黑体" w:cs="黑体"/>
                <w:color w:val="auto"/>
              </w:rPr>
            </w:pPr>
            <w:r>
              <w:rPr>
                <w:rFonts w:hint="eastAsia" w:ascii="黑体" w:hAnsi="黑体" w:eastAsia="黑体" w:cs="黑体"/>
                <w:color w:val="auto"/>
                <w:lang w:val="en-US" w:eastAsia="zh-CN"/>
              </w:rPr>
              <w:t>更新频率</w:t>
            </w:r>
          </w:p>
        </w:tc>
      </w:tr>
      <w:tr w14:paraId="03C91CA6">
        <w:trPr>
          <w:trHeight w:val="23" w:hRule="atLeast"/>
        </w:trPr>
        <w:tc>
          <w:tcPr>
            <w:tcW w:w="689" w:type="pct"/>
            <w:vMerge w:val="restart"/>
            <w:noWrap/>
            <w:vAlign w:val="center"/>
          </w:tcPr>
          <w:p w14:paraId="2B992808">
            <w:pPr>
              <w:pStyle w:val="23"/>
              <w:keepNext w:val="0"/>
              <w:keepLines w:val="0"/>
              <w:pageBreakBefore w:val="0"/>
              <w:widowControl w:val="0"/>
              <w:suppressLineNumbers w:val="0"/>
              <w:kinsoku/>
              <w:wordWrap/>
              <w:overflowPunct/>
              <w:topLinePunct w:val="0"/>
              <w:autoSpaceDE/>
              <w:autoSpaceDN/>
              <w:bidi w:val="0"/>
              <w:adjustRightInd w:val="0"/>
              <w:snapToGrid w:val="0"/>
              <w:spacing w:beforeLines="0" w:afterLines="0" w:line="360" w:lineRule="exact"/>
              <w:ind w:left="0" w:leftChars="0" w:firstLineChars="0"/>
              <w:jc w:val="both"/>
              <w:textAlignment w:val="center"/>
              <w:rPr>
                <w:rFonts w:hint="eastAsia" w:ascii="仿宋_GB2312" w:hAnsi="仿宋_GB2312" w:eastAsia="仿宋_GB2312" w:cs="仿宋_GB2312"/>
                <w:color w:val="auto"/>
              </w:rPr>
            </w:pPr>
            <w:r>
              <w:rPr>
                <w:rFonts w:hint="eastAsia" w:ascii="仿宋_GB2312" w:hAnsi="仿宋_GB2312" w:eastAsia="仿宋_GB2312" w:cs="仿宋_GB2312"/>
                <w:color w:val="auto"/>
                <w:lang w:val="en-US" w:eastAsia="zh-CN"/>
              </w:rPr>
              <w:t>金融服务</w:t>
            </w:r>
          </w:p>
        </w:tc>
        <w:tc>
          <w:tcPr>
            <w:tcW w:w="1862" w:type="pct"/>
            <w:noWrap/>
            <w:vAlign w:val="center"/>
          </w:tcPr>
          <w:p w14:paraId="314B69E8">
            <w:pPr>
              <w:pStyle w:val="23"/>
              <w:keepNext w:val="0"/>
              <w:keepLines w:val="0"/>
              <w:pageBreakBefore w:val="0"/>
              <w:widowControl w:val="0"/>
              <w:suppressLineNumbers w:val="0"/>
              <w:kinsoku/>
              <w:wordWrap/>
              <w:overflowPunct/>
              <w:topLinePunct w:val="0"/>
              <w:autoSpaceDE/>
              <w:autoSpaceDN/>
              <w:bidi w:val="0"/>
              <w:adjustRightInd w:val="0"/>
              <w:snapToGrid w:val="0"/>
              <w:spacing w:beforeLines="0" w:afterLines="0" w:line="360" w:lineRule="exact"/>
              <w:ind w:left="0" w:leftChars="0" w:firstLineChars="0"/>
              <w:jc w:val="both"/>
              <w:textAlignment w:val="center"/>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eastAsia="zh-CN"/>
              </w:rPr>
              <w:t>区</w:t>
            </w:r>
            <w:r>
              <w:rPr>
                <w:rFonts w:hint="eastAsia" w:ascii="仿宋_GB2312" w:hAnsi="仿宋_GB2312" w:eastAsia="仿宋_GB2312" w:cs="仿宋_GB2312"/>
                <w:color w:val="auto"/>
              </w:rPr>
              <w:t>发展和改革局、</w:t>
            </w:r>
            <w:r>
              <w:rPr>
                <w:rFonts w:hint="eastAsia" w:ascii="仿宋_GB2312" w:hAnsi="仿宋_GB2312" w:eastAsia="仿宋_GB2312" w:cs="仿宋_GB2312"/>
                <w:color w:val="auto"/>
                <w:lang w:eastAsia="zh-CN"/>
              </w:rPr>
              <w:t>区</w:t>
            </w:r>
            <w:r>
              <w:rPr>
                <w:rFonts w:hint="eastAsia" w:ascii="仿宋_GB2312" w:hAnsi="仿宋_GB2312" w:eastAsia="仿宋_GB2312" w:cs="仿宋_GB2312"/>
                <w:color w:val="auto"/>
              </w:rPr>
              <w:t>工业和信息化局、</w:t>
            </w:r>
            <w:r>
              <w:rPr>
                <w:rFonts w:hint="eastAsia" w:ascii="仿宋_GB2312" w:hAnsi="仿宋_GB2312" w:eastAsia="仿宋_GB2312" w:cs="仿宋_GB2312"/>
                <w:color w:val="auto"/>
                <w:lang w:eastAsia="zh-CN"/>
              </w:rPr>
              <w:t>区</w:t>
            </w:r>
            <w:r>
              <w:rPr>
                <w:rFonts w:hint="eastAsia" w:ascii="仿宋_GB2312" w:hAnsi="仿宋_GB2312" w:eastAsia="仿宋_GB2312" w:cs="仿宋_GB2312"/>
                <w:color w:val="auto"/>
              </w:rPr>
              <w:t>科技创新局、</w:t>
            </w:r>
            <w:r>
              <w:rPr>
                <w:rFonts w:hint="eastAsia" w:ascii="仿宋_GB2312" w:hAnsi="仿宋_GB2312" w:eastAsia="仿宋_GB2312" w:cs="仿宋_GB2312"/>
                <w:color w:val="auto"/>
                <w:lang w:eastAsia="zh-CN"/>
              </w:rPr>
              <w:t>区</w:t>
            </w:r>
            <w:r>
              <w:rPr>
                <w:rFonts w:hint="eastAsia" w:ascii="仿宋_GB2312" w:hAnsi="仿宋_GB2312" w:eastAsia="仿宋_GB2312" w:cs="仿宋_GB2312"/>
                <w:color w:val="auto"/>
              </w:rPr>
              <w:t>人力资源局、</w:t>
            </w:r>
            <w:r>
              <w:rPr>
                <w:rFonts w:hint="eastAsia" w:ascii="仿宋_GB2312" w:hAnsi="仿宋_GB2312" w:eastAsia="仿宋_GB2312" w:cs="仿宋_GB2312"/>
                <w:color w:val="auto"/>
                <w:lang w:eastAsia="zh-CN"/>
              </w:rPr>
              <w:t>区</w:t>
            </w:r>
            <w:r>
              <w:rPr>
                <w:rFonts w:hint="eastAsia" w:ascii="仿宋_GB2312" w:hAnsi="仿宋_GB2312" w:eastAsia="仿宋_GB2312" w:cs="仿宋_GB2312"/>
                <w:color w:val="auto"/>
              </w:rPr>
              <w:t>住房建设局、</w:t>
            </w:r>
            <w:r>
              <w:rPr>
                <w:rFonts w:hint="eastAsia" w:ascii="仿宋_GB2312" w:hAnsi="仿宋_GB2312" w:eastAsia="仿宋_GB2312" w:cs="仿宋_GB2312"/>
                <w:color w:val="auto"/>
                <w:lang w:eastAsia="zh-CN"/>
              </w:rPr>
              <w:t>区</w:t>
            </w:r>
            <w:r>
              <w:rPr>
                <w:rFonts w:hint="eastAsia" w:ascii="仿宋_GB2312" w:hAnsi="仿宋_GB2312" w:eastAsia="仿宋_GB2312" w:cs="仿宋_GB2312"/>
                <w:color w:val="auto"/>
              </w:rPr>
              <w:t>财政局（区国</w:t>
            </w:r>
            <w:r>
              <w:rPr>
                <w:rFonts w:hint="eastAsia" w:ascii="仿宋_GB2312" w:hAnsi="仿宋_GB2312" w:eastAsia="仿宋_GB2312" w:cs="仿宋_GB2312"/>
                <w:color w:val="auto"/>
                <w:lang w:eastAsia="zh-CN"/>
              </w:rPr>
              <w:t>有资产监督管理</w:t>
            </w:r>
            <w:r>
              <w:rPr>
                <w:rFonts w:hint="eastAsia" w:ascii="仿宋_GB2312" w:hAnsi="仿宋_GB2312" w:eastAsia="仿宋_GB2312" w:cs="仿宋_GB2312"/>
                <w:color w:val="auto"/>
              </w:rPr>
              <w:t>局、区集体资产管理局）、</w:t>
            </w:r>
            <w:r>
              <w:rPr>
                <w:rFonts w:hint="eastAsia" w:ascii="仿宋_GB2312" w:hAnsi="仿宋_GB2312" w:eastAsia="仿宋_GB2312" w:cs="仿宋_GB2312"/>
                <w:color w:val="auto"/>
                <w:lang w:eastAsia="zh-CN"/>
              </w:rPr>
              <w:t>市</w:t>
            </w:r>
            <w:r>
              <w:rPr>
                <w:rFonts w:hint="eastAsia" w:ascii="仿宋_GB2312" w:hAnsi="仿宋_GB2312" w:eastAsia="仿宋_GB2312" w:cs="仿宋_GB2312"/>
                <w:color w:val="auto"/>
              </w:rPr>
              <w:t>市场监管局龙华局、</w:t>
            </w:r>
            <w:r>
              <w:rPr>
                <w:rFonts w:hint="eastAsia" w:ascii="仿宋_GB2312" w:hAnsi="仿宋_GB2312" w:eastAsia="仿宋_GB2312" w:cs="仿宋_GB2312"/>
                <w:color w:val="auto"/>
                <w:lang w:eastAsia="zh-CN"/>
              </w:rPr>
              <w:t>区</w:t>
            </w:r>
            <w:r>
              <w:rPr>
                <w:rFonts w:hint="eastAsia" w:ascii="仿宋_GB2312" w:hAnsi="仿宋_GB2312" w:eastAsia="仿宋_GB2312" w:cs="仿宋_GB2312"/>
                <w:color w:val="auto"/>
              </w:rPr>
              <w:t>投资推广中心</w:t>
            </w:r>
            <w:r>
              <w:rPr>
                <w:rFonts w:hint="eastAsia" w:ascii="仿宋_GB2312" w:hAnsi="仿宋_GB2312" w:eastAsia="仿宋_GB2312" w:cs="仿宋_GB2312"/>
                <w:color w:val="auto"/>
                <w:lang w:eastAsia="zh-CN"/>
              </w:rPr>
              <w:t>、区</w:t>
            </w:r>
            <w:r>
              <w:rPr>
                <w:rFonts w:hint="eastAsia" w:ascii="仿宋_GB2312" w:hAnsi="仿宋_GB2312" w:eastAsia="仿宋_GB2312" w:cs="仿宋_GB2312"/>
                <w:color w:val="auto"/>
              </w:rPr>
              <w:t>重点区域中心</w:t>
            </w:r>
          </w:p>
        </w:tc>
        <w:tc>
          <w:tcPr>
            <w:tcW w:w="1084" w:type="pct"/>
            <w:noWrap w:val="0"/>
            <w:vAlign w:val="center"/>
          </w:tcPr>
          <w:p w14:paraId="5A5DCBB6">
            <w:pPr>
              <w:pStyle w:val="23"/>
              <w:keepNext w:val="0"/>
              <w:keepLines w:val="0"/>
              <w:pageBreakBefore w:val="0"/>
              <w:widowControl w:val="0"/>
              <w:suppressLineNumbers w:val="0"/>
              <w:kinsoku/>
              <w:wordWrap/>
              <w:overflowPunct/>
              <w:topLinePunct w:val="0"/>
              <w:autoSpaceDE/>
              <w:autoSpaceDN/>
              <w:bidi w:val="0"/>
              <w:adjustRightInd w:val="0"/>
              <w:snapToGrid w:val="0"/>
              <w:spacing w:beforeLines="0" w:afterLines="0" w:line="360" w:lineRule="exact"/>
              <w:jc w:val="both"/>
              <w:textAlignment w:val="center"/>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龙华区惠企补贴数据，含</w:t>
            </w:r>
            <w:r>
              <w:rPr>
                <w:rFonts w:hint="eastAsia" w:ascii="仿宋_GB2312" w:hAnsi="仿宋_GB2312" w:eastAsia="仿宋_GB2312" w:cs="仿宋_GB2312"/>
                <w:b w:val="0"/>
                <w:bCs w:val="0"/>
                <w:color w:val="auto"/>
                <w:lang w:val="en-US" w:eastAsia="zh-CN"/>
              </w:rPr>
              <w:t>发放单位、政策依据、项目类别、企业名称、统一社会信用代码、补贴金额及补贴发放时间字段</w:t>
            </w:r>
            <w:r>
              <w:rPr>
                <w:rFonts w:hint="eastAsia" w:ascii="仿宋_GB2312" w:hAnsi="仿宋_GB2312" w:eastAsia="仿宋_GB2312" w:cs="仿宋_GB2312"/>
                <w:color w:val="auto"/>
                <w:lang w:val="en-US" w:eastAsia="zh-CN"/>
              </w:rPr>
              <w:t>。</w:t>
            </w:r>
          </w:p>
        </w:tc>
        <w:tc>
          <w:tcPr>
            <w:tcW w:w="703" w:type="pct"/>
            <w:noWrap/>
            <w:vAlign w:val="center"/>
          </w:tcPr>
          <w:p w14:paraId="5E5AD745">
            <w:pPr>
              <w:pStyle w:val="23"/>
              <w:keepNext w:val="0"/>
              <w:keepLines w:val="0"/>
              <w:pageBreakBefore w:val="0"/>
              <w:widowControl w:val="0"/>
              <w:suppressLineNumbers w:val="0"/>
              <w:kinsoku/>
              <w:wordWrap/>
              <w:overflowPunct/>
              <w:topLinePunct w:val="0"/>
              <w:autoSpaceDE/>
              <w:autoSpaceDN/>
              <w:bidi w:val="0"/>
              <w:adjustRightInd w:val="0"/>
              <w:snapToGrid w:val="0"/>
              <w:spacing w:beforeLines="0" w:afterLines="0" w:line="360" w:lineRule="exact"/>
              <w:ind w:left="0" w:leftChars="0" w:firstLineChars="0"/>
              <w:jc w:val="both"/>
              <w:textAlignment w:val="center"/>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龙华区</w:t>
            </w:r>
          </w:p>
        </w:tc>
        <w:tc>
          <w:tcPr>
            <w:tcW w:w="660" w:type="pct"/>
            <w:noWrap/>
            <w:vAlign w:val="center"/>
          </w:tcPr>
          <w:p w14:paraId="3F358B44">
            <w:pPr>
              <w:pStyle w:val="23"/>
              <w:keepNext w:val="0"/>
              <w:keepLines w:val="0"/>
              <w:pageBreakBefore w:val="0"/>
              <w:widowControl w:val="0"/>
              <w:kinsoku/>
              <w:wordWrap/>
              <w:overflowPunct/>
              <w:topLinePunct w:val="0"/>
              <w:autoSpaceDE/>
              <w:autoSpaceDN/>
              <w:bidi w:val="0"/>
              <w:adjustRightInd w:val="0"/>
              <w:snapToGrid w:val="0"/>
              <w:spacing w:beforeLines="0" w:afterLines="0" w:line="360" w:lineRule="exact"/>
              <w:ind w:left="0" w:leftChars="0" w:firstLineChars="0"/>
              <w:rPr>
                <w:rFonts w:hint="default"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季度</w:t>
            </w:r>
          </w:p>
        </w:tc>
      </w:tr>
      <w:tr w14:paraId="35A90712">
        <w:trPr>
          <w:trHeight w:val="23" w:hRule="atLeast"/>
        </w:trPr>
        <w:tc>
          <w:tcPr>
            <w:tcW w:w="689" w:type="pct"/>
            <w:vMerge w:val="continue"/>
            <w:noWrap/>
            <w:vAlign w:val="center"/>
          </w:tcPr>
          <w:p w14:paraId="24281D33">
            <w:pPr>
              <w:pStyle w:val="23"/>
              <w:keepNext w:val="0"/>
              <w:keepLines w:val="0"/>
              <w:pageBreakBefore w:val="0"/>
              <w:widowControl w:val="0"/>
              <w:suppressLineNumbers w:val="0"/>
              <w:kinsoku/>
              <w:wordWrap/>
              <w:overflowPunct/>
              <w:topLinePunct w:val="0"/>
              <w:autoSpaceDE/>
              <w:autoSpaceDN/>
              <w:bidi w:val="0"/>
              <w:adjustRightInd w:val="0"/>
              <w:snapToGrid w:val="0"/>
              <w:spacing w:beforeLines="0" w:afterLines="0" w:line="360" w:lineRule="exact"/>
              <w:ind w:left="0" w:leftChars="0" w:firstLineChars="0"/>
              <w:jc w:val="both"/>
              <w:textAlignment w:val="center"/>
              <w:rPr>
                <w:rFonts w:hint="eastAsia" w:ascii="仿宋_GB2312" w:hAnsi="仿宋_GB2312" w:eastAsia="仿宋_GB2312" w:cs="仿宋_GB2312"/>
                <w:color w:val="auto"/>
              </w:rPr>
            </w:pPr>
          </w:p>
        </w:tc>
        <w:tc>
          <w:tcPr>
            <w:tcW w:w="1862" w:type="pct"/>
            <w:noWrap/>
            <w:vAlign w:val="center"/>
          </w:tcPr>
          <w:p w14:paraId="76B8E2D9">
            <w:pPr>
              <w:pStyle w:val="23"/>
              <w:keepNext w:val="0"/>
              <w:keepLines w:val="0"/>
              <w:pageBreakBefore w:val="0"/>
              <w:widowControl w:val="0"/>
              <w:suppressLineNumbers w:val="0"/>
              <w:kinsoku/>
              <w:wordWrap/>
              <w:overflowPunct/>
              <w:topLinePunct w:val="0"/>
              <w:autoSpaceDE/>
              <w:autoSpaceDN/>
              <w:bidi w:val="0"/>
              <w:adjustRightInd w:val="0"/>
              <w:snapToGrid w:val="0"/>
              <w:spacing w:beforeLines="0" w:afterLines="0" w:line="360" w:lineRule="exact"/>
              <w:ind w:left="0" w:leftChars="0" w:firstLineChars="0"/>
              <w:jc w:val="both"/>
              <w:textAlignment w:val="center"/>
              <w:rPr>
                <w:rFonts w:hint="eastAsia" w:ascii="仿宋_GB2312" w:hAnsi="仿宋_GB2312" w:eastAsia="仿宋_GB2312" w:cs="仿宋_GB2312"/>
                <w:color w:val="auto"/>
                <w:lang w:val="en-US"/>
              </w:rPr>
            </w:pPr>
            <w:r>
              <w:rPr>
                <w:rFonts w:hint="eastAsia" w:ascii="仿宋_GB2312" w:hAnsi="仿宋_GB2312" w:eastAsia="仿宋_GB2312" w:cs="仿宋_GB2312"/>
                <w:color w:val="auto"/>
                <w:lang w:val="en-US" w:eastAsia="zh-CN"/>
              </w:rPr>
              <w:t>区人力资源局</w:t>
            </w:r>
          </w:p>
        </w:tc>
        <w:tc>
          <w:tcPr>
            <w:tcW w:w="1084" w:type="pct"/>
            <w:noWrap w:val="0"/>
            <w:vAlign w:val="center"/>
          </w:tcPr>
          <w:p w14:paraId="10EE7851">
            <w:pPr>
              <w:pStyle w:val="23"/>
              <w:keepNext w:val="0"/>
              <w:keepLines w:val="0"/>
              <w:pageBreakBefore w:val="0"/>
              <w:widowControl w:val="0"/>
              <w:shd w:val="clear" w:color="auto" w:fill="FFFFFF"/>
              <w:kinsoku/>
              <w:wordWrap/>
              <w:overflowPunct/>
              <w:topLinePunct w:val="0"/>
              <w:autoSpaceDE/>
              <w:autoSpaceDN/>
              <w:bidi w:val="0"/>
              <w:adjustRightInd w:val="0"/>
              <w:snapToGrid w:val="0"/>
              <w:spacing w:beforeLines="0" w:afterLines="0" w:line="360" w:lineRule="exact"/>
              <w:jc w:val="both"/>
              <w:textAlignment w:val="auto"/>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龙华区人才补贴数据，</w:t>
            </w:r>
            <w:r>
              <w:rPr>
                <w:rFonts w:hint="eastAsia" w:ascii="仿宋_GB2312" w:hAnsi="仿宋_GB2312" w:eastAsia="仿宋_GB2312" w:cs="仿宋_GB2312"/>
                <w:b w:val="0"/>
                <w:bCs w:val="0"/>
                <w:color w:val="auto"/>
                <w:lang w:val="en-US" w:eastAsia="zh-CN"/>
              </w:rPr>
              <w:t>含人才名字、身份证号码、手机号码、人才企业名称、人才类别、补贴金额</w:t>
            </w:r>
            <w:r>
              <w:rPr>
                <w:rFonts w:hint="eastAsia" w:ascii="仿宋_GB2312" w:hAnsi="仿宋_GB2312" w:eastAsia="仿宋_GB2312" w:cs="仿宋_GB2312"/>
                <w:color w:val="auto"/>
                <w:lang w:val="en-US" w:eastAsia="zh-CN"/>
              </w:rPr>
              <w:t>字段。</w:t>
            </w:r>
          </w:p>
        </w:tc>
        <w:tc>
          <w:tcPr>
            <w:tcW w:w="703" w:type="pct"/>
            <w:noWrap/>
            <w:vAlign w:val="center"/>
          </w:tcPr>
          <w:p w14:paraId="4719582C">
            <w:pPr>
              <w:pStyle w:val="23"/>
              <w:keepNext w:val="0"/>
              <w:keepLines w:val="0"/>
              <w:pageBreakBefore w:val="0"/>
              <w:widowControl w:val="0"/>
              <w:suppressLineNumbers w:val="0"/>
              <w:kinsoku/>
              <w:wordWrap/>
              <w:overflowPunct/>
              <w:topLinePunct w:val="0"/>
              <w:autoSpaceDE/>
              <w:autoSpaceDN/>
              <w:bidi w:val="0"/>
              <w:adjustRightInd w:val="0"/>
              <w:snapToGrid w:val="0"/>
              <w:spacing w:beforeLines="0" w:afterLines="0" w:line="360" w:lineRule="exact"/>
              <w:ind w:left="0" w:leftChars="0" w:firstLineChars="0"/>
              <w:jc w:val="both"/>
              <w:textAlignment w:val="center"/>
              <w:rPr>
                <w:rFonts w:hint="eastAsia" w:ascii="仿宋_GB2312" w:hAnsi="仿宋_GB2312" w:eastAsia="仿宋_GB2312" w:cs="仿宋_GB2312"/>
                <w:color w:val="auto"/>
              </w:rPr>
            </w:pPr>
            <w:r>
              <w:rPr>
                <w:rFonts w:hint="eastAsia" w:ascii="仿宋_GB2312" w:hAnsi="仿宋_GB2312" w:eastAsia="仿宋_GB2312" w:cs="仿宋_GB2312"/>
                <w:color w:val="auto"/>
                <w:lang w:val="en-US" w:eastAsia="zh-CN"/>
              </w:rPr>
              <w:t>龙华区</w:t>
            </w:r>
          </w:p>
        </w:tc>
        <w:tc>
          <w:tcPr>
            <w:tcW w:w="660" w:type="pct"/>
            <w:noWrap/>
            <w:vAlign w:val="center"/>
          </w:tcPr>
          <w:p w14:paraId="48E46F93">
            <w:pPr>
              <w:pStyle w:val="23"/>
              <w:keepNext w:val="0"/>
              <w:keepLines w:val="0"/>
              <w:pageBreakBefore w:val="0"/>
              <w:widowControl w:val="0"/>
              <w:kinsoku/>
              <w:wordWrap/>
              <w:overflowPunct/>
              <w:topLinePunct w:val="0"/>
              <w:autoSpaceDE/>
              <w:autoSpaceDN/>
              <w:bidi w:val="0"/>
              <w:adjustRightInd w:val="0"/>
              <w:snapToGrid w:val="0"/>
              <w:spacing w:beforeLines="0" w:afterLines="0" w:line="360" w:lineRule="exact"/>
              <w:ind w:left="0" w:leftChars="0" w:firstLineChars="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季度</w:t>
            </w:r>
          </w:p>
        </w:tc>
      </w:tr>
      <w:tr w14:paraId="639942B5">
        <w:trPr>
          <w:trHeight w:val="23" w:hRule="atLeast"/>
        </w:trPr>
        <w:tc>
          <w:tcPr>
            <w:tcW w:w="689" w:type="pct"/>
            <w:noWrap/>
            <w:vAlign w:val="center"/>
          </w:tcPr>
          <w:p w14:paraId="4E7FDD27">
            <w:pPr>
              <w:pStyle w:val="23"/>
              <w:keepNext w:val="0"/>
              <w:keepLines w:val="0"/>
              <w:pageBreakBefore w:val="0"/>
              <w:widowControl w:val="0"/>
              <w:suppressLineNumbers w:val="0"/>
              <w:kinsoku/>
              <w:wordWrap/>
              <w:overflowPunct/>
              <w:topLinePunct w:val="0"/>
              <w:autoSpaceDE/>
              <w:autoSpaceDN/>
              <w:bidi w:val="0"/>
              <w:adjustRightInd w:val="0"/>
              <w:snapToGrid w:val="0"/>
              <w:spacing w:beforeLines="0" w:afterLines="0" w:line="360" w:lineRule="exact"/>
              <w:ind w:left="0" w:leftChars="0" w:firstLineChars="0"/>
              <w:jc w:val="both"/>
              <w:textAlignment w:val="center"/>
              <w:rPr>
                <w:rFonts w:hint="eastAsia" w:ascii="仿宋_GB2312" w:hAnsi="仿宋_GB2312" w:eastAsia="仿宋_GB2312" w:cs="仿宋_GB2312"/>
                <w:color w:val="auto"/>
                <w:lang w:eastAsia="zh-CN"/>
              </w:rPr>
            </w:pPr>
            <w:r>
              <w:rPr>
                <w:rFonts w:hint="eastAsia" w:ascii="仿宋_GB2312" w:hAnsi="仿宋_GB2312" w:eastAsia="仿宋_GB2312" w:cs="仿宋_GB2312"/>
                <w:color w:val="auto"/>
                <w:lang w:eastAsia="zh-CN"/>
              </w:rPr>
              <w:t>商贸流通</w:t>
            </w:r>
          </w:p>
        </w:tc>
        <w:tc>
          <w:tcPr>
            <w:tcW w:w="1862" w:type="pct"/>
            <w:noWrap/>
            <w:vAlign w:val="center"/>
          </w:tcPr>
          <w:p w14:paraId="5502125D">
            <w:pPr>
              <w:pStyle w:val="23"/>
              <w:keepNext w:val="0"/>
              <w:keepLines w:val="0"/>
              <w:pageBreakBefore w:val="0"/>
              <w:widowControl w:val="0"/>
              <w:suppressLineNumbers w:val="0"/>
              <w:kinsoku/>
              <w:wordWrap/>
              <w:overflowPunct/>
              <w:topLinePunct w:val="0"/>
              <w:autoSpaceDE/>
              <w:autoSpaceDN/>
              <w:bidi w:val="0"/>
              <w:adjustRightInd w:val="0"/>
              <w:snapToGrid w:val="0"/>
              <w:spacing w:beforeLines="0" w:afterLines="0" w:line="360" w:lineRule="exact"/>
              <w:ind w:left="0" w:leftChars="0" w:firstLineChars="0"/>
              <w:jc w:val="both"/>
              <w:textAlignment w:val="center"/>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观澜海关</w:t>
            </w:r>
          </w:p>
        </w:tc>
        <w:tc>
          <w:tcPr>
            <w:tcW w:w="1084" w:type="pct"/>
            <w:noWrap/>
            <w:vAlign w:val="center"/>
          </w:tcPr>
          <w:p w14:paraId="3F794634">
            <w:pPr>
              <w:pStyle w:val="23"/>
              <w:keepNext w:val="0"/>
              <w:keepLines w:val="0"/>
              <w:pageBreakBefore w:val="0"/>
              <w:widowControl w:val="0"/>
              <w:shd w:val="clear" w:color="auto" w:fill="FFFFFF"/>
              <w:kinsoku/>
              <w:wordWrap/>
              <w:overflowPunct/>
              <w:topLinePunct w:val="0"/>
              <w:autoSpaceDE/>
              <w:autoSpaceDN/>
              <w:bidi w:val="0"/>
              <w:adjustRightInd w:val="0"/>
              <w:snapToGrid w:val="0"/>
              <w:spacing w:beforeLines="0" w:afterLines="0" w:line="360" w:lineRule="exact"/>
              <w:jc w:val="both"/>
              <w:textAlignment w:val="auto"/>
              <w:rPr>
                <w:rFonts w:hint="eastAsia" w:ascii="仿宋_GB2312" w:hAnsi="仿宋_GB2312" w:eastAsia="仿宋_GB2312" w:cs="仿宋_GB2312"/>
                <w:b w:val="0"/>
                <w:bCs w:val="0"/>
                <w:color w:val="auto"/>
                <w:lang w:val="en-US" w:eastAsia="zh-CN"/>
              </w:rPr>
            </w:pPr>
            <w:r>
              <w:rPr>
                <w:rFonts w:hint="eastAsia" w:ascii="仿宋_GB2312" w:hAnsi="仿宋_GB2312" w:eastAsia="仿宋_GB2312" w:cs="仿宋_GB2312"/>
                <w:b w:val="0"/>
                <w:bCs w:val="0"/>
                <w:color w:val="auto"/>
                <w:lang w:val="en-US" w:eastAsia="zh-CN"/>
              </w:rPr>
              <w:t>龙华区进出口贸易结构数据，含国家/地区代码、产终国、商品名称、商品编码、进出口方向、时间段、金额、同比增长率字段。</w:t>
            </w:r>
          </w:p>
        </w:tc>
        <w:tc>
          <w:tcPr>
            <w:tcW w:w="703" w:type="pct"/>
            <w:noWrap/>
            <w:vAlign w:val="center"/>
          </w:tcPr>
          <w:p w14:paraId="1704A7F8">
            <w:pPr>
              <w:pStyle w:val="23"/>
              <w:keepNext w:val="0"/>
              <w:keepLines w:val="0"/>
              <w:pageBreakBefore w:val="0"/>
              <w:widowControl w:val="0"/>
              <w:suppressLineNumbers w:val="0"/>
              <w:kinsoku/>
              <w:wordWrap/>
              <w:overflowPunct/>
              <w:topLinePunct w:val="0"/>
              <w:autoSpaceDE/>
              <w:autoSpaceDN/>
              <w:bidi w:val="0"/>
              <w:adjustRightInd w:val="0"/>
              <w:snapToGrid w:val="0"/>
              <w:spacing w:beforeLines="0" w:afterLines="0" w:line="360" w:lineRule="exact"/>
              <w:ind w:left="0" w:leftChars="0" w:firstLineChars="0"/>
              <w:jc w:val="both"/>
              <w:textAlignment w:val="center"/>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龙华区</w:t>
            </w:r>
          </w:p>
        </w:tc>
        <w:tc>
          <w:tcPr>
            <w:tcW w:w="660" w:type="pct"/>
            <w:noWrap/>
            <w:vAlign w:val="center"/>
          </w:tcPr>
          <w:p w14:paraId="4ADE68E8">
            <w:pPr>
              <w:pStyle w:val="23"/>
              <w:keepNext w:val="0"/>
              <w:keepLines w:val="0"/>
              <w:pageBreakBefore w:val="0"/>
              <w:widowControl w:val="0"/>
              <w:kinsoku/>
              <w:wordWrap/>
              <w:overflowPunct/>
              <w:topLinePunct w:val="0"/>
              <w:autoSpaceDE/>
              <w:autoSpaceDN/>
              <w:bidi w:val="0"/>
              <w:adjustRightInd w:val="0"/>
              <w:snapToGrid w:val="0"/>
              <w:spacing w:beforeLines="0" w:afterLines="0" w:line="360" w:lineRule="exact"/>
              <w:ind w:left="0" w:leftChars="0" w:firstLineChars="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季度</w:t>
            </w:r>
          </w:p>
        </w:tc>
      </w:tr>
      <w:tr w14:paraId="290006AF">
        <w:trPr>
          <w:trHeight w:val="90" w:hRule="atLeast"/>
        </w:trPr>
        <w:tc>
          <w:tcPr>
            <w:tcW w:w="689" w:type="pct"/>
            <w:vMerge w:val="restart"/>
            <w:noWrap/>
            <w:vAlign w:val="center"/>
          </w:tcPr>
          <w:p w14:paraId="0262C1D3">
            <w:pPr>
              <w:pStyle w:val="23"/>
              <w:keepNext w:val="0"/>
              <w:keepLines w:val="0"/>
              <w:pageBreakBefore w:val="0"/>
              <w:widowControl w:val="0"/>
              <w:kinsoku/>
              <w:wordWrap/>
              <w:overflowPunct/>
              <w:topLinePunct w:val="0"/>
              <w:autoSpaceDE/>
              <w:autoSpaceDN/>
              <w:bidi w:val="0"/>
              <w:adjustRightInd w:val="0"/>
              <w:snapToGrid w:val="0"/>
              <w:spacing w:beforeLines="0" w:afterLines="0" w:line="360" w:lineRule="exact"/>
              <w:ind w:left="0" w:leftChars="0" w:firstLineChars="0"/>
              <w:jc w:val="both"/>
              <w:rPr>
                <w:rFonts w:hint="eastAsia" w:ascii="仿宋_GB2312" w:hAnsi="仿宋_GB2312" w:eastAsia="仿宋_GB2312" w:cs="仿宋_GB2312"/>
                <w:color w:val="auto"/>
                <w:lang w:eastAsia="zh-CN"/>
              </w:rPr>
            </w:pPr>
            <w:r>
              <w:rPr>
                <w:rFonts w:hint="eastAsia" w:ascii="仿宋_GB2312" w:hAnsi="仿宋_GB2312" w:eastAsia="仿宋_GB2312" w:cs="仿宋_GB2312"/>
                <w:color w:val="auto"/>
                <w:lang w:eastAsia="zh-CN"/>
              </w:rPr>
              <w:t>卫生健康</w:t>
            </w:r>
          </w:p>
          <w:p w14:paraId="4BF698FF">
            <w:pPr>
              <w:pStyle w:val="23"/>
              <w:keepNext w:val="0"/>
              <w:keepLines w:val="0"/>
              <w:pageBreakBefore w:val="0"/>
              <w:widowControl w:val="0"/>
              <w:kinsoku/>
              <w:wordWrap/>
              <w:overflowPunct/>
              <w:topLinePunct w:val="0"/>
              <w:autoSpaceDE/>
              <w:autoSpaceDN/>
              <w:bidi w:val="0"/>
              <w:adjustRightInd w:val="0"/>
              <w:snapToGrid w:val="0"/>
              <w:spacing w:beforeLines="0" w:afterLines="0" w:line="360" w:lineRule="exact"/>
              <w:ind w:left="0" w:leftChars="0" w:firstLineChars="0"/>
              <w:jc w:val="both"/>
              <w:rPr>
                <w:rFonts w:hint="eastAsia" w:ascii="仿宋_GB2312" w:hAnsi="仿宋_GB2312" w:eastAsia="仿宋_GB2312" w:cs="仿宋_GB2312"/>
                <w:color w:val="auto"/>
                <w:lang w:eastAsia="zh-CN"/>
              </w:rPr>
            </w:pPr>
          </w:p>
        </w:tc>
        <w:tc>
          <w:tcPr>
            <w:tcW w:w="1862" w:type="pct"/>
            <w:noWrap/>
            <w:vAlign w:val="center"/>
          </w:tcPr>
          <w:p w14:paraId="14B826B6">
            <w:pPr>
              <w:pStyle w:val="23"/>
              <w:keepNext w:val="0"/>
              <w:keepLines w:val="0"/>
              <w:pageBreakBefore w:val="0"/>
              <w:widowControl w:val="0"/>
              <w:suppressLineNumbers w:val="0"/>
              <w:kinsoku/>
              <w:wordWrap/>
              <w:overflowPunct/>
              <w:topLinePunct w:val="0"/>
              <w:autoSpaceDE/>
              <w:autoSpaceDN/>
              <w:bidi w:val="0"/>
              <w:adjustRightInd w:val="0"/>
              <w:snapToGrid w:val="0"/>
              <w:spacing w:beforeLines="0" w:afterLines="0" w:line="360" w:lineRule="exact"/>
              <w:ind w:left="0" w:leftChars="0" w:firstLineChars="0"/>
              <w:jc w:val="both"/>
              <w:textAlignment w:val="center"/>
              <w:rPr>
                <w:rFonts w:hint="eastAsia" w:ascii="仿宋_GB2312" w:hAnsi="仿宋_GB2312" w:eastAsia="仿宋_GB2312" w:cs="仿宋_GB2312"/>
                <w:color w:val="auto"/>
              </w:rPr>
            </w:pPr>
            <w:r>
              <w:rPr>
                <w:rFonts w:hint="eastAsia" w:ascii="仿宋_GB2312" w:hAnsi="仿宋_GB2312" w:eastAsia="仿宋_GB2312" w:cs="仿宋_GB2312"/>
                <w:color w:val="auto"/>
                <w:lang w:val="en-US" w:eastAsia="zh-CN"/>
              </w:rPr>
              <w:t>区卫生健康局</w:t>
            </w:r>
          </w:p>
        </w:tc>
        <w:tc>
          <w:tcPr>
            <w:tcW w:w="1084" w:type="pct"/>
            <w:noWrap/>
            <w:vAlign w:val="center"/>
          </w:tcPr>
          <w:p w14:paraId="415C7593">
            <w:pPr>
              <w:pStyle w:val="23"/>
              <w:keepNext w:val="0"/>
              <w:keepLines w:val="0"/>
              <w:pageBreakBefore w:val="0"/>
              <w:widowControl w:val="0"/>
              <w:shd w:val="clear" w:color="auto" w:fill="FFFFFF"/>
              <w:kinsoku/>
              <w:wordWrap/>
              <w:overflowPunct/>
              <w:topLinePunct w:val="0"/>
              <w:autoSpaceDE/>
              <w:autoSpaceDN/>
              <w:bidi w:val="0"/>
              <w:adjustRightInd w:val="0"/>
              <w:snapToGrid w:val="0"/>
              <w:spacing w:beforeLines="0" w:afterLines="0" w:line="360" w:lineRule="exact"/>
              <w:jc w:val="both"/>
              <w:textAlignment w:val="auto"/>
              <w:rPr>
                <w:rFonts w:hint="eastAsia" w:ascii="仿宋_GB2312" w:hAnsi="仿宋_GB2312" w:eastAsia="仿宋_GB2312" w:cs="仿宋_GB2312"/>
                <w:b w:val="0"/>
                <w:bCs w:val="0"/>
                <w:color w:val="auto"/>
                <w:lang w:val="en-US" w:eastAsia="zh-CN"/>
              </w:rPr>
            </w:pPr>
            <w:r>
              <w:rPr>
                <w:rFonts w:hint="eastAsia" w:ascii="仿宋_GB2312" w:hAnsi="仿宋_GB2312" w:eastAsia="仿宋_GB2312" w:cs="仿宋_GB2312"/>
                <w:b w:val="0"/>
                <w:bCs w:val="0"/>
                <w:color w:val="auto"/>
                <w:lang w:val="en-US" w:eastAsia="zh-CN"/>
              </w:rPr>
              <w:t>放射影像数据，包含肩周炎患者的肩关节、网球肘患者的肘、腕关节、膝关节炎患者的膝关节、患者的颈椎、胸痛、腰痛患者的胸椎、腰椎、骨盆正位放射影像数据及膝关节错位损伤患者的膝关节放射影像数据等字段。</w:t>
            </w:r>
          </w:p>
        </w:tc>
        <w:tc>
          <w:tcPr>
            <w:tcW w:w="703" w:type="pct"/>
            <w:noWrap/>
            <w:vAlign w:val="center"/>
          </w:tcPr>
          <w:p w14:paraId="0280C6E5">
            <w:pPr>
              <w:pStyle w:val="23"/>
              <w:keepNext w:val="0"/>
              <w:keepLines w:val="0"/>
              <w:pageBreakBefore w:val="0"/>
              <w:widowControl w:val="0"/>
              <w:suppressLineNumbers w:val="0"/>
              <w:kinsoku/>
              <w:wordWrap/>
              <w:overflowPunct/>
              <w:topLinePunct w:val="0"/>
              <w:autoSpaceDE/>
              <w:autoSpaceDN/>
              <w:bidi w:val="0"/>
              <w:adjustRightInd w:val="0"/>
              <w:snapToGrid w:val="0"/>
              <w:spacing w:beforeLines="0" w:afterLines="0" w:line="360" w:lineRule="exact"/>
              <w:ind w:left="0" w:leftChars="0" w:firstLineChars="0"/>
              <w:jc w:val="both"/>
              <w:textAlignment w:val="center"/>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龙华区</w:t>
            </w:r>
          </w:p>
        </w:tc>
        <w:tc>
          <w:tcPr>
            <w:tcW w:w="660" w:type="pct"/>
            <w:noWrap/>
            <w:vAlign w:val="center"/>
          </w:tcPr>
          <w:p w14:paraId="24F564FA">
            <w:pPr>
              <w:pStyle w:val="23"/>
              <w:keepNext w:val="0"/>
              <w:keepLines w:val="0"/>
              <w:pageBreakBefore w:val="0"/>
              <w:widowControl w:val="0"/>
              <w:kinsoku/>
              <w:wordWrap/>
              <w:overflowPunct/>
              <w:topLinePunct w:val="0"/>
              <w:autoSpaceDE/>
              <w:autoSpaceDN/>
              <w:bidi w:val="0"/>
              <w:adjustRightInd w:val="0"/>
              <w:snapToGrid w:val="0"/>
              <w:spacing w:beforeLines="0" w:afterLines="0" w:line="360" w:lineRule="exact"/>
              <w:ind w:left="0" w:leftChars="0" w:firstLineChars="0"/>
              <w:rPr>
                <w:rFonts w:hint="eastAsia" w:ascii="仿宋_GB2312" w:hAnsi="仿宋_GB2312" w:eastAsia="仿宋_GB2312" w:cs="仿宋_GB2312"/>
                <w:color w:val="auto"/>
              </w:rPr>
            </w:pPr>
            <w:r>
              <w:rPr>
                <w:rFonts w:hint="eastAsia" w:ascii="仿宋_GB2312" w:hAnsi="仿宋_GB2312" w:eastAsia="仿宋_GB2312" w:cs="仿宋_GB2312"/>
                <w:color w:val="auto"/>
                <w:lang w:val="en-US" w:eastAsia="zh-CN"/>
              </w:rPr>
              <w:t>月度</w:t>
            </w:r>
          </w:p>
        </w:tc>
      </w:tr>
      <w:tr w14:paraId="0E761412">
        <w:trPr>
          <w:trHeight w:val="90" w:hRule="atLeast"/>
        </w:trPr>
        <w:tc>
          <w:tcPr>
            <w:tcW w:w="689" w:type="pct"/>
            <w:vMerge w:val="continue"/>
            <w:noWrap/>
            <w:vAlign w:val="center"/>
          </w:tcPr>
          <w:p w14:paraId="6062BAE4">
            <w:pPr>
              <w:pStyle w:val="23"/>
              <w:keepNext w:val="0"/>
              <w:keepLines w:val="0"/>
              <w:pageBreakBefore w:val="0"/>
              <w:widowControl w:val="0"/>
              <w:kinsoku/>
              <w:wordWrap/>
              <w:overflowPunct/>
              <w:topLinePunct w:val="0"/>
              <w:autoSpaceDE/>
              <w:autoSpaceDN/>
              <w:bidi w:val="0"/>
              <w:adjustRightInd w:val="0"/>
              <w:snapToGrid w:val="0"/>
              <w:spacing w:beforeLines="0" w:afterLines="0" w:line="360" w:lineRule="exact"/>
              <w:ind w:left="0" w:leftChars="0" w:firstLineChars="0"/>
              <w:jc w:val="both"/>
              <w:rPr>
                <w:rFonts w:hint="eastAsia" w:ascii="仿宋_GB2312" w:hAnsi="仿宋_GB2312" w:eastAsia="仿宋_GB2312" w:cs="仿宋_GB2312"/>
                <w:color w:val="auto"/>
                <w:lang w:eastAsia="zh-CN"/>
              </w:rPr>
            </w:pPr>
          </w:p>
        </w:tc>
        <w:tc>
          <w:tcPr>
            <w:tcW w:w="1862" w:type="pct"/>
            <w:noWrap/>
            <w:vAlign w:val="center"/>
          </w:tcPr>
          <w:p w14:paraId="595700DF">
            <w:pPr>
              <w:pStyle w:val="23"/>
              <w:keepNext w:val="0"/>
              <w:keepLines w:val="0"/>
              <w:pageBreakBefore w:val="0"/>
              <w:widowControl w:val="0"/>
              <w:suppressLineNumbers w:val="0"/>
              <w:kinsoku/>
              <w:wordWrap/>
              <w:overflowPunct/>
              <w:topLinePunct w:val="0"/>
              <w:autoSpaceDE/>
              <w:autoSpaceDN/>
              <w:bidi w:val="0"/>
              <w:adjustRightInd w:val="0"/>
              <w:snapToGrid w:val="0"/>
              <w:spacing w:beforeLines="0" w:afterLines="0" w:line="360" w:lineRule="exact"/>
              <w:ind w:left="0" w:leftChars="0" w:firstLineChars="0"/>
              <w:jc w:val="both"/>
              <w:textAlignment w:val="center"/>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区卫生健康局</w:t>
            </w:r>
          </w:p>
        </w:tc>
        <w:tc>
          <w:tcPr>
            <w:tcW w:w="1084" w:type="pct"/>
            <w:noWrap/>
            <w:vAlign w:val="center"/>
          </w:tcPr>
          <w:p w14:paraId="004B78A6">
            <w:pPr>
              <w:pStyle w:val="23"/>
              <w:keepNext w:val="0"/>
              <w:keepLines w:val="0"/>
              <w:pageBreakBefore w:val="0"/>
              <w:widowControl w:val="0"/>
              <w:shd w:val="clear" w:color="auto" w:fill="FFFFFF"/>
              <w:kinsoku/>
              <w:wordWrap/>
              <w:overflowPunct/>
              <w:topLinePunct w:val="0"/>
              <w:autoSpaceDE/>
              <w:autoSpaceDN/>
              <w:bidi w:val="0"/>
              <w:adjustRightInd w:val="0"/>
              <w:snapToGrid w:val="0"/>
              <w:spacing w:beforeLines="0" w:afterLines="0" w:line="360" w:lineRule="exact"/>
              <w:jc w:val="both"/>
              <w:textAlignment w:val="auto"/>
              <w:rPr>
                <w:rFonts w:hint="default" w:ascii="仿宋_GB2312" w:hAnsi="仿宋_GB2312" w:eastAsia="仿宋_GB2312" w:cs="仿宋_GB2312"/>
                <w:color w:val="auto"/>
                <w:lang w:val="en-US" w:eastAsia="zh-CN"/>
              </w:rPr>
            </w:pPr>
            <w:r>
              <w:rPr>
                <w:rFonts w:hint="eastAsia" w:ascii="仿宋_GB2312" w:hAnsi="仿宋_GB2312" w:eastAsia="仿宋_GB2312" w:cs="仿宋_GB2312"/>
                <w:color w:val="auto"/>
              </w:rPr>
              <w:t>全民健康信息平台</w:t>
            </w:r>
            <w:r>
              <w:rPr>
                <w:rFonts w:hint="eastAsia" w:ascii="仿宋_GB2312" w:hAnsi="仿宋_GB2312" w:eastAsia="仿宋_GB2312" w:cs="仿宋_GB2312"/>
                <w:color w:val="auto"/>
                <w:lang w:eastAsia="zh-CN"/>
              </w:rPr>
              <w:t>汇聚的</w:t>
            </w:r>
            <w:r>
              <w:rPr>
                <w:rFonts w:hint="eastAsia" w:ascii="仿宋_GB2312" w:hAnsi="仿宋_GB2312" w:eastAsia="仿宋_GB2312" w:cs="仿宋_GB2312"/>
                <w:color w:val="auto"/>
              </w:rPr>
              <w:t>业务数据表</w:t>
            </w:r>
            <w:r>
              <w:rPr>
                <w:rFonts w:hint="eastAsia" w:ascii="仿宋_GB2312" w:hAnsi="仿宋_GB2312" w:eastAsia="仿宋_GB2312" w:cs="仿宋_GB2312"/>
                <w:color w:val="auto"/>
                <w:lang w:eastAsia="zh-CN"/>
              </w:rPr>
              <w:t>中的部分业务数据（二级数据）</w:t>
            </w:r>
            <w:r>
              <w:rPr>
                <w:rFonts w:hint="eastAsia" w:ascii="仿宋_GB2312" w:hAnsi="仿宋_GB2312" w:eastAsia="仿宋_GB2312" w:cs="仿宋_GB2312"/>
                <w:color w:val="auto"/>
              </w:rPr>
              <w:t>，</w:t>
            </w:r>
            <w:r>
              <w:rPr>
                <w:rFonts w:hint="eastAsia" w:ascii="仿宋_GB2312" w:hAnsi="仿宋_GB2312" w:eastAsia="仿宋_GB2312" w:cs="仿宋_GB2312"/>
                <w:color w:val="auto"/>
                <w:lang w:eastAsia="zh-CN"/>
              </w:rPr>
              <w:t>具体包括</w:t>
            </w:r>
            <w:r>
              <w:rPr>
                <w:rFonts w:hint="eastAsia" w:ascii="仿宋_GB2312" w:hAnsi="仿宋_GB2312" w:eastAsia="仿宋_GB2312" w:cs="仿宋_GB2312"/>
                <w:color w:val="auto"/>
              </w:rPr>
              <w:t>病案首页诊断明细表</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rPr>
              <w:t>病案统计</w:t>
            </w:r>
            <w:r>
              <w:rPr>
                <w:rFonts w:hint="eastAsia" w:ascii="仿宋_GB2312" w:hAnsi="仿宋_GB2312" w:eastAsia="仿宋_GB2312" w:cs="仿宋_GB2312"/>
                <w:color w:val="auto"/>
                <w:lang w:eastAsia="zh-CN"/>
              </w:rPr>
              <w:t>表、</w:t>
            </w:r>
            <w:r>
              <w:rPr>
                <w:rFonts w:hint="eastAsia" w:ascii="仿宋_GB2312" w:hAnsi="仿宋_GB2312" w:eastAsia="仿宋_GB2312" w:cs="仿宋_GB2312"/>
                <w:color w:val="auto"/>
              </w:rPr>
              <w:t>基础表</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rPr>
              <w:t>检查报告</w:t>
            </w:r>
            <w:r>
              <w:rPr>
                <w:rFonts w:hint="eastAsia" w:ascii="仿宋_GB2312" w:hAnsi="仿宋_GB2312" w:eastAsia="仿宋_GB2312" w:cs="仿宋_GB2312"/>
                <w:color w:val="auto"/>
                <w:lang w:eastAsia="zh-CN"/>
              </w:rPr>
              <w:t>表、</w:t>
            </w:r>
            <w:r>
              <w:rPr>
                <w:rFonts w:hint="eastAsia" w:ascii="仿宋_GB2312" w:hAnsi="仿宋_GB2312" w:eastAsia="仿宋_GB2312" w:cs="仿宋_GB2312"/>
                <w:color w:val="auto"/>
              </w:rPr>
              <w:t>检验报告主表</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rPr>
              <w:t>门诊处方明细</w:t>
            </w:r>
            <w:r>
              <w:rPr>
                <w:rFonts w:hint="eastAsia" w:ascii="仿宋_GB2312" w:hAnsi="仿宋_GB2312" w:eastAsia="仿宋_GB2312" w:cs="仿宋_GB2312"/>
                <w:color w:val="auto"/>
                <w:lang w:eastAsia="zh-CN"/>
              </w:rPr>
              <w:t>表等</w:t>
            </w:r>
            <w:r>
              <w:rPr>
                <w:rFonts w:hint="eastAsia" w:ascii="仿宋_GB2312" w:hAnsi="仿宋_GB2312" w:eastAsia="仿宋_GB2312" w:cs="仿宋_GB2312"/>
                <w:b w:val="0"/>
                <w:bCs w:val="0"/>
                <w:color w:val="auto"/>
                <w:highlight w:val="none"/>
                <w:lang w:val="en-US" w:eastAsia="zh-CN"/>
              </w:rPr>
              <w:t>。</w:t>
            </w:r>
          </w:p>
        </w:tc>
        <w:tc>
          <w:tcPr>
            <w:tcW w:w="703" w:type="pct"/>
            <w:noWrap/>
            <w:vAlign w:val="center"/>
          </w:tcPr>
          <w:p w14:paraId="1EA92460">
            <w:pPr>
              <w:pStyle w:val="23"/>
              <w:keepNext w:val="0"/>
              <w:keepLines w:val="0"/>
              <w:pageBreakBefore w:val="0"/>
              <w:widowControl w:val="0"/>
              <w:suppressLineNumbers w:val="0"/>
              <w:kinsoku/>
              <w:wordWrap/>
              <w:overflowPunct/>
              <w:topLinePunct w:val="0"/>
              <w:autoSpaceDE/>
              <w:autoSpaceDN/>
              <w:bidi w:val="0"/>
              <w:adjustRightInd w:val="0"/>
              <w:snapToGrid w:val="0"/>
              <w:spacing w:beforeLines="0" w:afterLines="0" w:line="360" w:lineRule="exact"/>
              <w:ind w:left="0" w:leftChars="0" w:firstLineChars="0"/>
              <w:jc w:val="both"/>
              <w:textAlignment w:val="center"/>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龙华区</w:t>
            </w:r>
          </w:p>
        </w:tc>
        <w:tc>
          <w:tcPr>
            <w:tcW w:w="660" w:type="pct"/>
            <w:noWrap/>
            <w:vAlign w:val="center"/>
          </w:tcPr>
          <w:p w14:paraId="135BE584">
            <w:pPr>
              <w:pStyle w:val="23"/>
              <w:keepNext w:val="0"/>
              <w:keepLines w:val="0"/>
              <w:pageBreakBefore w:val="0"/>
              <w:widowControl w:val="0"/>
              <w:kinsoku/>
              <w:wordWrap/>
              <w:overflowPunct/>
              <w:topLinePunct w:val="0"/>
              <w:autoSpaceDE/>
              <w:autoSpaceDN/>
              <w:bidi w:val="0"/>
              <w:adjustRightInd w:val="0"/>
              <w:snapToGrid w:val="0"/>
              <w:spacing w:beforeLines="0" w:afterLines="0" w:line="360" w:lineRule="exact"/>
              <w:ind w:left="0" w:leftChars="0" w:firstLineChars="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年度</w:t>
            </w:r>
          </w:p>
        </w:tc>
      </w:tr>
      <w:tr w14:paraId="63C93CBC">
        <w:trPr>
          <w:trHeight w:val="90" w:hRule="atLeast"/>
        </w:trPr>
        <w:tc>
          <w:tcPr>
            <w:tcW w:w="689" w:type="pct"/>
            <w:vMerge w:val="continue"/>
            <w:noWrap/>
            <w:vAlign w:val="center"/>
          </w:tcPr>
          <w:p w14:paraId="6F3E79B5">
            <w:pPr>
              <w:pStyle w:val="23"/>
              <w:keepNext w:val="0"/>
              <w:keepLines w:val="0"/>
              <w:pageBreakBefore w:val="0"/>
              <w:widowControl w:val="0"/>
              <w:kinsoku/>
              <w:wordWrap/>
              <w:overflowPunct/>
              <w:topLinePunct w:val="0"/>
              <w:autoSpaceDE/>
              <w:autoSpaceDN/>
              <w:bidi w:val="0"/>
              <w:adjustRightInd w:val="0"/>
              <w:snapToGrid w:val="0"/>
              <w:spacing w:beforeLines="0" w:afterLines="0" w:line="360" w:lineRule="exact"/>
              <w:ind w:left="0" w:leftChars="0" w:firstLineChars="0"/>
              <w:jc w:val="both"/>
              <w:rPr>
                <w:rFonts w:hint="eastAsia" w:ascii="仿宋_GB2312" w:hAnsi="仿宋_GB2312" w:eastAsia="仿宋_GB2312" w:cs="仿宋_GB2312"/>
                <w:color w:val="auto"/>
                <w:lang w:eastAsia="zh-CN"/>
              </w:rPr>
            </w:pPr>
          </w:p>
        </w:tc>
        <w:tc>
          <w:tcPr>
            <w:tcW w:w="1862" w:type="pct"/>
            <w:noWrap/>
            <w:vAlign w:val="center"/>
          </w:tcPr>
          <w:p w14:paraId="42B5DC05">
            <w:pPr>
              <w:pStyle w:val="23"/>
              <w:keepNext w:val="0"/>
              <w:keepLines w:val="0"/>
              <w:pageBreakBefore w:val="0"/>
              <w:widowControl w:val="0"/>
              <w:suppressLineNumbers w:val="0"/>
              <w:kinsoku/>
              <w:wordWrap/>
              <w:overflowPunct/>
              <w:topLinePunct w:val="0"/>
              <w:autoSpaceDE/>
              <w:autoSpaceDN/>
              <w:bidi w:val="0"/>
              <w:adjustRightInd w:val="0"/>
              <w:snapToGrid w:val="0"/>
              <w:spacing w:beforeLines="0" w:afterLines="0" w:line="360" w:lineRule="exact"/>
              <w:ind w:left="0" w:leftChars="0" w:firstLineChars="0"/>
              <w:jc w:val="both"/>
              <w:textAlignment w:val="center"/>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区卫生健康局</w:t>
            </w:r>
          </w:p>
        </w:tc>
        <w:tc>
          <w:tcPr>
            <w:tcW w:w="1084" w:type="pct"/>
            <w:noWrap/>
            <w:vAlign w:val="center"/>
          </w:tcPr>
          <w:p w14:paraId="0C46AF96">
            <w:pPr>
              <w:pStyle w:val="23"/>
              <w:keepNext w:val="0"/>
              <w:keepLines w:val="0"/>
              <w:pageBreakBefore w:val="0"/>
              <w:widowControl w:val="0"/>
              <w:shd w:val="clear" w:color="auto" w:fill="FFFFFF"/>
              <w:kinsoku/>
              <w:wordWrap/>
              <w:overflowPunct/>
              <w:topLinePunct w:val="0"/>
              <w:autoSpaceDE/>
              <w:autoSpaceDN/>
              <w:bidi w:val="0"/>
              <w:adjustRightInd w:val="0"/>
              <w:snapToGrid w:val="0"/>
              <w:spacing w:beforeLines="0" w:afterLines="0" w:line="360" w:lineRule="exact"/>
              <w:jc w:val="both"/>
              <w:textAlignment w:val="auto"/>
              <w:rPr>
                <w:rFonts w:hint="eastAsia" w:ascii="仿宋_GB2312" w:hAnsi="仿宋_GB2312" w:eastAsia="仿宋_GB2312" w:cs="仿宋_GB2312"/>
                <w:color w:val="auto"/>
              </w:rPr>
            </w:pPr>
            <w:r>
              <w:rPr>
                <w:rFonts w:hint="eastAsia" w:ascii="仿宋_GB2312" w:hAnsi="仿宋_GB2312" w:eastAsia="仿宋_GB2312" w:cs="仿宋_GB2312"/>
                <w:i w:val="0"/>
                <w:caps w:val="0"/>
                <w:color w:val="auto"/>
                <w:spacing w:val="0"/>
                <w:kern w:val="2"/>
                <w:sz w:val="24"/>
                <w:szCs w:val="24"/>
                <w:shd w:val="clear" w:color="auto" w:fill="auto"/>
                <w:lang w:val="en-US" w:eastAsia="zh-CN" w:bidi="ar-SA"/>
              </w:rPr>
              <w:t>龙华区内公立医疗卫生机构就医所产生与商业保险理赔相关的医疗证明及费用证明数据，</w:t>
            </w:r>
            <w:r>
              <w:rPr>
                <w:rFonts w:hint="eastAsia" w:ascii="仿宋_GB2312" w:hAnsi="仿宋_GB2312" w:eastAsia="仿宋_GB2312" w:cs="仿宋_GB2312"/>
                <w:b w:val="0"/>
                <w:bCs w:val="0"/>
                <w:i w:val="0"/>
                <w:caps w:val="0"/>
                <w:color w:val="auto"/>
                <w:spacing w:val="0"/>
                <w:kern w:val="2"/>
                <w:sz w:val="24"/>
                <w:szCs w:val="24"/>
                <w:shd w:val="clear" w:color="auto" w:fill="auto"/>
                <w:lang w:val="en-US" w:eastAsia="zh-CN" w:bidi="ar-SA"/>
              </w:rPr>
              <w:t>含居民诊疗记录、检验记录、手术记录、用药记录和费用账单等</w:t>
            </w:r>
            <w:r>
              <w:rPr>
                <w:rFonts w:hint="eastAsia" w:ascii="仿宋_GB2312" w:hAnsi="仿宋_GB2312" w:eastAsia="仿宋_GB2312" w:cs="仿宋_GB2312"/>
                <w:b w:val="0"/>
                <w:bCs w:val="0"/>
                <w:i w:val="0"/>
                <w:caps w:val="0"/>
                <w:color w:val="000000" w:themeColor="text1"/>
                <w:spacing w:val="0"/>
                <w:kern w:val="2"/>
                <w:sz w:val="24"/>
                <w:szCs w:val="24"/>
                <w:shd w:val="clear" w:color="auto" w:fill="auto"/>
                <w:lang w:val="en-US" w:eastAsia="zh-CN" w:bidi="ar-SA"/>
                <w14:textFill>
                  <w14:solidFill>
                    <w14:schemeClr w14:val="tx1"/>
                  </w14:solidFill>
                </w14:textFill>
              </w:rPr>
              <w:t>字段</w:t>
            </w:r>
            <w:r>
              <w:rPr>
                <w:rFonts w:hint="eastAsia" w:ascii="仿宋_GB2312" w:hAnsi="仿宋_GB2312" w:eastAsia="仿宋_GB2312" w:cs="仿宋_GB2312"/>
                <w:b w:val="0"/>
                <w:bCs w:val="0"/>
                <w:color w:val="auto"/>
                <w:highlight w:val="none"/>
                <w:lang w:val="en-US" w:eastAsia="zh-CN"/>
              </w:rPr>
              <w:t>。</w:t>
            </w:r>
          </w:p>
        </w:tc>
        <w:tc>
          <w:tcPr>
            <w:tcW w:w="703" w:type="pct"/>
            <w:noWrap/>
            <w:vAlign w:val="center"/>
          </w:tcPr>
          <w:p w14:paraId="3BE4B200">
            <w:pPr>
              <w:pStyle w:val="23"/>
              <w:keepNext w:val="0"/>
              <w:keepLines w:val="0"/>
              <w:pageBreakBefore w:val="0"/>
              <w:widowControl w:val="0"/>
              <w:suppressLineNumbers w:val="0"/>
              <w:kinsoku/>
              <w:wordWrap/>
              <w:overflowPunct/>
              <w:topLinePunct w:val="0"/>
              <w:autoSpaceDE/>
              <w:autoSpaceDN/>
              <w:bidi w:val="0"/>
              <w:adjustRightInd w:val="0"/>
              <w:snapToGrid w:val="0"/>
              <w:spacing w:beforeLines="0" w:afterLines="0" w:line="360" w:lineRule="exact"/>
              <w:ind w:left="0" w:leftChars="0" w:firstLineChars="0"/>
              <w:jc w:val="both"/>
              <w:textAlignment w:val="center"/>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龙华区</w:t>
            </w:r>
          </w:p>
        </w:tc>
        <w:tc>
          <w:tcPr>
            <w:tcW w:w="660" w:type="pct"/>
            <w:noWrap/>
            <w:vAlign w:val="center"/>
          </w:tcPr>
          <w:p w14:paraId="290A89D7">
            <w:pPr>
              <w:pStyle w:val="23"/>
              <w:keepNext w:val="0"/>
              <w:keepLines w:val="0"/>
              <w:pageBreakBefore w:val="0"/>
              <w:widowControl w:val="0"/>
              <w:kinsoku/>
              <w:wordWrap/>
              <w:overflowPunct/>
              <w:topLinePunct w:val="0"/>
              <w:autoSpaceDE/>
              <w:autoSpaceDN/>
              <w:bidi w:val="0"/>
              <w:adjustRightInd w:val="0"/>
              <w:snapToGrid w:val="0"/>
              <w:spacing w:beforeLines="0" w:afterLines="0" w:line="360" w:lineRule="exact"/>
              <w:ind w:left="0" w:leftChars="0" w:firstLineChars="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每日</w:t>
            </w:r>
          </w:p>
        </w:tc>
      </w:tr>
      <w:tr w14:paraId="06701741">
        <w:trPr>
          <w:trHeight w:val="23" w:hRule="atLeast"/>
        </w:trPr>
        <w:tc>
          <w:tcPr>
            <w:tcW w:w="689" w:type="pct"/>
            <w:vMerge w:val="restart"/>
            <w:noWrap/>
            <w:vAlign w:val="center"/>
          </w:tcPr>
          <w:p w14:paraId="559B9C2C">
            <w:pPr>
              <w:pStyle w:val="23"/>
              <w:keepNext w:val="0"/>
              <w:keepLines w:val="0"/>
              <w:pageBreakBefore w:val="0"/>
              <w:widowControl w:val="0"/>
              <w:suppressLineNumbers w:val="0"/>
              <w:kinsoku/>
              <w:wordWrap/>
              <w:overflowPunct/>
              <w:topLinePunct w:val="0"/>
              <w:autoSpaceDE/>
              <w:autoSpaceDN/>
              <w:bidi w:val="0"/>
              <w:adjustRightInd w:val="0"/>
              <w:snapToGrid w:val="0"/>
              <w:spacing w:beforeLines="0" w:afterLines="0" w:line="360" w:lineRule="exact"/>
              <w:ind w:left="0" w:leftChars="0" w:firstLineChars="0"/>
              <w:jc w:val="center"/>
              <w:textAlignment w:val="center"/>
              <w:rPr>
                <w:rFonts w:hint="eastAsia" w:ascii="仿宋_GB2312" w:hAnsi="仿宋_GB2312" w:eastAsia="仿宋_GB2312" w:cs="仿宋_GB2312"/>
                <w:color w:val="auto"/>
                <w:lang w:eastAsia="zh-CN"/>
              </w:rPr>
            </w:pPr>
            <w:r>
              <w:rPr>
                <w:rFonts w:hint="eastAsia" w:ascii="仿宋_GB2312" w:hAnsi="仿宋_GB2312" w:eastAsia="仿宋_GB2312" w:cs="仿宋_GB2312"/>
                <w:color w:val="auto"/>
                <w:lang w:eastAsia="zh-CN"/>
              </w:rPr>
              <w:t>城市治理</w:t>
            </w:r>
          </w:p>
        </w:tc>
        <w:tc>
          <w:tcPr>
            <w:tcW w:w="1862" w:type="pct"/>
            <w:noWrap/>
            <w:vAlign w:val="center"/>
          </w:tcPr>
          <w:p w14:paraId="5BD4E009">
            <w:pPr>
              <w:pStyle w:val="23"/>
              <w:keepNext w:val="0"/>
              <w:keepLines w:val="0"/>
              <w:pageBreakBefore w:val="0"/>
              <w:widowControl w:val="0"/>
              <w:suppressLineNumbers w:val="0"/>
              <w:kinsoku/>
              <w:wordWrap/>
              <w:overflowPunct/>
              <w:topLinePunct w:val="0"/>
              <w:autoSpaceDE/>
              <w:autoSpaceDN/>
              <w:bidi w:val="0"/>
              <w:adjustRightInd w:val="0"/>
              <w:snapToGrid w:val="0"/>
              <w:spacing w:beforeLines="0" w:afterLines="0" w:line="360" w:lineRule="exact"/>
              <w:ind w:left="0" w:leftChars="0" w:firstLineChars="0"/>
              <w:jc w:val="both"/>
              <w:textAlignment w:val="center"/>
              <w:rPr>
                <w:rFonts w:hint="eastAsia" w:ascii="仿宋_GB2312" w:hAnsi="仿宋_GB2312" w:eastAsia="仿宋_GB2312" w:cs="仿宋_GB2312"/>
                <w:color w:val="auto"/>
                <w:lang w:eastAsia="zh-CN"/>
              </w:rPr>
            </w:pPr>
            <w:r>
              <w:rPr>
                <w:rFonts w:hint="eastAsia" w:ascii="仿宋_GB2312" w:hAnsi="仿宋_GB2312" w:eastAsia="仿宋_GB2312" w:cs="仿宋_GB2312"/>
                <w:color w:val="auto"/>
                <w:lang w:eastAsia="zh-CN"/>
              </w:rPr>
              <w:t>大浪街道</w:t>
            </w:r>
          </w:p>
        </w:tc>
        <w:tc>
          <w:tcPr>
            <w:tcW w:w="1084" w:type="pct"/>
            <w:noWrap/>
            <w:vAlign w:val="center"/>
          </w:tcPr>
          <w:p w14:paraId="0F7014F5">
            <w:pPr>
              <w:pStyle w:val="23"/>
              <w:keepNext w:val="0"/>
              <w:keepLines w:val="0"/>
              <w:pageBreakBefore w:val="0"/>
              <w:widowControl w:val="0"/>
              <w:suppressLineNumbers w:val="0"/>
              <w:kinsoku/>
              <w:wordWrap/>
              <w:overflowPunct/>
              <w:topLinePunct w:val="0"/>
              <w:autoSpaceDE/>
              <w:autoSpaceDN/>
              <w:bidi w:val="0"/>
              <w:adjustRightInd w:val="0"/>
              <w:snapToGrid w:val="0"/>
              <w:spacing w:beforeLines="0" w:afterLines="0" w:line="360" w:lineRule="exact"/>
              <w:jc w:val="both"/>
              <w:textAlignment w:val="center"/>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龙华区小散工程备案信息，包含工程所属街道名称、社区名称、备案编号、工程名称、工程地址、工程类型、工程面积、装修类型字段。</w:t>
            </w:r>
          </w:p>
        </w:tc>
        <w:tc>
          <w:tcPr>
            <w:tcW w:w="703" w:type="pct"/>
            <w:noWrap/>
            <w:vAlign w:val="center"/>
          </w:tcPr>
          <w:p w14:paraId="4AE92A61">
            <w:pPr>
              <w:pStyle w:val="23"/>
              <w:keepNext w:val="0"/>
              <w:keepLines w:val="0"/>
              <w:pageBreakBefore w:val="0"/>
              <w:widowControl w:val="0"/>
              <w:suppressLineNumbers w:val="0"/>
              <w:kinsoku/>
              <w:wordWrap/>
              <w:overflowPunct/>
              <w:topLinePunct w:val="0"/>
              <w:autoSpaceDE/>
              <w:autoSpaceDN/>
              <w:bidi w:val="0"/>
              <w:adjustRightInd w:val="0"/>
              <w:snapToGrid w:val="0"/>
              <w:spacing w:beforeLines="0" w:afterLines="0" w:line="360" w:lineRule="exact"/>
              <w:ind w:left="0" w:leftChars="0" w:firstLineChars="0"/>
              <w:jc w:val="both"/>
              <w:textAlignment w:val="center"/>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龙华区</w:t>
            </w:r>
          </w:p>
        </w:tc>
        <w:tc>
          <w:tcPr>
            <w:tcW w:w="660" w:type="pct"/>
            <w:noWrap/>
            <w:vAlign w:val="center"/>
          </w:tcPr>
          <w:p w14:paraId="1BA1F360">
            <w:pPr>
              <w:pStyle w:val="23"/>
              <w:keepNext w:val="0"/>
              <w:keepLines w:val="0"/>
              <w:pageBreakBefore w:val="0"/>
              <w:widowControl w:val="0"/>
              <w:kinsoku/>
              <w:wordWrap/>
              <w:overflowPunct/>
              <w:topLinePunct w:val="0"/>
              <w:autoSpaceDE/>
              <w:autoSpaceDN/>
              <w:bidi w:val="0"/>
              <w:adjustRightInd w:val="0"/>
              <w:snapToGrid w:val="0"/>
              <w:spacing w:beforeLines="0" w:afterLines="0" w:line="360" w:lineRule="exact"/>
              <w:ind w:left="0" w:leftChars="0" w:firstLineChars="0"/>
              <w:rPr>
                <w:rFonts w:hint="eastAsia" w:ascii="仿宋_GB2312" w:hAnsi="仿宋_GB2312" w:eastAsia="仿宋_GB2312" w:cs="仿宋_GB2312"/>
                <w:color w:val="auto"/>
                <w:lang w:eastAsia="zh-CN"/>
              </w:rPr>
            </w:pPr>
            <w:r>
              <w:rPr>
                <w:rFonts w:hint="eastAsia" w:ascii="仿宋_GB2312" w:hAnsi="仿宋_GB2312" w:eastAsia="仿宋_GB2312" w:cs="仿宋_GB2312"/>
                <w:color w:val="auto"/>
                <w:lang w:eastAsia="zh-CN"/>
              </w:rPr>
              <w:t>季度</w:t>
            </w:r>
          </w:p>
        </w:tc>
      </w:tr>
      <w:tr w14:paraId="5B8D4920">
        <w:trPr>
          <w:trHeight w:val="23" w:hRule="atLeast"/>
        </w:trPr>
        <w:tc>
          <w:tcPr>
            <w:tcW w:w="689" w:type="pct"/>
            <w:vMerge w:val="continue"/>
            <w:noWrap/>
            <w:vAlign w:val="center"/>
          </w:tcPr>
          <w:p w14:paraId="35E8E012">
            <w:pPr>
              <w:pStyle w:val="23"/>
              <w:keepNext w:val="0"/>
              <w:keepLines w:val="0"/>
              <w:pageBreakBefore w:val="0"/>
              <w:widowControl w:val="0"/>
              <w:kinsoku/>
              <w:wordWrap/>
              <w:overflowPunct/>
              <w:topLinePunct w:val="0"/>
              <w:autoSpaceDE/>
              <w:autoSpaceDN/>
              <w:bidi w:val="0"/>
              <w:adjustRightInd w:val="0"/>
              <w:snapToGrid w:val="0"/>
              <w:spacing w:beforeLines="0" w:afterLines="0" w:line="360" w:lineRule="exact"/>
              <w:jc w:val="both"/>
              <w:rPr>
                <w:rFonts w:hint="eastAsia" w:ascii="仿宋_GB2312" w:hAnsi="仿宋_GB2312" w:eastAsia="仿宋_GB2312" w:cs="仿宋_GB2312"/>
                <w:color w:val="auto"/>
              </w:rPr>
            </w:pPr>
          </w:p>
        </w:tc>
        <w:tc>
          <w:tcPr>
            <w:tcW w:w="1862" w:type="pct"/>
            <w:noWrap/>
            <w:vAlign w:val="center"/>
          </w:tcPr>
          <w:p w14:paraId="2587F13C">
            <w:pPr>
              <w:pStyle w:val="23"/>
              <w:keepNext w:val="0"/>
              <w:keepLines w:val="0"/>
              <w:pageBreakBefore w:val="0"/>
              <w:widowControl w:val="0"/>
              <w:suppressLineNumbers w:val="0"/>
              <w:kinsoku/>
              <w:wordWrap/>
              <w:overflowPunct/>
              <w:topLinePunct w:val="0"/>
              <w:autoSpaceDE/>
              <w:autoSpaceDN/>
              <w:bidi w:val="0"/>
              <w:adjustRightInd w:val="0"/>
              <w:snapToGrid w:val="0"/>
              <w:spacing w:beforeLines="0" w:afterLines="0" w:line="360" w:lineRule="exact"/>
              <w:ind w:left="0" w:leftChars="0" w:firstLineChars="0"/>
              <w:jc w:val="both"/>
              <w:textAlignment w:val="center"/>
              <w:rPr>
                <w:rFonts w:hint="eastAsia" w:ascii="仿宋_GB2312" w:hAnsi="仿宋_GB2312" w:eastAsia="仿宋_GB2312" w:cs="仿宋_GB2312"/>
                <w:color w:val="auto"/>
              </w:rPr>
            </w:pPr>
            <w:r>
              <w:rPr>
                <w:rFonts w:hint="eastAsia" w:ascii="仿宋_GB2312" w:hAnsi="仿宋_GB2312" w:eastAsia="仿宋_GB2312" w:cs="仿宋_GB2312"/>
                <w:color w:val="auto"/>
                <w:lang w:val="en-US" w:eastAsia="zh-CN"/>
              </w:rPr>
              <w:t>区平安建设中心</w:t>
            </w:r>
          </w:p>
        </w:tc>
        <w:tc>
          <w:tcPr>
            <w:tcW w:w="1084" w:type="pct"/>
            <w:noWrap/>
            <w:vAlign w:val="center"/>
          </w:tcPr>
          <w:p w14:paraId="3177F11C">
            <w:pPr>
              <w:pStyle w:val="23"/>
              <w:keepNext w:val="0"/>
              <w:keepLines w:val="0"/>
              <w:pageBreakBefore w:val="0"/>
              <w:widowControl w:val="0"/>
              <w:kinsoku/>
              <w:wordWrap/>
              <w:overflowPunct/>
              <w:topLinePunct w:val="0"/>
              <w:autoSpaceDE/>
              <w:autoSpaceDN/>
              <w:bidi w:val="0"/>
              <w:adjustRightInd w:val="0"/>
              <w:snapToGrid w:val="0"/>
              <w:spacing w:beforeLines="0" w:afterLines="0" w:line="360" w:lineRule="exact"/>
              <w:jc w:val="both"/>
              <w:textAlignment w:val="auto"/>
              <w:rPr>
                <w:rFonts w:hint="eastAsia" w:ascii="仿宋_GB2312" w:hAnsi="仿宋_GB2312" w:eastAsia="仿宋_GB2312" w:cs="仿宋_GB2312"/>
                <w:color w:val="auto"/>
              </w:rPr>
            </w:pPr>
            <w:r>
              <w:rPr>
                <w:rFonts w:hint="eastAsia" w:ascii="仿宋_GB2312" w:hAnsi="仿宋_GB2312" w:eastAsia="仿宋_GB2312" w:cs="仿宋_GB2312"/>
                <w:color w:val="auto"/>
                <w:lang w:val="en-US" w:eastAsia="zh-CN"/>
              </w:rPr>
              <w:t>龙华区各个街道楼栋数据量信息统计，包含街道名称、楼栋数、数据更新时间字段信息。</w:t>
            </w:r>
          </w:p>
        </w:tc>
        <w:tc>
          <w:tcPr>
            <w:tcW w:w="703" w:type="pct"/>
            <w:noWrap/>
            <w:vAlign w:val="center"/>
          </w:tcPr>
          <w:p w14:paraId="03BC0B1F">
            <w:pPr>
              <w:pStyle w:val="23"/>
              <w:keepNext w:val="0"/>
              <w:keepLines w:val="0"/>
              <w:pageBreakBefore w:val="0"/>
              <w:widowControl w:val="0"/>
              <w:suppressLineNumbers w:val="0"/>
              <w:kinsoku/>
              <w:wordWrap/>
              <w:overflowPunct/>
              <w:topLinePunct w:val="0"/>
              <w:autoSpaceDE/>
              <w:autoSpaceDN/>
              <w:bidi w:val="0"/>
              <w:adjustRightInd w:val="0"/>
              <w:snapToGrid w:val="0"/>
              <w:spacing w:beforeLines="0" w:afterLines="0" w:line="360" w:lineRule="exact"/>
              <w:ind w:left="0" w:leftChars="0" w:firstLineChars="0"/>
              <w:jc w:val="both"/>
              <w:textAlignment w:val="center"/>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龙华区</w:t>
            </w:r>
          </w:p>
        </w:tc>
        <w:tc>
          <w:tcPr>
            <w:tcW w:w="660" w:type="pct"/>
            <w:noWrap/>
            <w:vAlign w:val="center"/>
          </w:tcPr>
          <w:p w14:paraId="6115089A">
            <w:pPr>
              <w:pStyle w:val="23"/>
              <w:keepNext w:val="0"/>
              <w:keepLines w:val="0"/>
              <w:pageBreakBefore w:val="0"/>
              <w:widowControl w:val="0"/>
              <w:kinsoku/>
              <w:wordWrap/>
              <w:overflowPunct/>
              <w:topLinePunct w:val="0"/>
              <w:autoSpaceDE/>
              <w:autoSpaceDN/>
              <w:bidi w:val="0"/>
              <w:adjustRightInd w:val="0"/>
              <w:snapToGrid w:val="0"/>
              <w:spacing w:beforeLines="0" w:afterLines="0" w:line="360" w:lineRule="exact"/>
              <w:ind w:left="0" w:leftChars="0" w:firstLineChars="0"/>
              <w:rPr>
                <w:rFonts w:hint="eastAsia" w:ascii="仿宋_GB2312" w:hAnsi="仿宋_GB2312" w:eastAsia="仿宋_GB2312" w:cs="仿宋_GB2312"/>
                <w:color w:val="auto"/>
                <w:lang w:eastAsia="zh-CN"/>
              </w:rPr>
            </w:pPr>
            <w:r>
              <w:rPr>
                <w:rFonts w:hint="eastAsia" w:ascii="仿宋_GB2312" w:hAnsi="仿宋_GB2312" w:eastAsia="仿宋_GB2312" w:cs="仿宋_GB2312"/>
                <w:color w:val="auto"/>
                <w:lang w:eastAsia="zh-CN"/>
              </w:rPr>
              <w:t>季度</w:t>
            </w:r>
          </w:p>
        </w:tc>
      </w:tr>
      <w:tr w14:paraId="21BECA04">
        <w:trPr>
          <w:trHeight w:val="23" w:hRule="atLeast"/>
        </w:trPr>
        <w:tc>
          <w:tcPr>
            <w:tcW w:w="689" w:type="pct"/>
            <w:vMerge w:val="continue"/>
            <w:noWrap/>
            <w:vAlign w:val="center"/>
          </w:tcPr>
          <w:p w14:paraId="69F24DEE">
            <w:pPr>
              <w:pStyle w:val="23"/>
              <w:keepNext w:val="0"/>
              <w:keepLines w:val="0"/>
              <w:pageBreakBefore w:val="0"/>
              <w:widowControl w:val="0"/>
              <w:kinsoku/>
              <w:wordWrap/>
              <w:overflowPunct/>
              <w:topLinePunct w:val="0"/>
              <w:autoSpaceDE/>
              <w:autoSpaceDN/>
              <w:bidi w:val="0"/>
              <w:adjustRightInd w:val="0"/>
              <w:snapToGrid w:val="0"/>
              <w:spacing w:beforeLines="0" w:afterLines="0" w:line="360" w:lineRule="exact"/>
              <w:jc w:val="both"/>
              <w:rPr>
                <w:rFonts w:hint="eastAsia" w:ascii="仿宋_GB2312" w:hAnsi="仿宋_GB2312" w:eastAsia="仿宋_GB2312" w:cs="仿宋_GB2312"/>
                <w:color w:val="auto"/>
              </w:rPr>
            </w:pPr>
          </w:p>
        </w:tc>
        <w:tc>
          <w:tcPr>
            <w:tcW w:w="1862" w:type="pct"/>
            <w:noWrap/>
            <w:vAlign w:val="center"/>
          </w:tcPr>
          <w:p w14:paraId="7A270A25">
            <w:pPr>
              <w:pStyle w:val="23"/>
              <w:keepNext w:val="0"/>
              <w:keepLines w:val="0"/>
              <w:pageBreakBefore w:val="0"/>
              <w:widowControl w:val="0"/>
              <w:suppressLineNumbers w:val="0"/>
              <w:kinsoku/>
              <w:wordWrap/>
              <w:overflowPunct/>
              <w:topLinePunct w:val="0"/>
              <w:autoSpaceDE/>
              <w:autoSpaceDN/>
              <w:bidi w:val="0"/>
              <w:adjustRightInd w:val="0"/>
              <w:snapToGrid w:val="0"/>
              <w:spacing w:beforeLines="0" w:afterLines="0" w:line="360" w:lineRule="exact"/>
              <w:ind w:left="0" w:leftChars="0" w:firstLineChars="0"/>
              <w:jc w:val="both"/>
              <w:textAlignment w:val="center"/>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区</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发展研究院</w:t>
            </w:r>
          </w:p>
          <w:p w14:paraId="1025C5F6">
            <w:pPr>
              <w:pStyle w:val="23"/>
              <w:keepNext w:val="0"/>
              <w:keepLines w:val="0"/>
              <w:pageBreakBefore w:val="0"/>
              <w:widowControl w:val="0"/>
              <w:suppressLineNumbers w:val="0"/>
              <w:kinsoku/>
              <w:wordWrap/>
              <w:overflowPunct/>
              <w:topLinePunct w:val="0"/>
              <w:autoSpaceDE/>
              <w:autoSpaceDN/>
              <w:bidi w:val="0"/>
              <w:adjustRightInd w:val="0"/>
              <w:snapToGrid w:val="0"/>
              <w:spacing w:beforeLines="0" w:afterLines="0" w:line="360" w:lineRule="exact"/>
              <w:ind w:left="0" w:leftChars="0" w:firstLineChars="0"/>
              <w:jc w:val="both"/>
              <w:textAlignment w:val="center"/>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区平安建设中心</w:t>
            </w:r>
          </w:p>
          <w:p w14:paraId="0E6CEFCB">
            <w:pPr>
              <w:pStyle w:val="23"/>
              <w:keepNext w:val="0"/>
              <w:keepLines w:val="0"/>
              <w:pageBreakBefore w:val="0"/>
              <w:widowControl w:val="0"/>
              <w:suppressLineNumbers w:val="0"/>
              <w:kinsoku/>
              <w:wordWrap/>
              <w:overflowPunct/>
              <w:topLinePunct w:val="0"/>
              <w:autoSpaceDE/>
              <w:autoSpaceDN/>
              <w:bidi w:val="0"/>
              <w:adjustRightInd w:val="0"/>
              <w:snapToGrid w:val="0"/>
              <w:spacing w:beforeLines="0" w:afterLines="0" w:line="360" w:lineRule="exact"/>
              <w:ind w:left="0" w:leftChars="0" w:firstLineChars="0"/>
              <w:jc w:val="both"/>
              <w:textAlignment w:val="center"/>
              <w:rPr>
                <w:rFonts w:hint="eastAsia" w:ascii="仿宋_GB2312" w:hAnsi="仿宋_GB2312" w:eastAsia="仿宋_GB2312" w:cs="仿宋_GB2312"/>
                <w:color w:val="000000" w:themeColor="text1"/>
                <w:lang w:val="en-US" w:eastAsia="zh-CN"/>
                <w14:textFill>
                  <w14:solidFill>
                    <w14:schemeClr w14:val="tx1"/>
                  </w14:solidFill>
                </w14:textFill>
              </w:rPr>
            </w:pPr>
          </w:p>
        </w:tc>
        <w:tc>
          <w:tcPr>
            <w:tcW w:w="1084" w:type="pct"/>
            <w:noWrap/>
            <w:vAlign w:val="center"/>
          </w:tcPr>
          <w:p w14:paraId="40A66630">
            <w:pPr>
              <w:pStyle w:val="23"/>
              <w:keepNext w:val="0"/>
              <w:keepLines w:val="0"/>
              <w:pageBreakBefore w:val="0"/>
              <w:widowControl w:val="0"/>
              <w:kinsoku/>
              <w:wordWrap/>
              <w:overflowPunct/>
              <w:topLinePunct w:val="0"/>
              <w:autoSpaceDE/>
              <w:autoSpaceDN/>
              <w:bidi w:val="0"/>
              <w:adjustRightInd w:val="0"/>
              <w:snapToGrid w:val="0"/>
              <w:spacing w:beforeLines="0" w:afterLines="0" w:line="360" w:lineRule="exact"/>
              <w:jc w:val="both"/>
              <w:textAlignment w:val="auto"/>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城中村名称、所属街道、所属社区、概况描述、关联股份合作公司、空间坐标（geom，OGC WKT格式）、建筑栋数、房屋套数、是否纳入城市更新整备项目范围、数据更新时间、调整说明。</w:t>
            </w:r>
          </w:p>
        </w:tc>
        <w:tc>
          <w:tcPr>
            <w:tcW w:w="703" w:type="pct"/>
            <w:noWrap/>
            <w:vAlign w:val="center"/>
          </w:tcPr>
          <w:p w14:paraId="09B398AC">
            <w:pPr>
              <w:pStyle w:val="23"/>
              <w:keepNext w:val="0"/>
              <w:keepLines w:val="0"/>
              <w:pageBreakBefore w:val="0"/>
              <w:widowControl w:val="0"/>
              <w:suppressLineNumbers w:val="0"/>
              <w:kinsoku/>
              <w:wordWrap/>
              <w:overflowPunct/>
              <w:topLinePunct w:val="0"/>
              <w:autoSpaceDE/>
              <w:autoSpaceDN/>
              <w:bidi w:val="0"/>
              <w:adjustRightInd w:val="0"/>
              <w:snapToGrid w:val="0"/>
              <w:spacing w:beforeLines="0" w:afterLines="0" w:line="360" w:lineRule="exact"/>
              <w:ind w:left="0" w:leftChars="0" w:firstLineChars="0"/>
              <w:jc w:val="both"/>
              <w:textAlignment w:val="center"/>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龙华区</w:t>
            </w:r>
          </w:p>
        </w:tc>
        <w:tc>
          <w:tcPr>
            <w:tcW w:w="660" w:type="pct"/>
            <w:noWrap/>
            <w:vAlign w:val="center"/>
          </w:tcPr>
          <w:p w14:paraId="5DBDC24F">
            <w:pPr>
              <w:pStyle w:val="23"/>
              <w:keepNext w:val="0"/>
              <w:keepLines w:val="0"/>
              <w:pageBreakBefore w:val="0"/>
              <w:widowControl w:val="0"/>
              <w:kinsoku/>
              <w:wordWrap/>
              <w:overflowPunct/>
              <w:topLinePunct w:val="0"/>
              <w:autoSpaceDE/>
              <w:autoSpaceDN/>
              <w:bidi w:val="0"/>
              <w:adjustRightInd w:val="0"/>
              <w:snapToGrid w:val="0"/>
              <w:spacing w:beforeLines="0" w:afterLines="0" w:line="360" w:lineRule="exact"/>
              <w:ind w:left="0" w:leftChars="0" w:firstLineChars="0"/>
              <w:rPr>
                <w:rFonts w:hint="eastAsia" w:ascii="仿宋_GB2312" w:hAnsi="仿宋_GB2312" w:eastAsia="仿宋_GB2312" w:cs="仿宋_GB2312"/>
                <w:color w:val="auto"/>
                <w:lang w:eastAsia="zh-CN"/>
              </w:rPr>
            </w:pPr>
            <w:r>
              <w:rPr>
                <w:rFonts w:hint="eastAsia" w:ascii="仿宋_GB2312" w:hAnsi="仿宋_GB2312" w:eastAsia="仿宋_GB2312" w:cs="仿宋_GB2312"/>
                <w:color w:val="auto"/>
                <w:lang w:eastAsia="zh-CN"/>
              </w:rPr>
              <w:t>年度</w:t>
            </w:r>
          </w:p>
        </w:tc>
      </w:tr>
      <w:tr w14:paraId="4AA0D19C">
        <w:trPr>
          <w:trHeight w:val="23" w:hRule="atLeast"/>
        </w:trPr>
        <w:tc>
          <w:tcPr>
            <w:tcW w:w="689" w:type="pct"/>
            <w:vMerge w:val="continue"/>
            <w:noWrap/>
            <w:vAlign w:val="center"/>
          </w:tcPr>
          <w:p w14:paraId="1C924C0A">
            <w:pPr>
              <w:pStyle w:val="23"/>
              <w:keepNext w:val="0"/>
              <w:keepLines w:val="0"/>
              <w:pageBreakBefore w:val="0"/>
              <w:widowControl w:val="0"/>
              <w:kinsoku/>
              <w:wordWrap/>
              <w:overflowPunct/>
              <w:topLinePunct w:val="0"/>
              <w:autoSpaceDE/>
              <w:autoSpaceDN/>
              <w:bidi w:val="0"/>
              <w:adjustRightInd w:val="0"/>
              <w:snapToGrid w:val="0"/>
              <w:spacing w:beforeLines="0" w:afterLines="0" w:line="360" w:lineRule="exact"/>
              <w:jc w:val="both"/>
              <w:rPr>
                <w:rFonts w:hint="eastAsia" w:ascii="仿宋_GB2312" w:hAnsi="仿宋_GB2312" w:eastAsia="仿宋_GB2312" w:cs="仿宋_GB2312"/>
                <w:color w:val="auto"/>
              </w:rPr>
            </w:pPr>
          </w:p>
        </w:tc>
        <w:tc>
          <w:tcPr>
            <w:tcW w:w="1862" w:type="pct"/>
            <w:noWrap/>
            <w:vAlign w:val="center"/>
          </w:tcPr>
          <w:p w14:paraId="01121599">
            <w:pPr>
              <w:pStyle w:val="23"/>
              <w:keepNext w:val="0"/>
              <w:keepLines w:val="0"/>
              <w:pageBreakBefore w:val="0"/>
              <w:widowControl w:val="0"/>
              <w:suppressLineNumbers w:val="0"/>
              <w:kinsoku/>
              <w:wordWrap/>
              <w:overflowPunct/>
              <w:topLinePunct w:val="0"/>
              <w:autoSpaceDE/>
              <w:autoSpaceDN/>
              <w:bidi w:val="0"/>
              <w:adjustRightInd w:val="0"/>
              <w:snapToGrid w:val="0"/>
              <w:spacing w:beforeLines="0" w:afterLines="0" w:line="360" w:lineRule="exact"/>
              <w:ind w:left="0" w:leftChars="0" w:firstLineChars="0"/>
              <w:jc w:val="both"/>
              <w:textAlignment w:val="center"/>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br w:type="textWrapping"/>
            </w:r>
            <w:r>
              <w:rPr>
                <w:rFonts w:hint="eastAsia" w:ascii="仿宋_GB2312" w:hAnsi="仿宋_GB2312" w:eastAsia="仿宋_GB2312" w:cs="仿宋_GB2312"/>
                <w:color w:val="000000" w:themeColor="text1"/>
                <w:lang w:val="en-US" w:eastAsia="zh-CN"/>
                <w14:textFill>
                  <w14:solidFill>
                    <w14:schemeClr w14:val="tx1"/>
                  </w14:solidFill>
                </w14:textFill>
              </w:rPr>
              <w:t>区</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发展研究院</w:t>
            </w:r>
          </w:p>
          <w:p w14:paraId="19002696">
            <w:pPr>
              <w:pStyle w:val="23"/>
              <w:keepNext w:val="0"/>
              <w:keepLines w:val="0"/>
              <w:pageBreakBefore w:val="0"/>
              <w:widowControl w:val="0"/>
              <w:suppressLineNumbers w:val="0"/>
              <w:kinsoku/>
              <w:wordWrap/>
              <w:overflowPunct/>
              <w:topLinePunct w:val="0"/>
              <w:autoSpaceDE/>
              <w:autoSpaceDN/>
              <w:bidi w:val="0"/>
              <w:adjustRightInd w:val="0"/>
              <w:snapToGrid w:val="0"/>
              <w:spacing w:beforeLines="0" w:afterLines="0" w:line="360" w:lineRule="exact"/>
              <w:ind w:left="0" w:leftChars="0" w:firstLineChars="0"/>
              <w:jc w:val="both"/>
              <w:textAlignment w:val="center"/>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区平安建设中心</w:t>
            </w:r>
          </w:p>
          <w:p w14:paraId="6BFD095F">
            <w:pPr>
              <w:pStyle w:val="23"/>
              <w:keepNext w:val="0"/>
              <w:keepLines w:val="0"/>
              <w:pageBreakBefore w:val="0"/>
              <w:widowControl w:val="0"/>
              <w:suppressLineNumbers w:val="0"/>
              <w:kinsoku/>
              <w:wordWrap/>
              <w:overflowPunct/>
              <w:topLinePunct w:val="0"/>
              <w:autoSpaceDE/>
              <w:autoSpaceDN/>
              <w:bidi w:val="0"/>
              <w:adjustRightInd w:val="0"/>
              <w:snapToGrid w:val="0"/>
              <w:spacing w:beforeLines="0" w:afterLines="0" w:line="360" w:lineRule="exact"/>
              <w:ind w:left="0" w:leftChars="0" w:firstLineChars="0"/>
              <w:jc w:val="both"/>
              <w:textAlignment w:val="center"/>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市市场监管局龙华局</w:t>
            </w:r>
          </w:p>
        </w:tc>
        <w:tc>
          <w:tcPr>
            <w:tcW w:w="1084" w:type="pct"/>
            <w:noWrap/>
            <w:vAlign w:val="center"/>
          </w:tcPr>
          <w:p w14:paraId="5B5778DC">
            <w:pPr>
              <w:pStyle w:val="23"/>
              <w:keepNext w:val="0"/>
              <w:keepLines w:val="0"/>
              <w:pageBreakBefore w:val="0"/>
              <w:widowControl w:val="0"/>
              <w:kinsoku/>
              <w:wordWrap/>
              <w:overflowPunct/>
              <w:topLinePunct w:val="0"/>
              <w:autoSpaceDE/>
              <w:autoSpaceDN/>
              <w:bidi w:val="0"/>
              <w:adjustRightInd w:val="0"/>
              <w:snapToGrid w:val="0"/>
              <w:spacing w:beforeLines="0" w:afterLines="0" w:line="360" w:lineRule="exact"/>
              <w:jc w:val="both"/>
              <w:textAlignment w:val="auto"/>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统一社会信用代码、组织机构代码、企业名称、注册地址、专精特新类型（国家级/省级/市级）、是否国家高新技术企业（国高）、国高企业编码、空间坐标（geom，OGC WKT格式）。</w:t>
            </w:r>
          </w:p>
        </w:tc>
        <w:tc>
          <w:tcPr>
            <w:tcW w:w="703" w:type="pct"/>
            <w:noWrap/>
            <w:vAlign w:val="center"/>
          </w:tcPr>
          <w:p w14:paraId="724607C0">
            <w:pPr>
              <w:pStyle w:val="23"/>
              <w:keepNext w:val="0"/>
              <w:keepLines w:val="0"/>
              <w:pageBreakBefore w:val="0"/>
              <w:widowControl w:val="0"/>
              <w:suppressLineNumbers w:val="0"/>
              <w:kinsoku/>
              <w:wordWrap/>
              <w:overflowPunct/>
              <w:topLinePunct w:val="0"/>
              <w:autoSpaceDE/>
              <w:autoSpaceDN/>
              <w:bidi w:val="0"/>
              <w:adjustRightInd w:val="0"/>
              <w:snapToGrid w:val="0"/>
              <w:spacing w:beforeLines="0" w:afterLines="0" w:line="360" w:lineRule="exact"/>
              <w:ind w:left="0" w:leftChars="0" w:firstLineChars="0"/>
              <w:jc w:val="both"/>
              <w:textAlignment w:val="center"/>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color w:val="000000" w:themeColor="text1"/>
                <w:lang w:val="en-US" w:eastAsia="zh-CN"/>
                <w14:textFill>
                  <w14:solidFill>
                    <w14:schemeClr w14:val="tx1"/>
                  </w14:solidFill>
                </w14:textFill>
              </w:rPr>
              <w:t>龙华区</w:t>
            </w:r>
          </w:p>
        </w:tc>
        <w:tc>
          <w:tcPr>
            <w:tcW w:w="660" w:type="pct"/>
            <w:noWrap/>
            <w:vAlign w:val="center"/>
          </w:tcPr>
          <w:p w14:paraId="46168A79">
            <w:pPr>
              <w:pStyle w:val="23"/>
              <w:keepNext w:val="0"/>
              <w:keepLines w:val="0"/>
              <w:pageBreakBefore w:val="0"/>
              <w:widowControl w:val="0"/>
              <w:kinsoku/>
              <w:wordWrap/>
              <w:overflowPunct/>
              <w:topLinePunct w:val="0"/>
              <w:autoSpaceDE/>
              <w:autoSpaceDN/>
              <w:bidi w:val="0"/>
              <w:adjustRightInd w:val="0"/>
              <w:snapToGrid w:val="0"/>
              <w:spacing w:beforeLines="0" w:afterLines="0" w:line="360" w:lineRule="exact"/>
              <w:ind w:left="0" w:leftChars="0" w:firstLineChars="0"/>
              <w:rPr>
                <w:rFonts w:hint="eastAsia" w:ascii="仿宋_GB2312" w:hAnsi="仿宋_GB2312" w:eastAsia="仿宋_GB2312" w:cs="仿宋_GB2312"/>
                <w:color w:val="auto"/>
                <w:lang w:eastAsia="zh-CN"/>
              </w:rPr>
            </w:pPr>
            <w:r>
              <w:rPr>
                <w:rFonts w:hint="eastAsia" w:ascii="仿宋_GB2312" w:hAnsi="仿宋_GB2312" w:eastAsia="仿宋_GB2312" w:cs="仿宋_GB2312"/>
                <w:color w:val="auto"/>
                <w:lang w:eastAsia="zh-CN"/>
              </w:rPr>
              <w:t>年度</w:t>
            </w:r>
          </w:p>
        </w:tc>
      </w:tr>
    </w:tbl>
    <w:p w14:paraId="77774CE1">
      <w:pPr>
        <w:adjustRightInd w:val="0"/>
        <w:snapToGrid w:val="0"/>
        <w:spacing w:beforeLines="0" w:afterLines="0" w:line="560" w:lineRule="exact"/>
        <w:ind w:firstLine="480" w:firstLineChars="0"/>
        <w:jc w:val="center"/>
        <w:rPr>
          <w:rFonts w:hint="eastAsia" w:asciiTheme="majorEastAsia" w:hAnsiTheme="majorEastAsia" w:eastAsiaTheme="majorEastAsia" w:cstheme="majorEastAsia"/>
          <w:color w:val="auto"/>
          <w:sz w:val="28"/>
          <w:szCs w:val="28"/>
          <w:lang w:val="en-US" w:eastAsia="zh-CN" w:bidi="ar"/>
        </w:rPr>
      </w:pPr>
      <w:r>
        <w:rPr>
          <w:rFonts w:hint="default" w:asciiTheme="majorEastAsia" w:hAnsiTheme="majorEastAsia" w:eastAsiaTheme="majorEastAsia" w:cstheme="majorEastAsia"/>
          <w:color w:val="auto"/>
          <w:sz w:val="28"/>
          <w:szCs w:val="28"/>
          <w:lang w:val="en-US" w:eastAsia="zh-CN" w:bidi="ar"/>
        </w:rPr>
        <w:t xml:space="preserve">表1 </w:t>
      </w:r>
      <w:r>
        <w:rPr>
          <w:rFonts w:hint="eastAsia" w:asciiTheme="majorEastAsia" w:hAnsiTheme="majorEastAsia" w:eastAsiaTheme="majorEastAsia" w:cstheme="majorEastAsia"/>
          <w:color w:val="auto"/>
          <w:sz w:val="28"/>
          <w:szCs w:val="28"/>
          <w:lang w:val="en-US" w:eastAsia="zh-CN" w:bidi="ar"/>
        </w:rPr>
        <w:t>第一批公共数据授权运营资源目录</w:t>
      </w:r>
    </w:p>
    <w:p w14:paraId="1BA1BFE7">
      <w:pPr>
        <w:keepNext w:val="0"/>
        <w:keepLines w:val="0"/>
        <w:pageBreakBefore w:val="0"/>
        <w:widowControl w:val="0"/>
        <w:numPr>
          <w:ilvl w:val="0"/>
          <w:numId w:val="7"/>
        </w:numPr>
        <w:kinsoku/>
        <w:wordWrap/>
        <w:overflowPunct/>
        <w:topLinePunct w:val="0"/>
        <w:autoSpaceDE/>
        <w:autoSpaceDN/>
        <w:bidi w:val="0"/>
        <w:adjustRightInd w:val="0"/>
        <w:snapToGrid w:val="0"/>
        <w:spacing w:beforeLines="0" w:afterLines="0" w:line="560" w:lineRule="exact"/>
        <w:ind w:firstLine="480" w:firstLineChars="0"/>
        <w:jc w:val="both"/>
        <w:rPr>
          <w:rFonts w:hint="eastAsia" w:ascii="楷体_GB2312" w:hAnsi="楷体_GB2312" w:eastAsia="楷体_GB2312" w:cs="楷体_GB2312"/>
          <w:color w:val="auto"/>
          <w:lang w:val="en-US" w:eastAsia="zh-CN"/>
        </w:rPr>
      </w:pPr>
      <w:r>
        <w:rPr>
          <w:rFonts w:hint="eastAsia" w:ascii="楷体_GB2312" w:hAnsi="楷体_GB2312" w:eastAsia="楷体_GB2312" w:cs="楷体_GB2312"/>
          <w:color w:val="auto"/>
          <w:lang w:val="en-US" w:eastAsia="zh-CN"/>
        </w:rPr>
        <w:t>数据质量要求</w:t>
      </w:r>
    </w:p>
    <w:p w14:paraId="0FF1BA22">
      <w:pPr>
        <w:keepNext w:val="0"/>
        <w:keepLines w:val="0"/>
        <w:pageBreakBefore w:val="0"/>
        <w:widowControl w:val="0"/>
        <w:numPr>
          <w:ilvl w:val="-1"/>
          <w:numId w:val="0"/>
        </w:numPr>
        <w:kinsoku/>
        <w:wordWrap/>
        <w:overflowPunct/>
        <w:topLinePunct w:val="0"/>
        <w:autoSpaceDE/>
        <w:autoSpaceDN/>
        <w:bidi w:val="0"/>
        <w:adjustRightInd w:val="0"/>
        <w:snapToGrid w:val="0"/>
        <w:spacing w:beforeLines="0" w:afterLines="0" w:line="560" w:lineRule="exact"/>
        <w:ind w:left="640" w:leftChars="200" w:firstLine="0" w:firstLineChars="0"/>
        <w:textAlignment w:val="auto"/>
        <w:rPr>
          <w:rFonts w:hint="eastAsia" w:ascii="仿宋_GB2312" w:hAnsi="仿宋_GB2312" w:eastAsia="仿宋_GB2312" w:cs="仿宋_GB2312"/>
          <w:color w:val="auto"/>
          <w:szCs w:val="32"/>
          <w:lang w:val="en-US" w:eastAsia="zh-CN"/>
        </w:rPr>
      </w:pPr>
      <w:r>
        <w:rPr>
          <w:rFonts w:hint="eastAsia" w:ascii="仿宋_GB2312" w:hAnsi="仿宋_GB2312" w:eastAsia="仿宋_GB2312" w:cs="仿宋_GB2312"/>
          <w:color w:val="auto"/>
          <w:szCs w:val="32"/>
          <w:lang w:val="en-US" w:eastAsia="zh-CN"/>
        </w:rPr>
        <w:t>1.完整性要求</w:t>
      </w:r>
    </w:p>
    <w:p w14:paraId="06892DFC">
      <w:pPr>
        <w:keepNext w:val="0"/>
        <w:keepLines w:val="0"/>
        <w:pageBreakBefore w:val="0"/>
        <w:widowControl w:val="0"/>
        <w:shd w:val="clear" w:color="auto" w:fill="FFFFFF"/>
        <w:kinsoku/>
        <w:wordWrap/>
        <w:overflowPunct/>
        <w:topLinePunct w:val="0"/>
        <w:autoSpaceDE/>
        <w:autoSpaceDN/>
        <w:bidi w:val="0"/>
        <w:adjustRightInd w:val="0"/>
        <w:snapToGrid w:val="0"/>
        <w:spacing w:beforeLines="0" w:afterLines="0" w:line="560" w:lineRule="exact"/>
        <w:ind w:firstLine="480" w:firstLineChars="0"/>
        <w:textAlignment w:val="auto"/>
        <w:rPr>
          <w:rFonts w:hint="eastAsia" w:ascii="仿宋_GB2312" w:hAnsi="仿宋_GB2312" w:eastAsia="仿宋_GB2312" w:cs="仿宋_GB2312"/>
          <w:color w:val="auto"/>
          <w:szCs w:val="32"/>
          <w:lang w:val="en-US" w:eastAsia="zh-CN"/>
        </w:rPr>
      </w:pPr>
      <w:r>
        <w:rPr>
          <w:rFonts w:hint="eastAsia" w:ascii="仿宋_GB2312" w:hAnsi="仿宋_GB2312" w:eastAsia="仿宋_GB2312" w:cs="仿宋_GB2312"/>
          <w:color w:val="auto"/>
          <w:szCs w:val="32"/>
          <w:lang w:val="en-US" w:eastAsia="zh-CN"/>
        </w:rPr>
        <w:t>数据供给方须确保数据字段完整、无缺失，通过数据资源登记制度实现全生命周期管理，确保授权运营数据的全域覆盖。</w:t>
      </w:r>
    </w:p>
    <w:p w14:paraId="756CE5D1">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firstLine="640" w:firstLineChars="200"/>
        <w:textAlignment w:val="auto"/>
        <w:rPr>
          <w:rFonts w:hint="eastAsia" w:ascii="仿宋_GB2312" w:hAnsi="仿宋_GB2312" w:eastAsia="仿宋_GB2312" w:cs="仿宋_GB2312"/>
          <w:color w:val="auto"/>
          <w:szCs w:val="32"/>
          <w:lang w:val="en-US" w:eastAsia="zh-CN"/>
        </w:rPr>
      </w:pPr>
      <w:r>
        <w:rPr>
          <w:rFonts w:hint="eastAsia" w:ascii="仿宋_GB2312" w:hAnsi="仿宋_GB2312" w:eastAsia="仿宋_GB2312" w:cs="仿宋_GB2312"/>
          <w:color w:val="auto"/>
          <w:szCs w:val="32"/>
          <w:lang w:val="en-US" w:eastAsia="zh-CN"/>
        </w:rPr>
        <w:t>2.准确性要求</w:t>
      </w:r>
    </w:p>
    <w:p w14:paraId="6CA8739B">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firstLine="480" w:firstLineChars="0"/>
        <w:textAlignment w:val="auto"/>
        <w:rPr>
          <w:rFonts w:hint="eastAsia" w:ascii="仿宋_GB2312" w:hAnsi="仿宋_GB2312" w:eastAsia="仿宋_GB2312" w:cs="仿宋_GB2312"/>
          <w:color w:val="auto"/>
          <w:szCs w:val="32"/>
          <w:lang w:val="en-US" w:eastAsia="zh-CN"/>
        </w:rPr>
      </w:pPr>
      <w:r>
        <w:rPr>
          <w:rFonts w:hint="eastAsia" w:ascii="仿宋_GB2312" w:hAnsi="仿宋_GB2312" w:eastAsia="仿宋_GB2312" w:cs="仿宋_GB2312"/>
          <w:color w:val="auto"/>
          <w:szCs w:val="32"/>
          <w:lang w:val="en-US" w:eastAsia="zh-CN"/>
        </w:rPr>
        <w:t>建立“一数一源”标准，强化数据源头治理，通过政务部门协同校验机制，避免数据重复录入或产生矛盾，确保数据与原始业务系统的一致性。</w:t>
      </w:r>
    </w:p>
    <w:p w14:paraId="2D0B7694">
      <w:pPr>
        <w:pStyle w:val="20"/>
        <w:keepNext w:val="0"/>
        <w:keepLines w:val="0"/>
        <w:pageBreakBefore w:val="0"/>
        <w:widowControl w:val="0"/>
        <w:numPr>
          <w:ilvl w:val="-1"/>
          <w:numId w:val="0"/>
        </w:numPr>
        <w:kinsoku/>
        <w:wordWrap/>
        <w:overflowPunct/>
        <w:topLinePunct w:val="0"/>
        <w:autoSpaceDE/>
        <w:autoSpaceDN/>
        <w:bidi w:val="0"/>
        <w:adjustRightInd w:val="0"/>
        <w:snapToGrid w:val="0"/>
        <w:ind w:firstLine="640" w:firstLineChars="200"/>
        <w:textAlignment w:val="auto"/>
        <w:rPr>
          <w:rFonts w:hint="eastAsia"/>
          <w:color w:val="auto"/>
          <w:lang w:val="en-US" w:eastAsia="zh-CN"/>
        </w:rPr>
      </w:pPr>
      <w:r>
        <w:rPr>
          <w:rFonts w:hint="eastAsia" w:ascii="仿宋_GB2312" w:hAnsi="仿宋_GB2312"/>
          <w:color w:val="auto"/>
          <w:lang w:val="en-US" w:eastAsia="zh-CN"/>
        </w:rPr>
        <w:t>3.</w:t>
      </w:r>
      <w:r>
        <w:rPr>
          <w:rFonts w:hint="eastAsia"/>
          <w:color w:val="auto"/>
          <w:lang w:val="en-US" w:eastAsia="zh-CN"/>
        </w:rPr>
        <w:t>时效性要求</w:t>
      </w:r>
    </w:p>
    <w:p w14:paraId="4E3DCF36">
      <w:pPr>
        <w:pStyle w:val="18"/>
        <w:keepNext w:val="0"/>
        <w:keepLines w:val="0"/>
        <w:pageBreakBefore w:val="0"/>
        <w:widowControl w:val="0"/>
        <w:kinsoku/>
        <w:wordWrap/>
        <w:overflowPunct/>
        <w:topLinePunct w:val="0"/>
        <w:autoSpaceDE/>
        <w:autoSpaceDN/>
        <w:bidi w:val="0"/>
        <w:adjustRightInd w:val="0"/>
        <w:snapToGrid w:val="0"/>
        <w:spacing w:beforeLines="0" w:afterLines="0"/>
        <w:ind w:firstLine="640" w:firstLineChars="200"/>
        <w:textAlignment w:val="auto"/>
        <w:rPr>
          <w:rFonts w:hint="eastAsia"/>
          <w:color w:val="auto"/>
          <w:lang w:val="en-US" w:eastAsia="zh-CN"/>
        </w:rPr>
      </w:pPr>
      <w:r>
        <w:rPr>
          <w:rFonts w:hint="eastAsia"/>
          <w:color w:val="auto"/>
          <w:lang w:val="en-US" w:eastAsia="zh-CN"/>
        </w:rPr>
        <w:t>不同领域公共数据须按行业特性设定更新频率，确保数据实时反映市场动态。探索基于区块链技术的时间戳认证，保障数据更新可追溯。</w:t>
      </w:r>
    </w:p>
    <w:p w14:paraId="292F8F9E">
      <w:pPr>
        <w:pStyle w:val="20"/>
        <w:keepNext w:val="0"/>
        <w:keepLines w:val="0"/>
        <w:pageBreakBefore w:val="0"/>
        <w:widowControl w:val="0"/>
        <w:numPr>
          <w:ilvl w:val="-1"/>
          <w:numId w:val="0"/>
        </w:numPr>
        <w:kinsoku/>
        <w:wordWrap/>
        <w:overflowPunct/>
        <w:topLinePunct w:val="0"/>
        <w:autoSpaceDE/>
        <w:autoSpaceDN/>
        <w:bidi w:val="0"/>
        <w:adjustRightInd w:val="0"/>
        <w:snapToGrid w:val="0"/>
        <w:ind w:firstLine="640" w:firstLineChars="200"/>
        <w:textAlignment w:val="auto"/>
        <w:rPr>
          <w:rFonts w:hint="default"/>
          <w:color w:val="auto"/>
          <w:lang w:val="en-US" w:eastAsia="zh-CN"/>
        </w:rPr>
      </w:pPr>
      <w:r>
        <w:rPr>
          <w:rFonts w:hint="eastAsia" w:ascii="仿宋_GB2312" w:hAnsi="仿宋_GB2312"/>
          <w:color w:val="auto"/>
          <w:lang w:val="en-US" w:eastAsia="zh-CN"/>
        </w:rPr>
        <w:t>4.</w:t>
      </w:r>
      <w:r>
        <w:rPr>
          <w:rFonts w:hint="eastAsia"/>
          <w:color w:val="auto"/>
          <w:lang w:val="en-US" w:eastAsia="zh-CN"/>
        </w:rPr>
        <w:t>规范性要求</w:t>
      </w:r>
    </w:p>
    <w:p w14:paraId="6B0828B0">
      <w:pPr>
        <w:pStyle w:val="18"/>
        <w:keepNext w:val="0"/>
        <w:keepLines w:val="0"/>
        <w:pageBreakBefore w:val="0"/>
        <w:widowControl w:val="0"/>
        <w:kinsoku/>
        <w:wordWrap/>
        <w:overflowPunct/>
        <w:topLinePunct w:val="0"/>
        <w:autoSpaceDE/>
        <w:autoSpaceDN/>
        <w:bidi w:val="0"/>
        <w:adjustRightInd w:val="0"/>
        <w:snapToGrid w:val="0"/>
        <w:spacing w:beforeLines="0" w:afterLines="0"/>
        <w:ind w:firstLine="640" w:firstLineChars="200"/>
        <w:textAlignment w:val="auto"/>
        <w:rPr>
          <w:rFonts w:hint="eastAsia" w:ascii="仿宋_GB2312" w:hAnsi="仿宋_GB2312" w:eastAsia="仿宋_GB2312" w:cs="仿宋_GB2312"/>
          <w:color w:val="auto"/>
          <w:lang w:val="en-US" w:eastAsia="zh-CN"/>
        </w:rPr>
      </w:pPr>
      <w:r>
        <w:rPr>
          <w:rFonts w:hint="eastAsia"/>
          <w:color w:val="auto"/>
          <w:lang w:val="en-US" w:eastAsia="zh-CN"/>
        </w:rPr>
        <w:t>明确各类商贸数据的字段名称、数据类型、取值范围及单位，避免字</w:t>
      </w:r>
      <w:r>
        <w:rPr>
          <w:rFonts w:hint="eastAsia" w:ascii="仿宋_GB2312" w:hAnsi="仿宋_GB2312" w:eastAsia="仿宋_GB2312" w:cs="仿宋_GB2312"/>
          <w:color w:val="auto"/>
          <w:lang w:val="en-US" w:eastAsia="zh-CN"/>
        </w:rPr>
        <w:t>段歧义和重复定义。采用国家或行业标准的编码体系，如</w:t>
      </w:r>
      <w:r>
        <w:rPr>
          <w:rFonts w:hint="eastAsia" w:ascii="仿宋_GB2312" w:hAnsi="仿宋_GB2312" w:cs="仿宋_GB2312"/>
          <w:color w:val="auto"/>
          <w:lang w:val="en-US" w:eastAsia="zh-CN"/>
        </w:rPr>
        <w:t>国民经济</w:t>
      </w:r>
      <w:r>
        <w:rPr>
          <w:rFonts w:hint="eastAsia" w:ascii="仿宋_GB2312" w:hAnsi="仿宋_GB2312" w:eastAsia="仿宋_GB2312" w:cs="仿宋_GB2312"/>
          <w:color w:val="auto"/>
          <w:lang w:val="en-US" w:eastAsia="zh-CN"/>
        </w:rPr>
        <w:t>行业分类</w:t>
      </w:r>
      <w:r>
        <w:rPr>
          <w:rFonts w:hint="eastAsia" w:ascii="仿宋_GB2312" w:hAnsi="仿宋_GB2312" w:cs="仿宋_GB2312"/>
          <w:color w:val="auto"/>
          <w:lang w:val="en-US" w:eastAsia="zh-CN"/>
        </w:rPr>
        <w:t>与</w:t>
      </w:r>
      <w:r>
        <w:rPr>
          <w:rFonts w:hint="eastAsia" w:ascii="仿宋_GB2312" w:hAnsi="仿宋_GB2312" w:eastAsia="仿宋_GB2312" w:cs="仿宋_GB2312"/>
          <w:color w:val="auto"/>
          <w:lang w:val="en-US" w:eastAsia="zh-CN"/>
        </w:rPr>
        <w:t>代码（GB/T 4754-2017）等</w:t>
      </w:r>
      <w:r>
        <w:rPr>
          <w:rFonts w:hint="eastAsia" w:ascii="仿宋_GB2312" w:hAnsi="仿宋_GB2312" w:cs="仿宋_GB2312"/>
          <w:color w:val="auto"/>
          <w:lang w:val="en-US" w:eastAsia="zh-CN"/>
        </w:rPr>
        <w:t>标准要求</w:t>
      </w:r>
      <w:r>
        <w:rPr>
          <w:rFonts w:hint="eastAsia" w:ascii="仿宋_GB2312" w:hAnsi="仿宋_GB2312" w:eastAsia="仿宋_GB2312" w:cs="仿宋_GB2312"/>
          <w:color w:val="auto"/>
          <w:lang w:val="en-US" w:eastAsia="zh-CN"/>
        </w:rPr>
        <w:t>，确保数据兼容性和可比性</w:t>
      </w:r>
      <w:r>
        <w:rPr>
          <w:rFonts w:hint="eastAsia" w:ascii="仿宋_GB2312" w:hAnsi="仿宋_GB2312" w:cs="仿宋_GB2312"/>
          <w:color w:val="auto"/>
          <w:lang w:val="en-US" w:eastAsia="zh-CN"/>
        </w:rPr>
        <w:t>。</w:t>
      </w:r>
    </w:p>
    <w:p w14:paraId="5AC2AB7B">
      <w:pPr>
        <w:pStyle w:val="17"/>
        <w:keepNext w:val="0"/>
        <w:keepLines w:val="0"/>
        <w:pageBreakBefore w:val="0"/>
        <w:widowControl w:val="0"/>
        <w:kinsoku/>
        <w:wordWrap/>
        <w:overflowPunct/>
        <w:topLinePunct w:val="0"/>
        <w:autoSpaceDE/>
        <w:autoSpaceDN/>
        <w:bidi w:val="0"/>
        <w:adjustRightInd w:val="0"/>
        <w:snapToGrid w:val="0"/>
        <w:jc w:val="both"/>
        <w:rPr>
          <w:rFonts w:hint="eastAsia"/>
          <w:color w:val="auto"/>
          <w:lang w:val="en-US" w:eastAsia="zh-CN"/>
        </w:rPr>
      </w:pPr>
      <w:r>
        <w:rPr>
          <w:rFonts w:hint="eastAsia"/>
          <w:color w:val="auto"/>
          <w:lang w:val="en-US" w:eastAsia="zh-CN"/>
        </w:rPr>
        <w:t>授权运营机制</w:t>
      </w:r>
    </w:p>
    <w:p w14:paraId="0B23EEEE">
      <w:pPr>
        <w:pStyle w:val="19"/>
        <w:keepNext w:val="0"/>
        <w:keepLines w:val="0"/>
        <w:pageBreakBefore w:val="0"/>
        <w:widowControl w:val="0"/>
        <w:numPr>
          <w:ilvl w:val="0"/>
          <w:numId w:val="8"/>
        </w:numPr>
        <w:kinsoku/>
        <w:wordWrap/>
        <w:overflowPunct/>
        <w:topLinePunct w:val="0"/>
        <w:autoSpaceDE/>
        <w:autoSpaceDN/>
        <w:bidi w:val="0"/>
        <w:adjustRightInd w:val="0"/>
        <w:snapToGrid w:val="0"/>
        <w:jc w:val="both"/>
        <w:rPr>
          <w:rFonts w:hint="eastAsia"/>
          <w:color w:val="auto"/>
          <w:lang w:val="en-US" w:eastAsia="zh-CN"/>
        </w:rPr>
      </w:pPr>
      <w:r>
        <w:rPr>
          <w:rFonts w:hint="eastAsia"/>
          <w:color w:val="auto"/>
          <w:lang w:val="en-US" w:eastAsia="zh-CN"/>
        </w:rPr>
        <w:t>授权期限</w:t>
      </w:r>
    </w:p>
    <w:p w14:paraId="2E2F9457">
      <w:pPr>
        <w:pStyle w:val="18"/>
        <w:keepNext w:val="0"/>
        <w:keepLines w:val="0"/>
        <w:pageBreakBefore w:val="0"/>
        <w:widowControl w:val="0"/>
        <w:kinsoku/>
        <w:wordWrap/>
        <w:overflowPunct/>
        <w:topLinePunct w:val="0"/>
        <w:autoSpaceDE/>
        <w:autoSpaceDN/>
        <w:bidi w:val="0"/>
        <w:adjustRightInd w:val="0"/>
        <w:snapToGrid w:val="0"/>
        <w:spacing w:beforeLines="0" w:afterLines="0"/>
        <w:jc w:val="both"/>
        <w:rPr>
          <w:rFonts w:hint="eastAsia"/>
          <w:color w:val="auto"/>
          <w:lang w:val="en-US" w:eastAsia="zh-CN"/>
        </w:rPr>
      </w:pPr>
      <w:r>
        <w:rPr>
          <w:rFonts w:hint="eastAsia"/>
          <w:color w:val="auto"/>
          <w:lang w:val="en-US" w:eastAsia="zh-CN"/>
        </w:rPr>
        <w:t>公共数据资源授权运营期限</w:t>
      </w:r>
      <w:r>
        <w:rPr>
          <w:rFonts w:hint="eastAsia" w:ascii="仿宋_GB2312" w:hAnsi="仿宋_GB2312" w:eastAsia="仿宋_GB2312" w:cs="仿宋_GB2312"/>
          <w:color w:val="auto"/>
          <w:lang w:val="en-US" w:eastAsia="zh-CN"/>
        </w:rPr>
        <w:t>为</w:t>
      </w:r>
      <w:r>
        <w:rPr>
          <w:rFonts w:hint="eastAsia" w:ascii="仿宋_GB2312" w:hAnsi="仿宋_GB2312" w:eastAsia="仿宋_GB2312" w:cs="仿宋_GB2312"/>
          <w:color w:val="auto"/>
          <w:u w:val="none"/>
          <w:lang w:val="en-US" w:eastAsia="zh-CN"/>
        </w:rPr>
        <w:t>5</w:t>
      </w:r>
      <w:r>
        <w:rPr>
          <w:rFonts w:hint="eastAsia"/>
          <w:color w:val="auto"/>
          <w:lang w:val="en-US" w:eastAsia="zh-CN"/>
        </w:rPr>
        <w:t>年。</w:t>
      </w:r>
    </w:p>
    <w:p w14:paraId="12FE39D2">
      <w:pPr>
        <w:pStyle w:val="19"/>
        <w:keepNext w:val="0"/>
        <w:keepLines w:val="0"/>
        <w:pageBreakBefore w:val="0"/>
        <w:widowControl w:val="0"/>
        <w:numPr>
          <w:ilvl w:val="0"/>
          <w:numId w:val="8"/>
        </w:numPr>
        <w:kinsoku/>
        <w:wordWrap/>
        <w:overflowPunct/>
        <w:topLinePunct w:val="0"/>
        <w:autoSpaceDE/>
        <w:autoSpaceDN/>
        <w:bidi w:val="0"/>
        <w:adjustRightInd w:val="0"/>
        <w:snapToGrid w:val="0"/>
        <w:jc w:val="both"/>
        <w:rPr>
          <w:rFonts w:hint="eastAsia"/>
          <w:color w:val="auto"/>
          <w:lang w:val="en-US" w:eastAsia="zh-CN"/>
        </w:rPr>
      </w:pPr>
      <w:r>
        <w:rPr>
          <w:rFonts w:hint="eastAsia"/>
          <w:color w:val="auto"/>
          <w:lang w:val="en-US" w:eastAsia="zh-CN"/>
        </w:rPr>
        <w:t>建设内容</w:t>
      </w:r>
    </w:p>
    <w:p w14:paraId="6C533DF6">
      <w:pPr>
        <w:pStyle w:val="20"/>
        <w:keepNext w:val="0"/>
        <w:keepLines w:val="0"/>
        <w:pageBreakBefore w:val="0"/>
        <w:widowControl w:val="0"/>
        <w:numPr>
          <w:ilvl w:val="0"/>
          <w:numId w:val="0"/>
        </w:numPr>
        <w:suppressLineNumbers w:val="0"/>
        <w:tabs>
          <w:tab w:val="left" w:pos="399"/>
        </w:tabs>
        <w:kinsoku/>
        <w:wordWrap/>
        <w:overflowPunct/>
        <w:topLinePunct w:val="0"/>
        <w:autoSpaceDE/>
        <w:autoSpaceDN/>
        <w:bidi w:val="0"/>
        <w:adjustRightInd w:val="0"/>
        <w:snapToGrid w:val="0"/>
        <w:ind w:left="640" w:leftChars="200"/>
        <w:jc w:val="both"/>
        <w:rPr>
          <w:rFonts w:hint="eastAsia" w:ascii="Times New Roman" w:hAnsi="Times New Roman" w:eastAsia="仿宋_GB2312" w:cs="仿宋_GB2312"/>
          <w:color w:val="auto"/>
          <w:kern w:val="0"/>
          <w:sz w:val="32"/>
          <w:szCs w:val="21"/>
          <w:lang w:val="en-US" w:eastAsia="zh-CN" w:bidi="ar-SA"/>
        </w:rPr>
      </w:pPr>
      <w:r>
        <w:rPr>
          <w:rFonts w:hint="eastAsia" w:ascii="仿宋_GB2312" w:hAnsi="仿宋_GB2312" w:eastAsia="仿宋_GB2312" w:cs="仿宋_GB2312"/>
          <w:color w:val="auto"/>
          <w:kern w:val="0"/>
          <w:sz w:val="32"/>
          <w:szCs w:val="21"/>
          <w:lang w:val="en-US" w:eastAsia="zh-CN" w:bidi="ar-SA"/>
        </w:rPr>
        <w:t>1.</w:t>
      </w:r>
      <w:r>
        <w:rPr>
          <w:rFonts w:hint="eastAsia" w:ascii="Times New Roman" w:hAnsi="Times New Roman" w:eastAsia="仿宋_GB2312" w:cs="仿宋_GB2312"/>
          <w:color w:val="auto"/>
          <w:kern w:val="0"/>
          <w:sz w:val="32"/>
          <w:szCs w:val="21"/>
          <w:lang w:val="en-US" w:eastAsia="zh-CN" w:bidi="ar-SA"/>
        </w:rPr>
        <w:t>探索</w:t>
      </w:r>
      <w:r>
        <w:rPr>
          <w:rFonts w:hint="eastAsia" w:cs="仿宋_GB2312"/>
          <w:color w:val="auto"/>
          <w:kern w:val="0"/>
          <w:sz w:val="32"/>
          <w:szCs w:val="21"/>
          <w:lang w:val="en-US" w:eastAsia="zh-CN" w:bidi="ar-SA"/>
        </w:rPr>
        <w:t>龙华特色的</w:t>
      </w:r>
      <w:r>
        <w:rPr>
          <w:rFonts w:hint="eastAsia" w:ascii="Times New Roman" w:hAnsi="Times New Roman" w:eastAsia="仿宋_GB2312" w:cs="仿宋_GB2312"/>
          <w:color w:val="auto"/>
          <w:kern w:val="0"/>
          <w:sz w:val="32"/>
          <w:szCs w:val="21"/>
          <w:lang w:val="en-US" w:eastAsia="zh-CN" w:bidi="ar-SA"/>
        </w:rPr>
        <w:t>授权运营模式</w:t>
      </w:r>
    </w:p>
    <w:p w14:paraId="75DE4DED">
      <w:pPr>
        <w:keepNext w:val="0"/>
        <w:keepLines w:val="0"/>
        <w:pageBreakBefore w:val="0"/>
        <w:widowControl w:val="0"/>
        <w:suppressLineNumbers w:val="0"/>
        <w:kinsoku/>
        <w:wordWrap/>
        <w:overflowPunct/>
        <w:topLinePunct w:val="0"/>
        <w:autoSpaceDE/>
        <w:autoSpaceDN/>
        <w:bidi w:val="0"/>
        <w:adjustRightInd w:val="0"/>
        <w:snapToGrid w:val="0"/>
        <w:spacing w:beforeLines="0" w:afterLines="0" w:line="560" w:lineRule="exact"/>
        <w:jc w:val="both"/>
        <w:rPr>
          <w:rFonts w:hint="eastAsia"/>
          <w:color w:val="auto"/>
          <w:highlight w:val="none"/>
          <w:shd w:val="clear" w:color="FFFFFF" w:fill="D9D9D9"/>
          <w:lang w:val="en-US" w:eastAsia="zh-CN"/>
        </w:rPr>
      </w:pPr>
      <w:r>
        <w:rPr>
          <w:rFonts w:hint="eastAsia" w:ascii="仿宋_GB2312" w:hAnsi="仿宋_GB2312" w:eastAsia="仿宋_GB2312" w:cs="仿宋_GB2312"/>
          <w:color w:val="auto"/>
          <w:kern w:val="2"/>
          <w:sz w:val="32"/>
          <w:szCs w:val="24"/>
          <w:lang w:val="en-US" w:eastAsia="zh-CN" w:bidi="ar-SA"/>
        </w:rPr>
        <w:t>龙华区公共数据授权运营工作以</w:t>
      </w:r>
      <w:r>
        <w:rPr>
          <w:rFonts w:hint="eastAsia" w:ascii="Times New Roman" w:hAnsi="Times New Roman" w:eastAsia="仿宋_GB2312" w:cs="仿宋_GB2312"/>
          <w:color w:val="auto"/>
          <w:kern w:val="2"/>
          <w:sz w:val="32"/>
          <w:szCs w:val="24"/>
          <w:lang w:val="en-US" w:eastAsia="zh-CN" w:bidi="ar-SA"/>
        </w:rPr>
        <w:t>数据赋能场景为目标，以市场化运营为导向，</w:t>
      </w:r>
      <w:r>
        <w:rPr>
          <w:rFonts w:hint="eastAsia" w:ascii="仿宋_GB2312" w:hAnsi="仿宋_GB2312" w:eastAsia="仿宋_GB2312" w:cs="仿宋_GB2312"/>
          <w:color w:val="auto"/>
          <w:kern w:val="2"/>
          <w:sz w:val="32"/>
          <w:szCs w:val="24"/>
          <w:lang w:val="en-US" w:eastAsia="zh-CN" w:bidi="ar-SA"/>
        </w:rPr>
        <w:t>优先在金融服务、医疗健康、商贸流通等领域开展授权运营工作，</w:t>
      </w:r>
      <w:r>
        <w:rPr>
          <w:rFonts w:hint="eastAsia" w:ascii="Times New Roman" w:hAnsi="Times New Roman" w:eastAsia="仿宋_GB2312" w:cs="仿宋_GB2312"/>
          <w:color w:val="auto"/>
          <w:kern w:val="2"/>
          <w:sz w:val="32"/>
          <w:szCs w:val="24"/>
          <w:lang w:val="en-US" w:eastAsia="zh-CN" w:bidi="ar-SA"/>
        </w:rPr>
        <w:t>围绕金融贷款、医</w:t>
      </w:r>
      <w:r>
        <w:rPr>
          <w:rFonts w:hint="eastAsia" w:ascii="仿宋_GB2312" w:hAnsi="仿宋_GB2312" w:eastAsia="仿宋_GB2312" w:cs="仿宋_GB2312"/>
          <w:color w:val="auto"/>
          <w:kern w:val="2"/>
          <w:sz w:val="32"/>
          <w:szCs w:val="24"/>
          <w:lang w:val="en-US" w:eastAsia="zh-CN" w:bidi="ar-SA"/>
        </w:rPr>
        <w:t>疗AI模型</w:t>
      </w:r>
      <w:r>
        <w:rPr>
          <w:rFonts w:hint="eastAsia" w:ascii="Times New Roman" w:hAnsi="Times New Roman" w:eastAsia="仿宋_GB2312" w:cs="仿宋_GB2312"/>
          <w:color w:val="auto"/>
          <w:kern w:val="2"/>
          <w:sz w:val="32"/>
          <w:szCs w:val="24"/>
          <w:lang w:val="en-US" w:eastAsia="zh-CN" w:bidi="ar-SA"/>
        </w:rPr>
        <w:t>训练、跨境数据流通等应用场景</w:t>
      </w:r>
      <w:r>
        <w:rPr>
          <w:rFonts w:hint="eastAsia" w:eastAsia="仿宋_GB2312" w:cs="仿宋_GB2312"/>
          <w:color w:val="auto"/>
          <w:kern w:val="2"/>
          <w:sz w:val="32"/>
          <w:szCs w:val="24"/>
          <w:lang w:val="en-US" w:eastAsia="zh-CN" w:bidi="ar-SA"/>
        </w:rPr>
        <w:t>，</w:t>
      </w:r>
      <w:r>
        <w:rPr>
          <w:rFonts w:hint="eastAsia" w:ascii="Times New Roman" w:hAnsi="Times New Roman" w:eastAsia="仿宋_GB2312" w:cs="仿宋_GB2312"/>
          <w:color w:val="auto"/>
          <w:kern w:val="2"/>
          <w:sz w:val="32"/>
          <w:szCs w:val="24"/>
          <w:lang w:val="en-US" w:eastAsia="zh-CN" w:bidi="ar-SA"/>
        </w:rPr>
        <w:t>打造</w:t>
      </w:r>
      <w:r>
        <w:rPr>
          <w:rFonts w:hint="eastAsia" w:eastAsia="仿宋_GB2312" w:cs="仿宋_GB2312"/>
          <w:color w:val="auto"/>
          <w:kern w:val="2"/>
          <w:sz w:val="32"/>
          <w:szCs w:val="24"/>
          <w:lang w:val="en-US" w:eastAsia="zh-CN" w:bidi="ar-SA"/>
        </w:rPr>
        <w:t>可落地</w:t>
      </w:r>
      <w:r>
        <w:rPr>
          <w:rFonts w:hint="eastAsia" w:ascii="Times New Roman" w:hAnsi="Times New Roman" w:eastAsia="仿宋_GB2312" w:cs="仿宋_GB2312"/>
          <w:color w:val="auto"/>
          <w:kern w:val="2"/>
          <w:sz w:val="32"/>
          <w:szCs w:val="24"/>
          <w:lang w:val="en-US" w:eastAsia="zh-CN" w:bidi="ar-SA"/>
        </w:rPr>
        <w:t>数据产品和服务</w:t>
      </w:r>
      <w:r>
        <w:rPr>
          <w:rFonts w:hint="eastAsia" w:eastAsia="仿宋_GB2312" w:cs="仿宋_GB2312"/>
          <w:color w:val="auto"/>
          <w:kern w:val="2"/>
          <w:sz w:val="32"/>
          <w:szCs w:val="24"/>
          <w:lang w:val="en-US" w:eastAsia="zh-CN" w:bidi="ar-SA"/>
        </w:rPr>
        <w:t>，逐步</w:t>
      </w:r>
      <w:r>
        <w:rPr>
          <w:rFonts w:hint="eastAsia" w:ascii="Times New Roman" w:hAnsi="Times New Roman" w:eastAsia="仿宋_GB2312" w:cs="仿宋_GB2312"/>
          <w:color w:val="auto"/>
          <w:kern w:val="2"/>
          <w:sz w:val="32"/>
          <w:szCs w:val="24"/>
          <w:lang w:val="en-US" w:eastAsia="zh-CN" w:bidi="ar-SA"/>
        </w:rPr>
        <w:t>建立运转顺畅、有效管用、保障有力的公共数据授权运营</w:t>
      </w:r>
      <w:r>
        <w:rPr>
          <w:rFonts w:hint="eastAsia" w:eastAsia="仿宋_GB2312" w:cs="仿宋_GB2312"/>
          <w:color w:val="auto"/>
          <w:kern w:val="2"/>
          <w:sz w:val="32"/>
          <w:szCs w:val="24"/>
          <w:lang w:val="en-US" w:eastAsia="zh-CN" w:bidi="ar-SA"/>
        </w:rPr>
        <w:t>模式</w:t>
      </w:r>
      <w:r>
        <w:rPr>
          <w:rFonts w:hint="eastAsia" w:ascii="仿宋_GB2312" w:hAnsi="仿宋_GB2312" w:eastAsia="仿宋_GB2312" w:cs="仿宋_GB2312"/>
          <w:color w:val="auto"/>
          <w:kern w:val="2"/>
          <w:sz w:val="32"/>
          <w:szCs w:val="24"/>
          <w:lang w:val="en-US" w:eastAsia="zh-CN" w:bidi="ar-SA"/>
        </w:rPr>
        <w:t>。</w:t>
      </w:r>
    </w:p>
    <w:p w14:paraId="759E017E">
      <w:pPr>
        <w:pStyle w:val="20"/>
        <w:keepNext w:val="0"/>
        <w:keepLines w:val="0"/>
        <w:pageBreakBefore w:val="0"/>
        <w:widowControl w:val="0"/>
        <w:numPr>
          <w:ilvl w:val="0"/>
          <w:numId w:val="0"/>
        </w:numPr>
        <w:tabs>
          <w:tab w:val="left" w:pos="399"/>
        </w:tabs>
        <w:kinsoku/>
        <w:wordWrap/>
        <w:overflowPunct/>
        <w:topLinePunct w:val="0"/>
        <w:autoSpaceDE/>
        <w:autoSpaceDN/>
        <w:bidi w:val="0"/>
        <w:adjustRightInd w:val="0"/>
        <w:snapToGrid w:val="0"/>
        <w:ind w:leftChars="0" w:firstLine="640" w:firstLineChars="200"/>
        <w:jc w:val="both"/>
        <w:textAlignment w:val="auto"/>
        <w:rPr>
          <w:rFonts w:hint="eastAsia"/>
          <w:color w:val="auto"/>
          <w:lang w:val="en-US" w:eastAsia="zh-CN"/>
        </w:rPr>
      </w:pPr>
      <w:r>
        <w:rPr>
          <w:rFonts w:hint="eastAsia" w:ascii="仿宋_GB2312" w:hAnsi="仿宋_GB2312"/>
          <w:color w:val="auto"/>
          <w:lang w:val="en-US" w:eastAsia="zh-CN"/>
        </w:rPr>
        <w:t>2.</w:t>
      </w:r>
      <w:r>
        <w:rPr>
          <w:rFonts w:hint="eastAsia"/>
          <w:color w:val="auto"/>
          <w:lang w:val="en-US" w:eastAsia="zh-CN"/>
        </w:rPr>
        <w:t>建立健全三级联动授权管理机制</w:t>
      </w:r>
    </w:p>
    <w:p w14:paraId="650F529E">
      <w:pPr>
        <w:keepNext w:val="0"/>
        <w:keepLines w:val="0"/>
        <w:pageBreakBefore w:val="0"/>
        <w:widowControl w:val="0"/>
        <w:numPr>
          <w:ilvl w:val="0"/>
          <w:numId w:val="0"/>
        </w:numPr>
        <w:tabs>
          <w:tab w:val="left" w:pos="1303"/>
        </w:tabs>
        <w:kinsoku/>
        <w:wordWrap/>
        <w:overflowPunct/>
        <w:topLinePunct w:val="0"/>
        <w:autoSpaceDE/>
        <w:autoSpaceDN/>
        <w:bidi w:val="0"/>
        <w:adjustRightInd w:val="0"/>
        <w:snapToGrid w:val="0"/>
        <w:spacing w:beforeLines="0" w:afterLines="0" w:line="560" w:lineRule="exact"/>
        <w:ind w:left="0" w:leftChars="0" w:right="0" w:firstLine="640" w:firstLineChars="200"/>
        <w:jc w:val="both"/>
        <w:textAlignment w:val="auto"/>
        <w:rPr>
          <w:rFonts w:hint="eastAsia" w:ascii="仿宋_GB2312" w:hAnsi="仿宋_GB2312" w:eastAsia="仿宋_GB2312" w:cs="仿宋_GB2312"/>
          <w:b w:val="0"/>
          <w:bCs w:val="0"/>
          <w:color w:val="auto"/>
          <w:kern w:val="2"/>
          <w:sz w:val="32"/>
          <w:szCs w:val="40"/>
          <w:highlight w:val="none"/>
          <w:lang w:val="en-US" w:eastAsia="zh-CN" w:bidi="ar-SA"/>
        </w:rPr>
      </w:pPr>
      <w:r>
        <w:rPr>
          <w:rFonts w:hint="eastAsia" w:ascii="Times New Roman" w:hAnsi="Times New Roman" w:eastAsia="仿宋_GB2312" w:cs="仿宋_GB2312"/>
          <w:color w:val="auto"/>
          <w:kern w:val="2"/>
          <w:sz w:val="32"/>
          <w:szCs w:val="24"/>
          <w:lang w:val="en-US" w:eastAsia="zh-CN" w:bidi="ar-SA"/>
        </w:rPr>
        <w:t>探索建立“实施机构（授权）</w:t>
      </w:r>
      <w:r>
        <w:rPr>
          <w:rFonts w:hint="eastAsia" w:eastAsia="仿宋_GB2312" w:cs="仿宋_GB2312"/>
          <w:color w:val="auto"/>
          <w:kern w:val="2"/>
          <w:sz w:val="32"/>
          <w:szCs w:val="24"/>
          <w:lang w:val="en-US" w:eastAsia="zh-CN" w:bidi="ar-SA"/>
        </w:rPr>
        <w:t>—</w:t>
      </w:r>
      <w:r>
        <w:rPr>
          <w:rFonts w:hint="eastAsia" w:ascii="Times New Roman" w:hAnsi="Times New Roman" w:eastAsia="仿宋_GB2312" w:cs="仿宋_GB2312"/>
          <w:color w:val="auto"/>
          <w:kern w:val="2"/>
          <w:sz w:val="32"/>
          <w:szCs w:val="24"/>
          <w:lang w:val="en-US" w:eastAsia="zh-CN" w:bidi="ar-SA"/>
        </w:rPr>
        <w:t>运营机构（开发）</w:t>
      </w:r>
      <w:r>
        <w:rPr>
          <w:rFonts w:hint="eastAsia" w:eastAsia="仿宋_GB2312" w:cs="仿宋_GB2312"/>
          <w:color w:val="auto"/>
          <w:kern w:val="2"/>
          <w:sz w:val="32"/>
          <w:szCs w:val="24"/>
          <w:lang w:val="en-US" w:eastAsia="zh-CN" w:bidi="ar-SA"/>
        </w:rPr>
        <w:t>—</w:t>
      </w:r>
      <w:r>
        <w:rPr>
          <w:rFonts w:hint="eastAsia" w:ascii="Times New Roman" w:hAnsi="Times New Roman" w:eastAsia="仿宋_GB2312" w:cs="仿宋_GB2312"/>
          <w:color w:val="auto"/>
          <w:kern w:val="2"/>
          <w:sz w:val="32"/>
          <w:szCs w:val="24"/>
          <w:lang w:val="en-US" w:eastAsia="zh-CN" w:bidi="ar-SA"/>
        </w:rPr>
        <w:t>运营合作方（二次开发）”三级联动管理体系</w:t>
      </w:r>
      <w:r>
        <w:rPr>
          <w:rFonts w:hint="eastAsia" w:eastAsia="仿宋_GB2312" w:cs="仿宋_GB2312"/>
          <w:color w:val="auto"/>
          <w:kern w:val="2"/>
          <w:sz w:val="32"/>
          <w:szCs w:val="24"/>
          <w:lang w:val="en-US" w:eastAsia="zh-CN" w:bidi="ar-SA"/>
        </w:rPr>
        <w:t>。</w:t>
      </w:r>
      <w:r>
        <w:rPr>
          <w:rFonts w:hint="eastAsia" w:ascii="Times New Roman" w:hAnsi="Times New Roman" w:eastAsia="仿宋_GB2312" w:cs="仿宋_GB2312"/>
          <w:color w:val="auto"/>
          <w:kern w:val="2"/>
          <w:sz w:val="32"/>
          <w:szCs w:val="24"/>
          <w:lang w:val="en-US" w:eastAsia="zh-CN" w:bidi="ar-SA"/>
        </w:rPr>
        <w:t>由区政务和数据局作为公共数据授权运营实施机构统筹授权流程，</w:t>
      </w:r>
      <w:r>
        <w:rPr>
          <w:rFonts w:hint="eastAsia" w:ascii="仿宋_GB2312" w:hAnsi="仿宋_GB2312" w:eastAsia="仿宋_GB2312" w:cs="仿宋_GB2312"/>
          <w:color w:val="auto"/>
          <w:kern w:val="2"/>
          <w:sz w:val="32"/>
          <w:szCs w:val="24"/>
          <w:lang w:val="en-US" w:eastAsia="zh-CN" w:bidi="ar-SA"/>
        </w:rPr>
        <w:t>授权符合资质的运营机构对授权范围内的公共数据资源进行开发运营</w:t>
      </w:r>
      <w:r>
        <w:rPr>
          <w:rFonts w:hint="eastAsia" w:ascii="Times New Roman" w:hAnsi="Times New Roman" w:eastAsia="仿宋_GB2312" w:cs="仿宋_GB2312"/>
          <w:color w:val="auto"/>
          <w:kern w:val="2"/>
          <w:sz w:val="32"/>
          <w:szCs w:val="24"/>
          <w:lang w:val="en-US" w:eastAsia="zh-CN" w:bidi="ar-SA"/>
        </w:rPr>
        <w:t>。运营</w:t>
      </w:r>
      <w:r>
        <w:rPr>
          <w:rFonts w:hint="eastAsia" w:eastAsia="仿宋_GB2312" w:cs="仿宋_GB2312"/>
          <w:color w:val="auto"/>
          <w:kern w:val="2"/>
          <w:sz w:val="32"/>
          <w:szCs w:val="24"/>
          <w:lang w:val="en-US" w:eastAsia="zh-CN" w:bidi="ar-SA"/>
        </w:rPr>
        <w:t>机构</w:t>
      </w:r>
      <w:r>
        <w:rPr>
          <w:rFonts w:hint="eastAsia" w:ascii="Times New Roman" w:hAnsi="Times New Roman" w:eastAsia="仿宋_GB2312" w:cs="仿宋_GB2312"/>
          <w:color w:val="auto"/>
          <w:kern w:val="2"/>
          <w:sz w:val="32"/>
          <w:szCs w:val="24"/>
          <w:lang w:val="en-US" w:eastAsia="zh-CN" w:bidi="ar-SA"/>
        </w:rPr>
        <w:t>不得进行二次授权或转授权。</w:t>
      </w:r>
      <w:r>
        <w:rPr>
          <w:rFonts w:hint="eastAsia" w:eastAsia="仿宋_GB2312" w:cs="仿宋_GB2312"/>
          <w:color w:val="auto"/>
          <w:kern w:val="2"/>
          <w:sz w:val="32"/>
          <w:szCs w:val="24"/>
          <w:lang w:val="en-US" w:eastAsia="zh-CN" w:bidi="ar-SA"/>
        </w:rPr>
        <w:t>运营机构</w:t>
      </w:r>
      <w:r>
        <w:rPr>
          <w:rFonts w:hint="eastAsia" w:ascii="Times New Roman" w:hAnsi="Times New Roman" w:eastAsia="仿宋_GB2312" w:cs="仿宋_GB2312"/>
          <w:color w:val="auto"/>
          <w:kern w:val="2"/>
          <w:sz w:val="32"/>
          <w:szCs w:val="24"/>
          <w:lang w:val="en-US" w:eastAsia="zh-CN" w:bidi="ar-SA"/>
        </w:rPr>
        <w:t>可引入符合条件的</w:t>
      </w:r>
      <w:r>
        <w:rPr>
          <w:rFonts w:hint="eastAsia" w:eastAsia="仿宋_GB2312" w:cs="仿宋_GB2312"/>
          <w:color w:val="auto"/>
          <w:kern w:val="2"/>
          <w:sz w:val="32"/>
          <w:szCs w:val="24"/>
          <w:lang w:val="en-US" w:eastAsia="zh-CN" w:bidi="ar-SA"/>
        </w:rPr>
        <w:t>运营合作方</w:t>
      </w:r>
      <w:r>
        <w:rPr>
          <w:rFonts w:hint="eastAsia" w:ascii="Times New Roman" w:hAnsi="Times New Roman" w:eastAsia="仿宋_GB2312" w:cs="仿宋_GB2312"/>
          <w:color w:val="auto"/>
          <w:kern w:val="2"/>
          <w:sz w:val="32"/>
          <w:szCs w:val="24"/>
          <w:lang w:val="en-US" w:eastAsia="zh-CN" w:bidi="ar-SA"/>
        </w:rPr>
        <w:t>，挖掘公共数据开发应用场景，</w:t>
      </w:r>
      <w:r>
        <w:rPr>
          <w:rFonts w:hint="eastAsia" w:eastAsia="仿宋_GB2312" w:cs="仿宋_GB2312"/>
          <w:color w:val="auto"/>
          <w:kern w:val="2"/>
          <w:sz w:val="32"/>
          <w:szCs w:val="24"/>
          <w:lang w:val="en-US" w:eastAsia="zh-CN" w:bidi="ar-SA"/>
        </w:rPr>
        <w:t>合作</w:t>
      </w:r>
      <w:r>
        <w:rPr>
          <w:rFonts w:hint="eastAsia" w:ascii="Times New Roman" w:hAnsi="Times New Roman" w:eastAsia="仿宋_GB2312" w:cs="仿宋_GB2312"/>
          <w:color w:val="auto"/>
          <w:kern w:val="2"/>
          <w:sz w:val="32"/>
          <w:szCs w:val="24"/>
          <w:lang w:val="en-US" w:eastAsia="zh-CN" w:bidi="ar-SA"/>
        </w:rPr>
        <w:t>开发数据产品。</w:t>
      </w:r>
      <w:r>
        <w:rPr>
          <w:rFonts w:hint="eastAsia" w:eastAsia="仿宋_GB2312" w:cs="仿宋_GB2312"/>
          <w:color w:val="auto"/>
          <w:kern w:val="2"/>
          <w:sz w:val="32"/>
          <w:szCs w:val="24"/>
          <w:lang w:val="en-US" w:eastAsia="zh-CN" w:bidi="ar-SA"/>
        </w:rPr>
        <w:t>运营合作方</w:t>
      </w:r>
      <w:r>
        <w:rPr>
          <w:rFonts w:hint="eastAsia" w:ascii="仿宋_GB2312" w:hAnsi="仿宋_GB2312" w:eastAsia="仿宋_GB2312" w:cs="仿宋_GB2312"/>
          <w:b w:val="0"/>
          <w:bCs w:val="0"/>
          <w:color w:val="auto"/>
          <w:kern w:val="2"/>
          <w:sz w:val="32"/>
          <w:szCs w:val="40"/>
          <w:highlight w:val="none"/>
          <w:lang w:val="en-US" w:eastAsia="zh-CN" w:bidi="ar-SA"/>
        </w:rPr>
        <w:t>入驻规则、数据资源开发利用规则、安全责任规范等，由运营机构制定，经实施机构审核同意后实施。</w:t>
      </w:r>
    </w:p>
    <w:p w14:paraId="635E62AD">
      <w:pPr>
        <w:pStyle w:val="20"/>
        <w:keepNext w:val="0"/>
        <w:keepLines w:val="0"/>
        <w:pageBreakBefore w:val="0"/>
        <w:widowControl w:val="0"/>
        <w:numPr>
          <w:ilvl w:val="0"/>
          <w:numId w:val="0"/>
        </w:numPr>
        <w:tabs>
          <w:tab w:val="left" w:pos="399"/>
        </w:tabs>
        <w:kinsoku/>
        <w:wordWrap/>
        <w:overflowPunct/>
        <w:topLinePunct w:val="0"/>
        <w:autoSpaceDE/>
        <w:autoSpaceDN/>
        <w:bidi w:val="0"/>
        <w:adjustRightInd w:val="0"/>
        <w:snapToGrid w:val="0"/>
        <w:spacing w:line="560" w:lineRule="exact"/>
        <w:ind w:left="0" w:leftChars="0" w:right="0" w:firstLineChars="200"/>
        <w:jc w:val="both"/>
        <w:textAlignment w:val="auto"/>
        <w:rPr>
          <w:rFonts w:hint="eastAsia" w:ascii="Times New Roman" w:hAnsi="Times New Roman" w:eastAsia="仿宋_GB2312" w:cs="仿宋_GB2312"/>
          <w:b w:val="0"/>
          <w:color w:val="auto"/>
          <w:kern w:val="0"/>
          <w:sz w:val="32"/>
          <w:highlight w:val="none"/>
          <w:lang w:val="en-US" w:eastAsia="zh-CN" w:bidi="ar-SA"/>
        </w:rPr>
      </w:pPr>
      <w:r>
        <w:rPr>
          <w:rFonts w:hint="eastAsia" w:ascii="仿宋_GB2312" w:hAnsi="仿宋_GB2312" w:eastAsia="仿宋_GB2312" w:cs="仿宋_GB2312"/>
          <w:b w:val="0"/>
          <w:color w:val="auto"/>
          <w:kern w:val="0"/>
          <w:sz w:val="32"/>
          <w:highlight w:val="none"/>
          <w:lang w:val="en-US" w:eastAsia="zh-CN" w:bidi="ar-SA"/>
        </w:rPr>
        <w:t>3.</w:t>
      </w:r>
      <w:r>
        <w:rPr>
          <w:rFonts w:hint="eastAsia" w:ascii="Times New Roman" w:hAnsi="Times New Roman" w:eastAsia="仿宋_GB2312" w:cs="仿宋_GB2312"/>
          <w:b w:val="0"/>
          <w:color w:val="auto"/>
          <w:kern w:val="0"/>
          <w:sz w:val="32"/>
          <w:highlight w:val="none"/>
          <w:lang w:val="en-US" w:eastAsia="zh-CN" w:bidi="ar-SA"/>
        </w:rPr>
        <w:t>构建</w:t>
      </w:r>
      <w:r>
        <w:rPr>
          <w:rFonts w:hint="eastAsia" w:cs="仿宋_GB2312"/>
          <w:b w:val="0"/>
          <w:color w:val="auto"/>
          <w:kern w:val="0"/>
          <w:sz w:val="32"/>
          <w:lang w:val="en-US" w:eastAsia="zh-CN" w:bidi="ar-SA"/>
        </w:rPr>
        <w:t>可信数据</w:t>
      </w:r>
      <w:r>
        <w:rPr>
          <w:rFonts w:hint="eastAsia" w:ascii="Times New Roman" w:hAnsi="Times New Roman" w:eastAsia="仿宋_GB2312" w:cs="仿宋_GB2312"/>
          <w:b w:val="0"/>
          <w:color w:val="auto"/>
          <w:kern w:val="0"/>
          <w:sz w:val="32"/>
          <w:highlight w:val="none"/>
          <w:lang w:val="en-US" w:eastAsia="zh-CN" w:bidi="ar-SA"/>
        </w:rPr>
        <w:t>授权运营安全域</w:t>
      </w:r>
    </w:p>
    <w:p w14:paraId="128ADA9C">
      <w:pPr>
        <w:pStyle w:val="18"/>
        <w:keepNext w:val="0"/>
        <w:keepLines w:val="0"/>
        <w:pageBreakBefore w:val="0"/>
        <w:widowControl w:val="0"/>
        <w:kinsoku/>
        <w:wordWrap/>
        <w:overflowPunct/>
        <w:topLinePunct w:val="0"/>
        <w:autoSpaceDE/>
        <w:autoSpaceDN/>
        <w:bidi w:val="0"/>
        <w:adjustRightInd w:val="0"/>
        <w:snapToGrid w:val="0"/>
        <w:spacing w:beforeLines="0" w:afterLines="0"/>
        <w:jc w:val="both"/>
        <w:rPr>
          <w:rFonts w:hint="eastAsia" w:ascii="Times New Roman" w:hAnsi="Times New Roman" w:eastAsia="仿宋_GB2312" w:cs="仿宋_GB2312"/>
          <w:snapToGrid/>
          <w:color w:val="auto"/>
          <w:kern w:val="2"/>
          <w:sz w:val="32"/>
          <w:szCs w:val="24"/>
          <w:u w:val="none"/>
          <w:lang w:val="en-US" w:eastAsia="zh-CN" w:bidi="ar-SA"/>
        </w:rPr>
      </w:pPr>
      <w:r>
        <w:rPr>
          <w:rFonts w:hint="eastAsia" w:ascii="仿宋_GB2312" w:hAnsi="黑体" w:eastAsia="仿宋_GB2312" w:cs="Times New Roman"/>
          <w:b w:val="0"/>
          <w:color w:val="auto"/>
          <w:kern w:val="0"/>
          <w:sz w:val="32"/>
          <w:highlight w:val="none"/>
          <w:lang w:val="en-US" w:eastAsia="zh-CN" w:bidi="ar-SA"/>
        </w:rPr>
        <w:t>建立健全安全可控的开发利用环境，充分利用现有信息系统资源，鼓励集约化建设，支持隐私计算等安全可信流通技术应用，确保数据资源开发利用过程可管、可控、可追溯。授权运营域作为本行政区域内统一的公共数据授权运营通道和管理平台</w:t>
      </w:r>
      <w:r>
        <w:rPr>
          <w:rFonts w:hint="default" w:ascii="仿宋_GB2312" w:hAnsi="黑体" w:eastAsia="仿宋_GB2312" w:cs="Times New Roman"/>
          <w:b w:val="0"/>
          <w:color w:val="auto"/>
          <w:kern w:val="0"/>
          <w:sz w:val="32"/>
          <w:highlight w:val="none"/>
          <w:lang w:val="en-US" w:eastAsia="zh-CN" w:bidi="ar-SA"/>
        </w:rPr>
        <w:t>。</w:t>
      </w:r>
      <w:r>
        <w:rPr>
          <w:rFonts w:hint="eastAsia" w:cs="仿宋_GB2312"/>
          <w:snapToGrid/>
          <w:color w:val="auto"/>
          <w:kern w:val="2"/>
          <w:sz w:val="32"/>
          <w:szCs w:val="24"/>
          <w:u w:val="none"/>
          <w:lang w:val="en-US" w:eastAsia="zh-CN" w:bidi="ar-SA"/>
        </w:rPr>
        <w:t>针对敏感数据，</w:t>
      </w:r>
      <w:r>
        <w:rPr>
          <w:rFonts w:hint="eastAsia" w:ascii="Times New Roman" w:hAnsi="Times New Roman" w:eastAsia="仿宋_GB2312" w:cs="仿宋_GB2312"/>
          <w:snapToGrid/>
          <w:color w:val="auto"/>
          <w:kern w:val="2"/>
          <w:sz w:val="32"/>
          <w:szCs w:val="24"/>
          <w:u w:val="none"/>
          <w:lang w:val="en-US" w:eastAsia="zh-CN" w:bidi="ar-SA"/>
        </w:rPr>
        <w:t>通过隐私计算</w:t>
      </w:r>
      <w:r>
        <w:rPr>
          <w:rFonts w:hint="eastAsia" w:cs="仿宋_GB2312"/>
          <w:snapToGrid/>
          <w:color w:val="auto"/>
          <w:kern w:val="2"/>
          <w:sz w:val="32"/>
          <w:szCs w:val="24"/>
          <w:u w:val="none"/>
          <w:lang w:val="en-US" w:eastAsia="zh-CN" w:bidi="ar-SA"/>
        </w:rPr>
        <w:t>、区块链、数据加密等技术</w:t>
      </w:r>
      <w:r>
        <w:rPr>
          <w:rFonts w:hint="eastAsia" w:ascii="Times New Roman" w:hAnsi="Times New Roman" w:eastAsia="仿宋_GB2312" w:cs="仿宋_GB2312"/>
          <w:snapToGrid/>
          <w:color w:val="auto"/>
          <w:kern w:val="2"/>
          <w:sz w:val="32"/>
          <w:szCs w:val="24"/>
          <w:u w:val="none"/>
          <w:lang w:val="en-US" w:eastAsia="zh-CN" w:bidi="ar-SA"/>
        </w:rPr>
        <w:t>确保数据在授权运营过程中的安全性和合规性。</w:t>
      </w:r>
    </w:p>
    <w:p w14:paraId="42E182E9">
      <w:pPr>
        <w:pStyle w:val="20"/>
        <w:keepNext w:val="0"/>
        <w:keepLines w:val="0"/>
        <w:pageBreakBefore w:val="0"/>
        <w:widowControl w:val="0"/>
        <w:numPr>
          <w:ilvl w:val="0"/>
          <w:numId w:val="0"/>
        </w:numPr>
        <w:kinsoku/>
        <w:wordWrap/>
        <w:overflowPunct/>
        <w:topLinePunct w:val="0"/>
        <w:autoSpaceDE/>
        <w:autoSpaceDN/>
        <w:bidi w:val="0"/>
        <w:adjustRightInd w:val="0"/>
        <w:snapToGrid w:val="0"/>
        <w:ind w:leftChars="0" w:firstLine="640" w:firstLineChars="200"/>
        <w:jc w:val="both"/>
        <w:rPr>
          <w:rFonts w:hint="eastAsia"/>
          <w:color w:val="auto"/>
          <w:lang w:val="en-US" w:eastAsia="zh-CN"/>
        </w:rPr>
      </w:pPr>
      <w:r>
        <w:rPr>
          <w:rFonts w:hint="eastAsia" w:ascii="仿宋_GB2312" w:hAnsi="仿宋_GB2312"/>
          <w:color w:val="auto"/>
          <w:lang w:val="en-US" w:eastAsia="zh-CN"/>
        </w:rPr>
        <w:t>4.</w:t>
      </w:r>
      <w:r>
        <w:rPr>
          <w:rFonts w:hint="eastAsia"/>
          <w:color w:val="auto"/>
          <w:lang w:val="en-US" w:eastAsia="zh-CN"/>
        </w:rPr>
        <w:t>实施推进双轨运营监管机制</w:t>
      </w:r>
    </w:p>
    <w:p w14:paraId="5DA64668">
      <w:pPr>
        <w:pStyle w:val="18"/>
        <w:keepNext w:val="0"/>
        <w:keepLines w:val="0"/>
        <w:pageBreakBefore w:val="0"/>
        <w:widowControl w:val="0"/>
        <w:kinsoku/>
        <w:wordWrap/>
        <w:overflowPunct/>
        <w:topLinePunct w:val="0"/>
        <w:autoSpaceDE/>
        <w:autoSpaceDN/>
        <w:bidi w:val="0"/>
        <w:adjustRightInd w:val="0"/>
        <w:snapToGrid w:val="0"/>
        <w:spacing w:beforeLines="0" w:afterLines="0"/>
        <w:jc w:val="both"/>
        <w:rPr>
          <w:rFonts w:hint="eastAsia"/>
          <w:color w:val="auto"/>
          <w:lang w:val="en-US" w:eastAsia="zh-CN"/>
        </w:rPr>
      </w:pPr>
      <w:r>
        <w:rPr>
          <w:rFonts w:hint="eastAsia"/>
          <w:color w:val="auto"/>
          <w:lang w:val="en-US" w:eastAsia="zh-CN"/>
        </w:rPr>
        <w:t>建立“政府监管</w:t>
      </w:r>
      <w:r>
        <w:rPr>
          <w:rFonts w:hint="eastAsia" w:ascii="仿宋_GB2312" w:hAnsi="仿宋_GB2312" w:eastAsia="仿宋_GB2312" w:cs="仿宋_GB2312"/>
          <w:color w:val="auto"/>
          <w:lang w:val="en-US" w:eastAsia="zh-CN"/>
        </w:rPr>
        <w:t>+</w:t>
      </w:r>
      <w:r>
        <w:rPr>
          <w:rFonts w:hint="eastAsia"/>
          <w:color w:val="auto"/>
          <w:lang w:val="en-US" w:eastAsia="zh-CN"/>
        </w:rPr>
        <w:t>社会监督”模式，运营机构需</w:t>
      </w:r>
      <w:r>
        <w:rPr>
          <w:rFonts w:hint="eastAsia" w:ascii="仿宋_GB2312" w:hAnsi="仿宋_GB2312" w:eastAsia="仿宋_GB2312" w:cs="仿宋_GB2312"/>
          <w:color w:val="auto"/>
          <w:highlight w:val="none"/>
          <w:lang w:val="en-US" w:eastAsia="zh-CN"/>
        </w:rPr>
        <w:t>制定并动态调整数据产品服务清单，明确服务内容、响应时限及收费标准。通过官方网站、政务服务平台等渠道及时向社会公布，原则上每季度至少更新一次，优先满足公益性数据服务需求，切实提高服务的透明度与可及性。</w:t>
      </w:r>
      <w:r>
        <w:rPr>
          <w:rFonts w:hint="eastAsia"/>
          <w:color w:val="auto"/>
          <w:lang w:val="en-US" w:eastAsia="zh-CN"/>
        </w:rPr>
        <w:t>运营机构协同区网信等监督机构履行数据安全与合规监管义务；公众有权对公共数据的授权运营活动进行监督，并向实施机构提出意见和建议。</w:t>
      </w:r>
    </w:p>
    <w:p w14:paraId="1448FEFF">
      <w:pPr>
        <w:pStyle w:val="18"/>
        <w:keepNext w:val="0"/>
        <w:keepLines w:val="0"/>
        <w:pageBreakBefore w:val="0"/>
        <w:widowControl w:val="0"/>
        <w:kinsoku/>
        <w:wordWrap/>
        <w:overflowPunct/>
        <w:topLinePunct w:val="0"/>
        <w:autoSpaceDE/>
        <w:autoSpaceDN/>
        <w:bidi w:val="0"/>
        <w:adjustRightInd w:val="0"/>
        <w:snapToGrid w:val="0"/>
        <w:spacing w:beforeLines="0" w:afterLines="0"/>
        <w:jc w:val="both"/>
        <w:rPr>
          <w:rFonts w:hint="eastAsia"/>
          <w:color w:val="auto"/>
          <w:lang w:val="en-US" w:eastAsia="zh-CN"/>
        </w:rPr>
      </w:pPr>
      <w:r>
        <w:rPr>
          <w:rFonts w:hint="eastAsia"/>
          <w:color w:val="auto"/>
          <w:lang w:val="en-US" w:eastAsia="zh-CN"/>
        </w:rPr>
        <w:t>同时，明确禁止运营机构利用数据优势实施价格垄断或签订排他性协议，对涉及民生物资流通的数据服务实行政府指导定价。</w:t>
      </w:r>
    </w:p>
    <w:p w14:paraId="3E9FB5E7">
      <w:pPr>
        <w:pStyle w:val="19"/>
        <w:keepNext w:val="0"/>
        <w:keepLines w:val="0"/>
        <w:pageBreakBefore w:val="0"/>
        <w:widowControl w:val="0"/>
        <w:kinsoku/>
        <w:wordWrap/>
        <w:overflowPunct/>
        <w:topLinePunct w:val="0"/>
        <w:autoSpaceDE/>
        <w:autoSpaceDN/>
        <w:bidi w:val="0"/>
        <w:adjustRightInd w:val="0"/>
        <w:snapToGrid w:val="0"/>
        <w:jc w:val="both"/>
        <w:rPr>
          <w:rFonts w:hint="default"/>
          <w:color w:val="auto"/>
          <w:highlight w:val="none"/>
          <w:lang w:val="en-US" w:eastAsia="zh-CN"/>
        </w:rPr>
      </w:pPr>
      <w:r>
        <w:rPr>
          <w:rFonts w:hint="default"/>
          <w:color w:val="auto"/>
          <w:highlight w:val="none"/>
          <w:lang w:val="en-US" w:eastAsia="zh-CN"/>
        </w:rPr>
        <w:t>技术保障</w:t>
      </w:r>
    </w:p>
    <w:p w14:paraId="00004511">
      <w:pPr>
        <w:pStyle w:val="18"/>
        <w:keepNext w:val="0"/>
        <w:keepLines w:val="0"/>
        <w:pageBreakBefore w:val="0"/>
        <w:widowControl w:val="0"/>
        <w:kinsoku/>
        <w:wordWrap/>
        <w:overflowPunct/>
        <w:topLinePunct w:val="0"/>
        <w:autoSpaceDE/>
        <w:autoSpaceDN/>
        <w:bidi w:val="0"/>
        <w:adjustRightInd w:val="0"/>
        <w:snapToGrid w:val="0"/>
        <w:spacing w:beforeLines="0" w:afterLines="0"/>
        <w:rPr>
          <w:rFonts w:hint="eastAsia" w:ascii="仿宋_GB2312" w:hAnsi="仿宋_GB2312"/>
          <w:color w:val="auto"/>
          <w:highlight w:val="none"/>
          <w:lang w:val="en-US" w:eastAsia="zh-CN"/>
        </w:rPr>
      </w:pPr>
      <w:r>
        <w:rPr>
          <w:rFonts w:hint="default"/>
          <w:lang w:val="en-US" w:eastAsia="zh-CN"/>
        </w:rPr>
        <w:t>为确保公共</w:t>
      </w:r>
      <w:r>
        <w:rPr>
          <w:rFonts w:hint="eastAsia" w:ascii="仿宋_GB2312" w:hAnsi="仿宋_GB2312"/>
          <w:color w:val="auto"/>
          <w:highlight w:val="none"/>
          <w:lang w:val="en-US" w:eastAsia="zh-CN"/>
        </w:rPr>
        <w:t>数据授权运营工作的高质量推进，龙华区依托“数字龙华”建设成果，建立以“一体化平台支撑、全流程安全防控及可追溯可信机制”为核心的技术保障体系，以保障数据资源在授权、开发、流通和使用等环节的安全、规范与高效。</w:t>
      </w:r>
    </w:p>
    <w:p w14:paraId="033CC91A">
      <w:pPr>
        <w:pStyle w:val="18"/>
        <w:keepNext w:val="0"/>
        <w:keepLines w:val="0"/>
        <w:pageBreakBefore w:val="0"/>
        <w:widowControl w:val="0"/>
        <w:kinsoku/>
        <w:wordWrap/>
        <w:overflowPunct/>
        <w:topLinePunct w:val="0"/>
        <w:autoSpaceDE/>
        <w:autoSpaceDN/>
        <w:bidi w:val="0"/>
        <w:adjustRightInd w:val="0"/>
        <w:snapToGrid w:val="0"/>
        <w:spacing w:beforeLines="0" w:afterLines="0"/>
        <w:rPr>
          <w:rFonts w:hint="eastAsia" w:ascii="仿宋_GB2312" w:hAnsi="仿宋_GB2312"/>
          <w:color w:val="auto"/>
          <w:highlight w:val="none"/>
          <w:lang w:val="en-US" w:eastAsia="zh-CN"/>
        </w:rPr>
      </w:pPr>
      <w:r>
        <w:rPr>
          <w:rFonts w:hint="eastAsia" w:ascii="仿宋_GB2312" w:hAnsi="仿宋_GB2312"/>
          <w:color w:val="auto"/>
          <w:highlight w:val="none"/>
          <w:lang w:val="en-US" w:eastAsia="zh-CN"/>
        </w:rPr>
        <w:t>1.基于“数字龙华”三位一体化平台，进一步升级基础设施建设。</w:t>
      </w:r>
    </w:p>
    <w:p w14:paraId="644FD50A">
      <w:pPr>
        <w:pStyle w:val="18"/>
        <w:keepNext w:val="0"/>
        <w:keepLines w:val="0"/>
        <w:pageBreakBefore w:val="0"/>
        <w:widowControl w:val="0"/>
        <w:kinsoku/>
        <w:wordWrap/>
        <w:overflowPunct/>
        <w:topLinePunct w:val="0"/>
        <w:autoSpaceDE/>
        <w:autoSpaceDN/>
        <w:bidi w:val="0"/>
        <w:adjustRightInd w:val="0"/>
        <w:snapToGrid w:val="0"/>
        <w:spacing w:beforeLines="0" w:afterLines="0"/>
        <w:rPr>
          <w:rFonts w:hint="eastAsia" w:ascii="仿宋_GB2312" w:hAnsi="仿宋_GB2312"/>
          <w:color w:val="auto"/>
          <w:highlight w:val="none"/>
          <w:lang w:val="en-US" w:eastAsia="zh-CN"/>
        </w:rPr>
      </w:pPr>
      <w:r>
        <w:rPr>
          <w:rFonts w:hint="eastAsia" w:ascii="仿宋_GB2312" w:hAnsi="仿宋_GB2312"/>
          <w:color w:val="auto"/>
          <w:highlight w:val="none"/>
          <w:lang w:val="en-US" w:eastAsia="zh-CN"/>
        </w:rPr>
        <w:t>龙华区已成功建立覆盖全区的“一体化”政务服务与数据治理平台，形成了数据采集、治理、存储、共享与利用的全流程支撑能力。在此基础上，公共数据的授权运营依托该平台实现了数据资源的统一归集与授权分发，确保了运营活动在统一技术框架下的稳定运行。</w:t>
      </w:r>
    </w:p>
    <w:p w14:paraId="7CC7BCD6">
      <w:pPr>
        <w:pStyle w:val="18"/>
        <w:keepNext w:val="0"/>
        <w:keepLines w:val="0"/>
        <w:pageBreakBefore w:val="0"/>
        <w:widowControl w:val="0"/>
        <w:kinsoku/>
        <w:wordWrap/>
        <w:overflowPunct/>
        <w:topLinePunct w:val="0"/>
        <w:autoSpaceDE/>
        <w:autoSpaceDN/>
        <w:bidi w:val="0"/>
        <w:adjustRightInd w:val="0"/>
        <w:snapToGrid w:val="0"/>
        <w:spacing w:beforeLines="0" w:afterLines="0"/>
        <w:rPr>
          <w:rFonts w:hint="eastAsia" w:ascii="仿宋_GB2312" w:hAnsi="仿宋_GB2312"/>
          <w:color w:val="auto"/>
          <w:highlight w:val="none"/>
          <w:lang w:val="en-US" w:eastAsia="zh-CN"/>
        </w:rPr>
      </w:pPr>
      <w:r>
        <w:rPr>
          <w:rFonts w:hint="eastAsia" w:ascii="仿宋_GB2312" w:hAnsi="仿宋_GB2312"/>
          <w:color w:val="auto"/>
          <w:highlight w:val="none"/>
          <w:lang w:val="en-US" w:eastAsia="zh-CN"/>
        </w:rPr>
        <w:t>2.建立隐私计算与数据分类分级的协同防护体系。</w:t>
      </w:r>
    </w:p>
    <w:p w14:paraId="275FECFE">
      <w:pPr>
        <w:pStyle w:val="18"/>
        <w:keepNext w:val="0"/>
        <w:keepLines w:val="0"/>
        <w:pageBreakBefore w:val="0"/>
        <w:widowControl w:val="0"/>
        <w:kinsoku/>
        <w:wordWrap/>
        <w:overflowPunct/>
        <w:topLinePunct w:val="0"/>
        <w:autoSpaceDE/>
        <w:autoSpaceDN/>
        <w:bidi w:val="0"/>
        <w:adjustRightInd w:val="0"/>
        <w:snapToGrid w:val="0"/>
        <w:spacing w:beforeLines="0" w:afterLines="0"/>
        <w:rPr>
          <w:rFonts w:hint="eastAsia" w:ascii="仿宋_GB2312" w:hAnsi="仿宋_GB2312"/>
          <w:color w:val="auto"/>
          <w:highlight w:val="none"/>
          <w:lang w:val="en-US" w:eastAsia="zh-CN"/>
        </w:rPr>
      </w:pPr>
      <w:r>
        <w:rPr>
          <w:rFonts w:hint="eastAsia" w:ascii="仿宋_GB2312" w:hAnsi="仿宋_GB2312"/>
          <w:color w:val="auto"/>
          <w:highlight w:val="none"/>
          <w:lang w:val="en-US" w:eastAsia="zh-CN"/>
        </w:rPr>
        <w:t>全区统一隐私计算平台已正式上线，该平台具备多方安全计算能力，支持“数据可用不可见”的开发模式，能够在原始数据不出域的前提下开展数据融合与建模分析。同时，严格落实《龙华区公共数据分类分级指南（试行）》要求，配套利用区内已部署实施的智能化数据分类分级工具，推动差异化的分级保护机制，以确保不同敏感等级的数据在授权运营过程中得到合法、安全的使用。</w:t>
      </w:r>
    </w:p>
    <w:p w14:paraId="57AD9B6B">
      <w:pPr>
        <w:pStyle w:val="18"/>
        <w:keepNext w:val="0"/>
        <w:keepLines w:val="0"/>
        <w:pageBreakBefore w:val="0"/>
        <w:widowControl w:val="0"/>
        <w:kinsoku/>
        <w:wordWrap/>
        <w:overflowPunct/>
        <w:topLinePunct w:val="0"/>
        <w:autoSpaceDE/>
        <w:autoSpaceDN/>
        <w:bidi w:val="0"/>
        <w:adjustRightInd w:val="0"/>
        <w:snapToGrid w:val="0"/>
        <w:spacing w:beforeLines="0" w:afterLines="0"/>
        <w:rPr>
          <w:rFonts w:hint="eastAsia" w:ascii="仿宋_GB2312" w:hAnsi="仿宋_GB2312"/>
          <w:color w:val="auto"/>
          <w:highlight w:val="none"/>
          <w:lang w:val="en-US" w:eastAsia="zh-CN"/>
        </w:rPr>
      </w:pPr>
      <w:r>
        <w:rPr>
          <w:rFonts w:hint="eastAsia" w:ascii="仿宋_GB2312" w:hAnsi="仿宋_GB2312"/>
          <w:color w:val="auto"/>
          <w:highlight w:val="none"/>
          <w:lang w:val="en-US" w:eastAsia="zh-CN"/>
        </w:rPr>
        <w:t>3.加强对数据全生命周期的管理及其可追溯能力的提升。</w:t>
      </w:r>
    </w:p>
    <w:p w14:paraId="0D1192C8">
      <w:pPr>
        <w:pStyle w:val="18"/>
        <w:keepNext w:val="0"/>
        <w:keepLines w:val="0"/>
        <w:pageBreakBefore w:val="0"/>
        <w:widowControl w:val="0"/>
        <w:kinsoku/>
        <w:wordWrap/>
        <w:overflowPunct/>
        <w:topLinePunct w:val="0"/>
        <w:autoSpaceDE/>
        <w:autoSpaceDN/>
        <w:bidi w:val="0"/>
        <w:adjustRightInd w:val="0"/>
        <w:snapToGrid w:val="0"/>
        <w:spacing w:beforeLines="0" w:afterLines="0"/>
        <w:rPr>
          <w:rFonts w:hint="eastAsia" w:ascii="仿宋_GB2312" w:hAnsi="仿宋_GB2312"/>
          <w:color w:val="auto"/>
          <w:highlight w:val="none"/>
          <w:lang w:val="en-US" w:eastAsia="zh-CN"/>
        </w:rPr>
      </w:pPr>
      <w:r>
        <w:rPr>
          <w:rFonts w:hint="eastAsia" w:ascii="仿宋_GB2312" w:hAnsi="仿宋_GB2312"/>
          <w:color w:val="auto"/>
          <w:highlight w:val="none"/>
          <w:lang w:val="en-US" w:eastAsia="zh-CN"/>
        </w:rPr>
        <w:t>龙华区大数据管理平台已建立起涵盖数据采集、处理、传输、存储及销毁等各个环节的管理机制。该平台实现了数据流转的痕迹留存、可管理性及可控性。平台统一集成了国家商用密码算法（SM2、SM3、SM4），以确保数据传输和存储的安全性与可靠性。</w:t>
      </w:r>
    </w:p>
    <w:p w14:paraId="10108E6D">
      <w:pPr>
        <w:pStyle w:val="18"/>
        <w:keepNext w:val="0"/>
        <w:keepLines w:val="0"/>
        <w:pageBreakBefore w:val="0"/>
        <w:widowControl w:val="0"/>
        <w:kinsoku/>
        <w:wordWrap/>
        <w:overflowPunct/>
        <w:topLinePunct w:val="0"/>
        <w:autoSpaceDE/>
        <w:autoSpaceDN/>
        <w:bidi w:val="0"/>
        <w:adjustRightInd w:val="0"/>
        <w:snapToGrid w:val="0"/>
        <w:spacing w:beforeLines="0" w:afterLines="0"/>
        <w:rPr>
          <w:rFonts w:hint="eastAsia" w:ascii="仿宋_GB2312" w:hAnsi="仿宋_GB2312"/>
          <w:color w:val="auto"/>
          <w:highlight w:val="none"/>
          <w:lang w:val="en-US" w:eastAsia="zh-CN"/>
        </w:rPr>
      </w:pPr>
      <w:r>
        <w:rPr>
          <w:rFonts w:hint="eastAsia" w:ascii="仿宋_GB2312" w:hAnsi="仿宋_GB2312"/>
          <w:color w:val="auto"/>
          <w:highlight w:val="none"/>
          <w:lang w:val="en-US" w:eastAsia="zh-CN"/>
        </w:rPr>
        <w:t>4.建立授权运营的“可信执行区域”</w:t>
      </w:r>
    </w:p>
    <w:p w14:paraId="2FD7077B">
      <w:pPr>
        <w:pStyle w:val="18"/>
        <w:keepNext w:val="0"/>
        <w:keepLines w:val="0"/>
        <w:pageBreakBefore w:val="0"/>
        <w:widowControl w:val="0"/>
        <w:kinsoku/>
        <w:wordWrap/>
        <w:overflowPunct/>
        <w:topLinePunct w:val="0"/>
        <w:autoSpaceDE/>
        <w:autoSpaceDN/>
        <w:bidi w:val="0"/>
        <w:adjustRightInd w:val="0"/>
        <w:snapToGrid w:val="0"/>
        <w:spacing w:beforeLines="0" w:afterLines="0"/>
        <w:rPr>
          <w:rFonts w:hint="default"/>
          <w:lang w:val="en-US" w:eastAsia="zh-CN"/>
        </w:rPr>
      </w:pPr>
      <w:r>
        <w:rPr>
          <w:rFonts w:hint="eastAsia" w:ascii="仿宋_GB2312" w:hAnsi="仿宋_GB2312"/>
          <w:color w:val="auto"/>
          <w:highlight w:val="none"/>
          <w:lang w:val="en-US" w:eastAsia="zh-CN"/>
        </w:rPr>
        <w:t>将授权数据资源纳入统一的“可信数据运营域”，严格区分开发环境与实际业务系统，以实现授权数据的封闭流通及可控用途。对于高敏感或涉及个人信息的数据，平台将统一启用隐私计算、访问控制、动态脱</w:t>
      </w:r>
      <w:r>
        <w:rPr>
          <w:rFonts w:hint="default"/>
          <w:lang w:val="en-US" w:eastAsia="zh-CN"/>
        </w:rPr>
        <w:t>敏等机制，以防止数据泄露和非法调用。</w:t>
      </w:r>
    </w:p>
    <w:p w14:paraId="37CD495A">
      <w:pPr>
        <w:pStyle w:val="19"/>
        <w:keepNext w:val="0"/>
        <w:keepLines w:val="0"/>
        <w:pageBreakBefore w:val="0"/>
        <w:widowControl w:val="0"/>
        <w:kinsoku/>
        <w:wordWrap/>
        <w:overflowPunct/>
        <w:topLinePunct w:val="0"/>
        <w:autoSpaceDE/>
        <w:autoSpaceDN/>
        <w:bidi w:val="0"/>
        <w:adjustRightInd w:val="0"/>
        <w:snapToGrid w:val="0"/>
        <w:jc w:val="both"/>
        <w:rPr>
          <w:rFonts w:hint="default"/>
          <w:color w:val="auto"/>
          <w:highlight w:val="none"/>
          <w:lang w:val="en-US" w:eastAsia="zh-CN"/>
        </w:rPr>
      </w:pPr>
      <w:r>
        <w:rPr>
          <w:rFonts w:hint="default"/>
          <w:color w:val="auto"/>
          <w:highlight w:val="none"/>
          <w:lang w:val="en-US" w:eastAsia="zh-CN"/>
        </w:rPr>
        <w:t>实施进度</w:t>
      </w:r>
    </w:p>
    <w:p w14:paraId="3F526557">
      <w:pPr>
        <w:pStyle w:val="18"/>
        <w:keepNext w:val="0"/>
        <w:keepLines w:val="0"/>
        <w:pageBreakBefore w:val="0"/>
        <w:widowControl w:val="0"/>
        <w:kinsoku/>
        <w:wordWrap/>
        <w:overflowPunct/>
        <w:topLinePunct w:val="0"/>
        <w:autoSpaceDE/>
        <w:autoSpaceDN/>
        <w:bidi w:val="0"/>
        <w:adjustRightInd w:val="0"/>
        <w:snapToGrid w:val="0"/>
        <w:spacing w:beforeLines="0" w:afterLines="0"/>
        <w:jc w:val="left"/>
        <w:rPr>
          <w:rFonts w:hint="eastAsia" w:ascii="仿宋_GB2312" w:hAnsi="仿宋_GB2312"/>
          <w:color w:val="auto"/>
          <w:highlight w:val="none"/>
          <w:lang w:val="en-US" w:eastAsia="zh-CN"/>
        </w:rPr>
      </w:pPr>
      <w:r>
        <w:rPr>
          <w:rFonts w:hint="default"/>
          <w:lang w:val="en-US" w:eastAsia="zh-CN"/>
        </w:rPr>
        <w:t>公共数据授</w:t>
      </w:r>
      <w:r>
        <w:rPr>
          <w:rFonts w:hint="eastAsia" w:ascii="仿宋_GB2312" w:hAnsi="仿宋_GB2312"/>
          <w:color w:val="auto"/>
          <w:highlight w:val="none"/>
          <w:lang w:val="en-US" w:eastAsia="zh-CN"/>
        </w:rPr>
        <w:t>权运营工作将依照“试点先行、分步推进、动态调整”的原则有序开展，分为以下阶段实施：</w:t>
      </w:r>
    </w:p>
    <w:p w14:paraId="4BC02732">
      <w:pPr>
        <w:pStyle w:val="18"/>
        <w:keepNext w:val="0"/>
        <w:keepLines w:val="0"/>
        <w:pageBreakBefore w:val="0"/>
        <w:widowControl w:val="0"/>
        <w:kinsoku/>
        <w:wordWrap/>
        <w:overflowPunct/>
        <w:topLinePunct w:val="0"/>
        <w:autoSpaceDE/>
        <w:autoSpaceDN/>
        <w:bidi w:val="0"/>
        <w:adjustRightInd w:val="0"/>
        <w:snapToGrid w:val="0"/>
        <w:spacing w:beforeLines="0" w:afterLines="0"/>
        <w:jc w:val="left"/>
        <w:rPr>
          <w:rFonts w:hint="eastAsia" w:ascii="仿宋_GB2312" w:hAnsi="仿宋_GB2312"/>
          <w:color w:val="auto"/>
          <w:highlight w:val="none"/>
          <w:lang w:val="en-US" w:eastAsia="zh-CN"/>
        </w:rPr>
      </w:pPr>
      <w:r>
        <w:rPr>
          <w:rFonts w:hint="eastAsia" w:ascii="仿宋_GB2312" w:hAnsi="仿宋_GB2312"/>
          <w:color w:val="auto"/>
          <w:highlight w:val="none"/>
          <w:lang w:val="en-US" w:eastAsia="zh-CN"/>
        </w:rPr>
        <w:t>阶段一：试点先行</w:t>
      </w:r>
    </w:p>
    <w:p w14:paraId="4DE0D67F">
      <w:pPr>
        <w:pStyle w:val="18"/>
        <w:keepNext w:val="0"/>
        <w:keepLines w:val="0"/>
        <w:pageBreakBefore w:val="0"/>
        <w:widowControl w:val="0"/>
        <w:kinsoku/>
        <w:wordWrap/>
        <w:overflowPunct/>
        <w:topLinePunct w:val="0"/>
        <w:autoSpaceDE/>
        <w:autoSpaceDN/>
        <w:bidi w:val="0"/>
        <w:adjustRightInd w:val="0"/>
        <w:snapToGrid w:val="0"/>
        <w:spacing w:beforeLines="0" w:afterLines="0"/>
        <w:jc w:val="left"/>
        <w:rPr>
          <w:rFonts w:hint="eastAsia" w:ascii="仿宋_GB2312" w:hAnsi="仿宋_GB2312"/>
          <w:color w:val="auto"/>
          <w:highlight w:val="none"/>
          <w:lang w:val="en-US" w:eastAsia="zh-CN"/>
        </w:rPr>
      </w:pPr>
      <w:r>
        <w:rPr>
          <w:rFonts w:hint="eastAsia" w:ascii="仿宋_GB2312" w:hAnsi="仿宋_GB2312"/>
          <w:color w:val="auto"/>
          <w:highlight w:val="none"/>
          <w:lang w:val="en-US" w:eastAsia="zh-CN"/>
        </w:rPr>
        <w:t>根据前期调研情况，优先在金融服务、卫生健康、商贸流通等重点领域开展授权运营试点工作，力争形成一批具有可复制推广价值的典型案例和数据产品。</w:t>
      </w:r>
    </w:p>
    <w:p w14:paraId="41F4D403">
      <w:pPr>
        <w:pStyle w:val="18"/>
        <w:keepNext w:val="0"/>
        <w:keepLines w:val="0"/>
        <w:pageBreakBefore w:val="0"/>
        <w:widowControl w:val="0"/>
        <w:kinsoku/>
        <w:wordWrap/>
        <w:overflowPunct/>
        <w:topLinePunct w:val="0"/>
        <w:autoSpaceDE/>
        <w:autoSpaceDN/>
        <w:bidi w:val="0"/>
        <w:adjustRightInd w:val="0"/>
        <w:snapToGrid w:val="0"/>
        <w:spacing w:beforeLines="0" w:afterLines="0"/>
        <w:jc w:val="left"/>
        <w:rPr>
          <w:rFonts w:hint="eastAsia" w:ascii="仿宋_GB2312" w:hAnsi="仿宋_GB2312"/>
          <w:color w:val="auto"/>
          <w:highlight w:val="none"/>
          <w:lang w:val="en-US" w:eastAsia="zh-CN"/>
        </w:rPr>
      </w:pPr>
      <w:r>
        <w:rPr>
          <w:rFonts w:hint="eastAsia" w:ascii="仿宋_GB2312" w:hAnsi="仿宋_GB2312"/>
          <w:color w:val="auto"/>
          <w:highlight w:val="none"/>
          <w:lang w:val="en-US" w:eastAsia="zh-CN"/>
        </w:rPr>
        <w:t>阶段二：优化迭代</w:t>
      </w:r>
    </w:p>
    <w:p w14:paraId="196AB482">
      <w:pPr>
        <w:pStyle w:val="18"/>
        <w:keepNext w:val="0"/>
        <w:keepLines w:val="0"/>
        <w:pageBreakBefore w:val="0"/>
        <w:widowControl w:val="0"/>
        <w:kinsoku/>
        <w:wordWrap/>
        <w:overflowPunct/>
        <w:topLinePunct w:val="0"/>
        <w:autoSpaceDE/>
        <w:autoSpaceDN/>
        <w:bidi w:val="0"/>
        <w:adjustRightInd w:val="0"/>
        <w:snapToGrid w:val="0"/>
        <w:spacing w:beforeLines="0" w:afterLines="0"/>
        <w:jc w:val="left"/>
        <w:rPr>
          <w:rFonts w:hint="eastAsia" w:ascii="仿宋_GB2312" w:hAnsi="仿宋_GB2312"/>
          <w:color w:val="auto"/>
          <w:highlight w:val="none"/>
          <w:lang w:val="en-US" w:eastAsia="zh-CN"/>
        </w:rPr>
      </w:pPr>
      <w:r>
        <w:rPr>
          <w:rFonts w:hint="eastAsia" w:ascii="仿宋_GB2312" w:hAnsi="仿宋_GB2312"/>
          <w:color w:val="auto"/>
          <w:highlight w:val="none"/>
          <w:lang w:val="en-US" w:eastAsia="zh-CN"/>
        </w:rPr>
        <w:t>在试点工作的基础上，依据市场反馈与运营效果，适时对授权目录与运营策略进行调整，持续丰富公共数据产品的供给，扩大运营合作方的范围，完善监管机制，提升整体服务水平。</w:t>
      </w:r>
    </w:p>
    <w:p w14:paraId="53F59488">
      <w:pPr>
        <w:pStyle w:val="18"/>
        <w:keepNext w:val="0"/>
        <w:keepLines w:val="0"/>
        <w:pageBreakBefore w:val="0"/>
        <w:widowControl w:val="0"/>
        <w:kinsoku/>
        <w:wordWrap/>
        <w:overflowPunct/>
        <w:topLinePunct w:val="0"/>
        <w:autoSpaceDE/>
        <w:autoSpaceDN/>
        <w:bidi w:val="0"/>
        <w:adjustRightInd w:val="0"/>
        <w:snapToGrid w:val="0"/>
        <w:spacing w:beforeLines="0" w:afterLines="0"/>
        <w:jc w:val="left"/>
        <w:rPr>
          <w:rFonts w:hint="eastAsia" w:ascii="仿宋_GB2312" w:hAnsi="仿宋_GB2312"/>
          <w:color w:val="auto"/>
          <w:highlight w:val="none"/>
          <w:lang w:val="en-US" w:eastAsia="zh-CN"/>
        </w:rPr>
      </w:pPr>
      <w:r>
        <w:rPr>
          <w:rFonts w:hint="eastAsia" w:ascii="仿宋_GB2312" w:hAnsi="仿宋_GB2312"/>
          <w:color w:val="auto"/>
          <w:highlight w:val="none"/>
          <w:lang w:val="en-US" w:eastAsia="zh-CN"/>
        </w:rPr>
        <w:t>阶段三：全面推广</w:t>
      </w:r>
    </w:p>
    <w:p w14:paraId="685E9BB4">
      <w:pPr>
        <w:pStyle w:val="18"/>
        <w:keepNext w:val="0"/>
        <w:keepLines w:val="0"/>
        <w:pageBreakBefore w:val="0"/>
        <w:widowControl w:val="0"/>
        <w:kinsoku/>
        <w:wordWrap/>
        <w:overflowPunct/>
        <w:topLinePunct w:val="0"/>
        <w:autoSpaceDE/>
        <w:autoSpaceDN/>
        <w:bidi w:val="0"/>
        <w:adjustRightInd w:val="0"/>
        <w:snapToGrid w:val="0"/>
        <w:spacing w:beforeLines="0" w:afterLines="0"/>
        <w:jc w:val="left"/>
        <w:rPr>
          <w:rFonts w:hint="eastAsia" w:ascii="仿宋_GB2312" w:hAnsi="仿宋_GB2312"/>
          <w:color w:val="auto"/>
          <w:highlight w:val="none"/>
          <w:lang w:val="en-US" w:eastAsia="zh-CN"/>
        </w:rPr>
      </w:pPr>
      <w:r>
        <w:rPr>
          <w:rFonts w:hint="eastAsia" w:ascii="仿宋_GB2312" w:hAnsi="仿宋_GB2312"/>
          <w:color w:val="auto"/>
          <w:highlight w:val="none"/>
          <w:lang w:val="en-US" w:eastAsia="zh-CN"/>
        </w:rPr>
        <w:t>在技术、机制及市场日趋成熟的情况下，逐步扩展至更多领域，完善运营生态体系，推动授权运营工作的规模化与规范化发展，以助力龙华区数据要素的市场化配置及数字经济的高质量发展。</w:t>
      </w:r>
    </w:p>
    <w:p w14:paraId="07297295">
      <w:pPr>
        <w:pStyle w:val="19"/>
        <w:keepNext w:val="0"/>
        <w:keepLines w:val="0"/>
        <w:pageBreakBefore w:val="0"/>
        <w:widowControl w:val="0"/>
        <w:kinsoku/>
        <w:wordWrap/>
        <w:overflowPunct/>
        <w:topLinePunct w:val="0"/>
        <w:autoSpaceDE/>
        <w:autoSpaceDN/>
        <w:bidi w:val="0"/>
        <w:adjustRightInd w:val="0"/>
        <w:snapToGrid w:val="0"/>
        <w:jc w:val="both"/>
        <w:rPr>
          <w:rFonts w:hint="default"/>
          <w:color w:val="auto"/>
          <w:highlight w:val="none"/>
          <w:lang w:val="en-US" w:eastAsia="zh-CN"/>
        </w:rPr>
      </w:pPr>
      <w:r>
        <w:rPr>
          <w:rFonts w:hint="eastAsia"/>
          <w:color w:val="auto"/>
          <w:highlight w:val="none"/>
          <w:lang w:val="en-US" w:eastAsia="zh-CN"/>
        </w:rPr>
        <w:t>评价标准</w:t>
      </w:r>
    </w:p>
    <w:p w14:paraId="3A802F35">
      <w:pPr>
        <w:pStyle w:val="18"/>
        <w:keepNext w:val="0"/>
        <w:keepLines w:val="0"/>
        <w:pageBreakBefore w:val="0"/>
        <w:widowControl w:val="0"/>
        <w:kinsoku/>
        <w:wordWrap/>
        <w:overflowPunct/>
        <w:topLinePunct w:val="0"/>
        <w:autoSpaceDE/>
        <w:autoSpaceDN/>
        <w:bidi w:val="0"/>
        <w:adjustRightInd w:val="0"/>
        <w:snapToGrid w:val="0"/>
        <w:spacing w:beforeLines="0" w:afterLines="0"/>
        <w:jc w:val="both"/>
        <w:rPr>
          <w:rFonts w:hint="default"/>
          <w:color w:val="auto"/>
          <w:shd w:val="clear" w:color="FFFFFF" w:fill="D9D9D9"/>
          <w:lang w:val="en-US" w:eastAsia="zh-CN"/>
        </w:rPr>
      </w:pPr>
      <w:r>
        <w:rPr>
          <w:rFonts w:hint="eastAsia"/>
          <w:color w:val="auto"/>
          <w:lang w:val="en-US" w:eastAsia="zh-CN"/>
        </w:rPr>
        <w:t>从数据安全风险、数据质量、数据合规、数据产品、数据生态等维度开展运营成效</w:t>
      </w:r>
      <w:r>
        <w:rPr>
          <w:rFonts w:hint="eastAsia"/>
          <w:color w:val="auto"/>
        </w:rPr>
        <w:t>评估</w:t>
      </w:r>
      <w:r>
        <w:rPr>
          <w:rFonts w:hint="eastAsia"/>
          <w:color w:val="auto"/>
          <w:lang w:eastAsia="zh-CN"/>
        </w:rPr>
        <w:t>。</w:t>
      </w:r>
    </w:p>
    <w:p w14:paraId="222834A1">
      <w:pPr>
        <w:pStyle w:val="20"/>
        <w:keepNext w:val="0"/>
        <w:keepLines w:val="0"/>
        <w:pageBreakBefore w:val="0"/>
        <w:widowControl w:val="0"/>
        <w:numPr>
          <w:ilvl w:val="-1"/>
          <w:numId w:val="0"/>
        </w:numPr>
        <w:tabs>
          <w:tab w:val="left" w:pos="399"/>
        </w:tabs>
        <w:kinsoku/>
        <w:wordWrap/>
        <w:overflowPunct/>
        <w:topLinePunct w:val="0"/>
        <w:autoSpaceDE/>
        <w:autoSpaceDN/>
        <w:bidi w:val="0"/>
        <w:adjustRightInd w:val="0"/>
        <w:snapToGrid w:val="0"/>
        <w:ind w:firstLine="640" w:firstLineChars="200"/>
        <w:jc w:val="both"/>
        <w:textAlignment w:val="auto"/>
        <w:rPr>
          <w:rFonts w:hint="eastAsia"/>
          <w:color w:val="auto"/>
          <w:shd w:val="clear" w:color="auto" w:fill="auto"/>
          <w:lang w:val="en-US" w:eastAsia="zh-CN"/>
        </w:rPr>
      </w:pPr>
      <w:r>
        <w:rPr>
          <w:rFonts w:hint="eastAsia" w:ascii="仿宋_GB2312" w:hAnsi="仿宋_GB2312"/>
          <w:color w:val="auto"/>
          <w:shd w:val="clear" w:color="auto" w:fill="auto"/>
          <w:lang w:val="en-US" w:eastAsia="zh-CN"/>
        </w:rPr>
        <w:t>1.</w:t>
      </w:r>
      <w:r>
        <w:rPr>
          <w:rFonts w:hint="eastAsia"/>
          <w:color w:val="auto"/>
          <w:shd w:val="clear" w:color="auto" w:fill="auto"/>
          <w:lang w:val="en-US" w:eastAsia="zh-CN"/>
        </w:rPr>
        <w:t>数据质量评估</w:t>
      </w:r>
    </w:p>
    <w:p w14:paraId="09153DE6">
      <w:pPr>
        <w:pStyle w:val="18"/>
        <w:keepNext w:val="0"/>
        <w:keepLines w:val="0"/>
        <w:pageBreakBefore w:val="0"/>
        <w:widowControl w:val="0"/>
        <w:kinsoku/>
        <w:wordWrap/>
        <w:overflowPunct/>
        <w:topLinePunct w:val="0"/>
        <w:autoSpaceDE/>
        <w:autoSpaceDN/>
        <w:bidi w:val="0"/>
        <w:adjustRightInd w:val="0"/>
        <w:snapToGrid w:val="0"/>
        <w:spacing w:beforeLines="0" w:afterLines="0"/>
        <w:jc w:val="both"/>
        <w:rPr>
          <w:rFonts w:hint="default"/>
          <w:color w:val="auto"/>
          <w:lang w:val="en-US" w:eastAsia="zh-CN"/>
        </w:rPr>
      </w:pPr>
      <w:r>
        <w:rPr>
          <w:rFonts w:hint="eastAsia"/>
          <w:color w:val="auto"/>
          <w:shd w:val="clear" w:color="auto" w:fill="auto"/>
          <w:lang w:val="en-US" w:eastAsia="zh-CN"/>
        </w:rPr>
        <w:t>评估所开发的数据产品与服务是否符合本方案及相关授权运营协议的要求。</w:t>
      </w:r>
    </w:p>
    <w:p w14:paraId="46A99330">
      <w:pPr>
        <w:pStyle w:val="20"/>
        <w:keepNext w:val="0"/>
        <w:keepLines w:val="0"/>
        <w:pageBreakBefore w:val="0"/>
        <w:widowControl w:val="0"/>
        <w:numPr>
          <w:ilvl w:val="-1"/>
          <w:numId w:val="0"/>
        </w:numPr>
        <w:tabs>
          <w:tab w:val="left" w:pos="399"/>
        </w:tabs>
        <w:kinsoku/>
        <w:wordWrap/>
        <w:overflowPunct/>
        <w:topLinePunct w:val="0"/>
        <w:autoSpaceDE/>
        <w:autoSpaceDN/>
        <w:bidi w:val="0"/>
        <w:adjustRightInd w:val="0"/>
        <w:snapToGrid w:val="0"/>
        <w:ind w:firstLine="640" w:firstLineChars="200"/>
        <w:jc w:val="both"/>
        <w:textAlignment w:val="auto"/>
        <w:rPr>
          <w:rFonts w:hint="default"/>
          <w:color w:val="auto"/>
          <w:shd w:val="clear" w:color="auto" w:fill="auto"/>
          <w:lang w:val="en-US" w:eastAsia="zh-CN"/>
        </w:rPr>
      </w:pPr>
      <w:r>
        <w:rPr>
          <w:rFonts w:hint="eastAsia" w:ascii="仿宋_GB2312" w:hAnsi="仿宋_GB2312"/>
          <w:color w:val="auto"/>
          <w:shd w:val="clear" w:color="auto" w:fill="auto"/>
          <w:lang w:val="en-US" w:eastAsia="zh-CN"/>
        </w:rPr>
        <w:t>2.</w:t>
      </w:r>
      <w:r>
        <w:rPr>
          <w:rFonts w:hint="eastAsia"/>
          <w:color w:val="auto"/>
          <w:shd w:val="clear" w:color="auto" w:fill="auto"/>
          <w:lang w:val="en-US" w:eastAsia="zh-CN"/>
        </w:rPr>
        <w:t>数据风险评估</w:t>
      </w:r>
    </w:p>
    <w:p w14:paraId="17E1AE31">
      <w:pPr>
        <w:pStyle w:val="18"/>
        <w:keepNext w:val="0"/>
        <w:keepLines w:val="0"/>
        <w:pageBreakBefore w:val="0"/>
        <w:widowControl w:val="0"/>
        <w:kinsoku/>
        <w:wordWrap/>
        <w:overflowPunct/>
        <w:topLinePunct w:val="0"/>
        <w:autoSpaceDE/>
        <w:autoSpaceDN/>
        <w:bidi w:val="0"/>
        <w:adjustRightInd w:val="0"/>
        <w:snapToGrid w:val="0"/>
        <w:spacing w:beforeLines="0" w:afterLines="0"/>
        <w:jc w:val="both"/>
        <w:rPr>
          <w:rFonts w:hint="default"/>
          <w:color w:val="auto"/>
          <w:lang w:val="en-US" w:eastAsia="zh-CN"/>
        </w:rPr>
      </w:pPr>
      <w:r>
        <w:rPr>
          <w:rFonts w:hint="eastAsia"/>
          <w:color w:val="auto"/>
          <w:lang w:val="en-US" w:eastAsia="zh-CN"/>
        </w:rPr>
        <w:t>评估</w:t>
      </w:r>
      <w:r>
        <w:rPr>
          <w:rFonts w:hint="default"/>
          <w:color w:val="auto"/>
          <w:lang w:val="en-US" w:eastAsia="zh-CN"/>
        </w:rPr>
        <w:t>数据使用过程中可能存在的风险，如异常访问、大量数据调用等。</w:t>
      </w:r>
    </w:p>
    <w:p w14:paraId="3AEDBF8E">
      <w:pPr>
        <w:pStyle w:val="20"/>
        <w:keepNext w:val="0"/>
        <w:keepLines w:val="0"/>
        <w:pageBreakBefore w:val="0"/>
        <w:widowControl w:val="0"/>
        <w:numPr>
          <w:ilvl w:val="-1"/>
          <w:numId w:val="0"/>
        </w:numPr>
        <w:tabs>
          <w:tab w:val="left" w:pos="399"/>
        </w:tabs>
        <w:kinsoku/>
        <w:wordWrap/>
        <w:overflowPunct/>
        <w:topLinePunct w:val="0"/>
        <w:autoSpaceDE/>
        <w:autoSpaceDN/>
        <w:bidi w:val="0"/>
        <w:adjustRightInd w:val="0"/>
        <w:snapToGrid w:val="0"/>
        <w:ind w:firstLine="640" w:firstLineChars="200"/>
        <w:jc w:val="both"/>
        <w:textAlignment w:val="auto"/>
        <w:rPr>
          <w:rFonts w:hint="default"/>
          <w:color w:val="auto"/>
          <w:shd w:val="clear" w:color="auto" w:fill="auto"/>
          <w:lang w:val="en-US" w:eastAsia="zh-CN"/>
        </w:rPr>
      </w:pPr>
      <w:r>
        <w:rPr>
          <w:rFonts w:hint="eastAsia" w:ascii="仿宋_GB2312" w:hAnsi="仿宋_GB2312"/>
          <w:color w:val="auto"/>
          <w:shd w:val="clear" w:color="auto" w:fill="auto"/>
          <w:lang w:val="en-US" w:eastAsia="zh-CN"/>
        </w:rPr>
        <w:t>3.</w:t>
      </w:r>
      <w:r>
        <w:rPr>
          <w:rFonts w:hint="eastAsia"/>
          <w:color w:val="auto"/>
          <w:shd w:val="clear" w:color="auto" w:fill="auto"/>
          <w:lang w:val="en-US" w:eastAsia="zh-CN"/>
        </w:rPr>
        <w:t>数据合规评估</w:t>
      </w:r>
    </w:p>
    <w:p w14:paraId="40643E5F">
      <w:pPr>
        <w:pStyle w:val="18"/>
        <w:keepNext w:val="0"/>
        <w:keepLines w:val="0"/>
        <w:pageBreakBefore w:val="0"/>
        <w:widowControl w:val="0"/>
        <w:kinsoku/>
        <w:wordWrap/>
        <w:overflowPunct/>
        <w:topLinePunct w:val="0"/>
        <w:autoSpaceDE/>
        <w:autoSpaceDN/>
        <w:bidi w:val="0"/>
        <w:adjustRightInd w:val="0"/>
        <w:snapToGrid w:val="0"/>
        <w:spacing w:beforeLines="0" w:afterLines="0"/>
        <w:ind w:firstLine="0" w:firstLineChars="0"/>
        <w:jc w:val="both"/>
        <w:rPr>
          <w:rFonts w:hint="default"/>
          <w:color w:val="auto"/>
          <w:lang w:val="en-US" w:eastAsia="zh-CN"/>
        </w:rPr>
      </w:pPr>
      <w:r>
        <w:rPr>
          <w:rFonts w:hint="eastAsia"/>
          <w:color w:val="auto"/>
          <w:lang w:val="en-US" w:eastAsia="zh-CN"/>
        </w:rPr>
        <w:t>评估</w:t>
      </w:r>
      <w:r>
        <w:rPr>
          <w:rFonts w:hint="default"/>
          <w:color w:val="auto"/>
          <w:lang w:val="en-US" w:eastAsia="zh-CN"/>
        </w:rPr>
        <w:t>运营活动是否符合监管要求，不存在侵犯他人合法权益、违反公序良俗、损害公共利益等潜在问题或风险。</w:t>
      </w:r>
    </w:p>
    <w:p w14:paraId="3CE36125">
      <w:pPr>
        <w:pStyle w:val="20"/>
        <w:keepNext w:val="0"/>
        <w:keepLines w:val="0"/>
        <w:pageBreakBefore w:val="0"/>
        <w:widowControl w:val="0"/>
        <w:numPr>
          <w:ilvl w:val="-1"/>
          <w:numId w:val="0"/>
        </w:numPr>
        <w:tabs>
          <w:tab w:val="left" w:pos="399"/>
        </w:tabs>
        <w:kinsoku/>
        <w:wordWrap/>
        <w:overflowPunct/>
        <w:topLinePunct w:val="0"/>
        <w:autoSpaceDE/>
        <w:autoSpaceDN/>
        <w:bidi w:val="0"/>
        <w:adjustRightInd w:val="0"/>
        <w:snapToGrid w:val="0"/>
        <w:ind w:firstLine="640" w:firstLineChars="200"/>
        <w:jc w:val="both"/>
        <w:textAlignment w:val="auto"/>
        <w:rPr>
          <w:rFonts w:hint="default"/>
          <w:color w:val="auto"/>
          <w:shd w:val="clear" w:color="auto" w:fill="auto"/>
          <w:lang w:val="en-US" w:eastAsia="zh-CN"/>
        </w:rPr>
      </w:pPr>
      <w:r>
        <w:rPr>
          <w:rFonts w:hint="eastAsia" w:ascii="仿宋_GB2312" w:hAnsi="仿宋_GB2312"/>
          <w:color w:val="auto"/>
          <w:shd w:val="clear" w:color="auto" w:fill="auto"/>
          <w:lang w:val="en-US" w:eastAsia="zh-CN"/>
        </w:rPr>
        <w:t>4.</w:t>
      </w:r>
      <w:r>
        <w:rPr>
          <w:rFonts w:hint="eastAsia"/>
          <w:color w:val="auto"/>
          <w:shd w:val="clear" w:color="auto" w:fill="auto"/>
          <w:lang w:val="en-US" w:eastAsia="zh-CN"/>
        </w:rPr>
        <w:t>数据产品评价</w:t>
      </w:r>
    </w:p>
    <w:p w14:paraId="30AF1226">
      <w:pPr>
        <w:pStyle w:val="18"/>
        <w:keepNext w:val="0"/>
        <w:keepLines w:val="0"/>
        <w:pageBreakBefore w:val="0"/>
        <w:widowControl w:val="0"/>
        <w:kinsoku/>
        <w:wordWrap/>
        <w:overflowPunct/>
        <w:topLinePunct w:val="0"/>
        <w:autoSpaceDE/>
        <w:autoSpaceDN/>
        <w:bidi w:val="0"/>
        <w:adjustRightInd w:val="0"/>
        <w:snapToGrid w:val="0"/>
        <w:spacing w:beforeLines="0" w:afterLines="0"/>
        <w:jc w:val="both"/>
        <w:rPr>
          <w:rFonts w:hint="default"/>
          <w:color w:val="auto"/>
          <w:shd w:val="clear" w:color="auto" w:fill="auto"/>
          <w:lang w:val="en-US" w:eastAsia="zh-CN"/>
        </w:rPr>
      </w:pPr>
      <w:r>
        <w:rPr>
          <w:rFonts w:hint="eastAsia"/>
          <w:color w:val="auto"/>
          <w:shd w:val="clear" w:color="auto" w:fill="auto"/>
          <w:lang w:val="en-US" w:eastAsia="zh-CN"/>
        </w:rPr>
        <w:t>评价开发数据</w:t>
      </w:r>
      <w:r>
        <w:rPr>
          <w:rFonts w:hint="default"/>
          <w:color w:val="auto"/>
          <w:shd w:val="clear" w:color="auto" w:fill="auto"/>
          <w:lang w:val="en-US" w:eastAsia="zh-CN"/>
        </w:rPr>
        <w:t>产品与服务</w:t>
      </w:r>
      <w:r>
        <w:rPr>
          <w:rFonts w:hint="eastAsia"/>
          <w:color w:val="auto"/>
          <w:shd w:val="clear" w:color="auto" w:fill="auto"/>
          <w:lang w:val="en-US" w:eastAsia="zh-CN"/>
        </w:rPr>
        <w:t>的</w:t>
      </w:r>
      <w:r>
        <w:rPr>
          <w:rFonts w:hint="default"/>
          <w:color w:val="auto"/>
          <w:shd w:val="clear" w:color="auto" w:fill="auto"/>
          <w:lang w:val="en-US" w:eastAsia="zh-CN"/>
        </w:rPr>
        <w:t>数量、类型和新增情况</w:t>
      </w:r>
      <w:r>
        <w:rPr>
          <w:rFonts w:hint="eastAsia"/>
          <w:color w:val="auto"/>
          <w:shd w:val="clear" w:color="auto" w:fill="auto"/>
          <w:lang w:val="en-US" w:eastAsia="zh-CN"/>
        </w:rPr>
        <w:t>，对</w:t>
      </w:r>
      <w:r>
        <w:rPr>
          <w:rFonts w:hint="default"/>
          <w:color w:val="auto"/>
          <w:shd w:val="clear" w:color="auto" w:fill="auto"/>
          <w:lang w:val="en-US" w:eastAsia="zh-CN"/>
        </w:rPr>
        <w:t>其准确性、完整性</w:t>
      </w:r>
      <w:r>
        <w:rPr>
          <w:rFonts w:hint="eastAsia"/>
          <w:color w:val="auto"/>
          <w:shd w:val="clear" w:color="auto" w:fill="auto"/>
          <w:lang w:val="en-US" w:eastAsia="zh-CN"/>
        </w:rPr>
        <w:t>、</w:t>
      </w:r>
      <w:r>
        <w:rPr>
          <w:rFonts w:hint="default"/>
          <w:color w:val="auto"/>
          <w:shd w:val="clear" w:color="auto" w:fill="auto"/>
          <w:lang w:val="en-US" w:eastAsia="zh-CN"/>
        </w:rPr>
        <w:t>创新性</w:t>
      </w:r>
      <w:r>
        <w:rPr>
          <w:rFonts w:hint="eastAsia"/>
          <w:color w:val="auto"/>
          <w:shd w:val="clear" w:color="auto" w:fill="auto"/>
          <w:lang w:val="en-US" w:eastAsia="zh-CN"/>
        </w:rPr>
        <w:t>、</w:t>
      </w:r>
      <w:r>
        <w:rPr>
          <w:rFonts w:hint="default"/>
          <w:color w:val="auto"/>
          <w:shd w:val="clear" w:color="auto" w:fill="auto"/>
          <w:lang w:val="en-US" w:eastAsia="zh-CN"/>
        </w:rPr>
        <w:t>转化率</w:t>
      </w:r>
      <w:r>
        <w:rPr>
          <w:rFonts w:hint="eastAsia"/>
          <w:color w:val="auto"/>
          <w:shd w:val="clear" w:color="auto" w:fill="auto"/>
          <w:lang w:val="en-US" w:eastAsia="zh-CN"/>
        </w:rPr>
        <w:t>、</w:t>
      </w:r>
      <w:r>
        <w:rPr>
          <w:rFonts w:hint="default"/>
          <w:color w:val="auto"/>
          <w:shd w:val="clear" w:color="auto" w:fill="auto"/>
          <w:lang w:val="en-US" w:eastAsia="zh-CN"/>
        </w:rPr>
        <w:t>调用总量和频率</w:t>
      </w:r>
      <w:r>
        <w:rPr>
          <w:rFonts w:hint="eastAsia"/>
          <w:color w:val="auto"/>
          <w:shd w:val="clear" w:color="auto" w:fill="auto"/>
          <w:lang w:val="en-US" w:eastAsia="zh-CN"/>
        </w:rPr>
        <w:t>、</w:t>
      </w:r>
      <w:r>
        <w:rPr>
          <w:rFonts w:hint="default"/>
          <w:color w:val="auto"/>
          <w:shd w:val="clear" w:color="auto" w:fill="auto"/>
          <w:lang w:val="en-US" w:eastAsia="zh-CN"/>
        </w:rPr>
        <w:t>交易规模、</w:t>
      </w:r>
      <w:r>
        <w:rPr>
          <w:rFonts w:hint="eastAsia"/>
          <w:color w:val="auto"/>
          <w:shd w:val="clear" w:color="auto" w:fill="auto"/>
          <w:lang w:val="en-US" w:eastAsia="zh-CN"/>
        </w:rPr>
        <w:t>交易</w:t>
      </w:r>
      <w:r>
        <w:rPr>
          <w:rFonts w:hint="default"/>
          <w:color w:val="auto"/>
          <w:shd w:val="clear" w:color="auto" w:fill="auto"/>
          <w:lang w:val="en-US" w:eastAsia="zh-CN"/>
        </w:rPr>
        <w:t>频率、</w:t>
      </w:r>
      <w:r>
        <w:rPr>
          <w:rFonts w:hint="eastAsia"/>
          <w:color w:val="auto"/>
          <w:shd w:val="clear" w:color="auto" w:fill="auto"/>
          <w:lang w:val="en-US" w:eastAsia="zh-CN"/>
        </w:rPr>
        <w:t>交易</w:t>
      </w:r>
      <w:r>
        <w:rPr>
          <w:rFonts w:hint="default"/>
          <w:color w:val="auto"/>
          <w:shd w:val="clear" w:color="auto" w:fill="auto"/>
          <w:lang w:val="en-US" w:eastAsia="zh-CN"/>
        </w:rPr>
        <w:t>价格稳定性及安全合规性</w:t>
      </w:r>
      <w:r>
        <w:rPr>
          <w:rFonts w:hint="eastAsia"/>
          <w:color w:val="auto"/>
          <w:shd w:val="clear" w:color="auto" w:fill="auto"/>
          <w:lang w:val="en-US" w:eastAsia="zh-CN"/>
        </w:rPr>
        <w:t>进行综合评价</w:t>
      </w:r>
      <w:r>
        <w:rPr>
          <w:rFonts w:hint="default"/>
          <w:color w:val="auto"/>
          <w:shd w:val="clear" w:color="auto" w:fill="auto"/>
          <w:lang w:val="en-US" w:eastAsia="zh-CN"/>
        </w:rPr>
        <w:t>。</w:t>
      </w:r>
    </w:p>
    <w:p w14:paraId="6AAC6CA1">
      <w:pPr>
        <w:pStyle w:val="20"/>
        <w:keepNext w:val="0"/>
        <w:keepLines w:val="0"/>
        <w:pageBreakBefore w:val="0"/>
        <w:widowControl w:val="0"/>
        <w:numPr>
          <w:ilvl w:val="-1"/>
          <w:numId w:val="0"/>
        </w:numPr>
        <w:kinsoku/>
        <w:wordWrap/>
        <w:overflowPunct/>
        <w:topLinePunct w:val="0"/>
        <w:autoSpaceDE/>
        <w:autoSpaceDN/>
        <w:bidi w:val="0"/>
        <w:adjustRightInd w:val="0"/>
        <w:snapToGrid w:val="0"/>
        <w:ind w:firstLine="640" w:firstLineChars="200"/>
        <w:jc w:val="both"/>
        <w:rPr>
          <w:rFonts w:hint="default"/>
          <w:color w:val="auto"/>
          <w:shd w:val="clear" w:color="auto" w:fill="auto"/>
          <w:lang w:val="en-US" w:eastAsia="zh-CN"/>
        </w:rPr>
      </w:pPr>
      <w:r>
        <w:rPr>
          <w:rFonts w:hint="eastAsia" w:ascii="仿宋_GB2312" w:hAnsi="仿宋_GB2312"/>
          <w:color w:val="auto"/>
          <w:shd w:val="clear" w:color="auto" w:fill="auto"/>
          <w:lang w:val="en-US" w:eastAsia="zh-CN"/>
        </w:rPr>
        <w:t>5.</w:t>
      </w:r>
      <w:r>
        <w:rPr>
          <w:rFonts w:hint="eastAsia"/>
          <w:color w:val="auto"/>
          <w:shd w:val="clear" w:color="auto" w:fill="auto"/>
          <w:lang w:val="en-US" w:eastAsia="zh-CN"/>
        </w:rPr>
        <w:t>数据生态评价</w:t>
      </w:r>
    </w:p>
    <w:p w14:paraId="7B2F6178">
      <w:pPr>
        <w:pStyle w:val="18"/>
        <w:keepNext w:val="0"/>
        <w:keepLines w:val="0"/>
        <w:pageBreakBefore w:val="0"/>
        <w:widowControl w:val="0"/>
        <w:kinsoku/>
        <w:wordWrap/>
        <w:overflowPunct/>
        <w:topLinePunct w:val="0"/>
        <w:autoSpaceDE/>
        <w:autoSpaceDN/>
        <w:bidi w:val="0"/>
        <w:adjustRightInd w:val="0"/>
        <w:snapToGrid w:val="0"/>
        <w:spacing w:beforeLines="0" w:afterLines="0"/>
        <w:jc w:val="both"/>
        <w:rPr>
          <w:rFonts w:hint="eastAsia"/>
          <w:color w:val="auto"/>
          <w:shd w:val="clear" w:color="auto" w:fill="auto"/>
          <w:lang w:val="en-US" w:eastAsia="zh-CN"/>
        </w:rPr>
      </w:pPr>
      <w:r>
        <w:rPr>
          <w:rFonts w:hint="eastAsia"/>
          <w:color w:val="auto"/>
          <w:shd w:val="clear" w:color="auto" w:fill="auto"/>
          <w:lang w:val="en-US" w:eastAsia="zh-CN"/>
        </w:rPr>
        <w:t>评价参与主体的多样性，包括生态企业数量、类型及参与公共数据运营链条的各方主体，以实现公共数据利用的全面性和丰富性。</w:t>
      </w:r>
    </w:p>
    <w:p w14:paraId="3B0E3A07">
      <w:pPr>
        <w:pStyle w:val="19"/>
        <w:keepNext w:val="0"/>
        <w:keepLines w:val="0"/>
        <w:pageBreakBefore w:val="0"/>
        <w:widowControl w:val="0"/>
        <w:kinsoku/>
        <w:wordWrap/>
        <w:overflowPunct/>
        <w:topLinePunct w:val="0"/>
        <w:autoSpaceDE/>
        <w:autoSpaceDN/>
        <w:bidi w:val="0"/>
        <w:adjustRightInd w:val="0"/>
        <w:snapToGrid w:val="0"/>
        <w:jc w:val="both"/>
        <w:rPr>
          <w:rFonts w:hint="eastAsia"/>
          <w:color w:val="auto"/>
          <w:lang w:val="en-US" w:eastAsia="zh-CN"/>
        </w:rPr>
      </w:pPr>
      <w:r>
        <w:rPr>
          <w:rFonts w:hint="eastAsia"/>
          <w:color w:val="auto"/>
          <w:lang w:val="en-US" w:eastAsia="zh-CN"/>
        </w:rPr>
        <w:t>退出机制</w:t>
      </w:r>
    </w:p>
    <w:p w14:paraId="41E71966">
      <w:pPr>
        <w:pStyle w:val="20"/>
        <w:keepNext w:val="0"/>
        <w:keepLines w:val="0"/>
        <w:pageBreakBefore w:val="0"/>
        <w:widowControl w:val="0"/>
        <w:numPr>
          <w:ilvl w:val="-1"/>
          <w:numId w:val="0"/>
        </w:numPr>
        <w:tabs>
          <w:tab w:val="left" w:pos="399"/>
        </w:tabs>
        <w:kinsoku/>
        <w:wordWrap/>
        <w:overflowPunct/>
        <w:topLinePunct w:val="0"/>
        <w:autoSpaceDE/>
        <w:autoSpaceDN/>
        <w:bidi w:val="0"/>
        <w:adjustRightInd w:val="0"/>
        <w:snapToGrid w:val="0"/>
        <w:ind w:firstLine="640" w:firstLineChars="200"/>
        <w:jc w:val="both"/>
        <w:textAlignment w:val="auto"/>
        <w:rPr>
          <w:rFonts w:hint="eastAsia"/>
          <w:color w:val="auto"/>
          <w:lang w:val="en-US" w:eastAsia="zh-CN"/>
        </w:rPr>
      </w:pPr>
      <w:r>
        <w:rPr>
          <w:rFonts w:hint="eastAsia" w:ascii="仿宋_GB2312" w:hAnsi="仿宋_GB2312"/>
          <w:color w:val="auto"/>
          <w:lang w:val="en-US" w:eastAsia="zh-CN"/>
        </w:rPr>
        <w:t>1.</w:t>
      </w:r>
      <w:r>
        <w:rPr>
          <w:rFonts w:hint="eastAsia"/>
          <w:color w:val="auto"/>
          <w:lang w:val="en-US" w:eastAsia="zh-CN"/>
        </w:rPr>
        <w:t>退出情形分类</w:t>
      </w:r>
    </w:p>
    <w:p w14:paraId="2DB567A9">
      <w:pPr>
        <w:pStyle w:val="18"/>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ind w:firstLine="640" w:firstLineChars="200"/>
        <w:jc w:val="both"/>
        <w:textAlignment w:val="auto"/>
        <w:rPr>
          <w:rFonts w:hint="eastAsia" w:ascii="仿宋_GB2312" w:hAnsi="仿宋_GB2312" w:eastAsia="仿宋_GB2312" w:cs="仿宋_GB2312"/>
          <w:color w:val="auto"/>
          <w:lang w:val="en-US" w:eastAsia="zh-CN"/>
        </w:rPr>
      </w:pPr>
      <w:r>
        <w:rPr>
          <w:rFonts w:hint="default" w:ascii="仿宋_GB2312" w:hAnsi="仿宋_GB2312" w:cs="仿宋_GB2312"/>
          <w:color w:val="auto"/>
          <w:lang w:val="en-US" w:eastAsia="zh-CN"/>
        </w:rPr>
        <w:t>（1）</w:t>
      </w:r>
      <w:r>
        <w:rPr>
          <w:rFonts w:hint="eastAsia" w:ascii="仿宋_GB2312" w:hAnsi="仿宋_GB2312" w:eastAsia="仿宋_GB2312" w:cs="仿宋_GB2312"/>
          <w:color w:val="auto"/>
          <w:lang w:val="en-US" w:eastAsia="zh-CN"/>
        </w:rPr>
        <w:t>主动退出：运营期满未申请续期或</w:t>
      </w:r>
      <w:r>
        <w:rPr>
          <w:rFonts w:hint="eastAsia" w:ascii="仿宋_GB2312" w:hAnsi="仿宋_GB2312" w:cs="仿宋_GB2312"/>
          <w:color w:val="auto"/>
          <w:lang w:val="en-US" w:eastAsia="zh-CN"/>
        </w:rPr>
        <w:t>提前解除</w:t>
      </w:r>
      <w:r>
        <w:rPr>
          <w:rFonts w:hint="eastAsia" w:ascii="仿宋_GB2312" w:hAnsi="仿宋_GB2312" w:eastAsia="仿宋_GB2312" w:cs="仿宋_GB2312"/>
          <w:color w:val="auto"/>
          <w:lang w:val="en-US" w:eastAsia="zh-CN"/>
        </w:rPr>
        <w:t>协议，</w:t>
      </w:r>
      <w:r>
        <w:rPr>
          <w:rFonts w:hint="eastAsia" w:ascii="仿宋_GB2312" w:hAnsi="仿宋_GB2312" w:cs="仿宋_GB2312"/>
          <w:color w:val="auto"/>
          <w:lang w:val="en-US" w:eastAsia="zh-CN"/>
        </w:rPr>
        <w:t>运营机构</w:t>
      </w:r>
      <w:r>
        <w:rPr>
          <w:rFonts w:hint="eastAsia" w:ascii="仿宋_GB2312" w:hAnsi="仿宋_GB2312" w:eastAsia="仿宋_GB2312" w:cs="仿宋_GB2312"/>
          <w:color w:val="auto"/>
          <w:lang w:val="en-US" w:eastAsia="zh-CN"/>
        </w:rPr>
        <w:t>需提前</w:t>
      </w:r>
      <w:r>
        <w:rPr>
          <w:rFonts w:hint="eastAsia" w:ascii="仿宋_GB2312" w:hAnsi="仿宋_GB2312" w:cs="仿宋_GB2312"/>
          <w:color w:val="auto"/>
          <w:lang w:val="en-US" w:eastAsia="zh-CN"/>
        </w:rPr>
        <w:t>3</w:t>
      </w:r>
      <w:r>
        <w:rPr>
          <w:rFonts w:hint="eastAsia" w:ascii="仿宋_GB2312" w:hAnsi="仿宋_GB2312" w:eastAsia="仿宋_GB2312" w:cs="仿宋_GB2312"/>
          <w:color w:val="auto"/>
          <w:lang w:val="en-US" w:eastAsia="zh-CN"/>
        </w:rPr>
        <w:t>个月提交退出方案。</w:t>
      </w:r>
    </w:p>
    <w:p w14:paraId="2415760E">
      <w:pPr>
        <w:keepNext w:val="0"/>
        <w:keepLines w:val="0"/>
        <w:pageBreakBefore w:val="0"/>
        <w:widowControl w:val="0"/>
        <w:numPr>
          <w:ilvl w:val="0"/>
          <w:numId w:val="0"/>
        </w:numPr>
        <w:tabs>
          <w:tab w:val="left" w:pos="1303"/>
        </w:tabs>
        <w:kinsoku/>
        <w:wordWrap/>
        <w:overflowPunct/>
        <w:topLinePunct w:val="0"/>
        <w:autoSpaceDE/>
        <w:autoSpaceDN/>
        <w:bidi w:val="0"/>
        <w:adjustRightInd w:val="0"/>
        <w:snapToGrid w:val="0"/>
        <w:spacing w:beforeLines="0" w:afterLines="0" w:line="560" w:lineRule="exact"/>
        <w:ind w:right="0" w:firstLine="640" w:firstLineChars="200"/>
        <w:jc w:val="both"/>
        <w:textAlignment w:val="auto"/>
        <w:rPr>
          <w:rFonts w:hint="eastAsia" w:ascii="仿宋_GB2312" w:hAnsi="仿宋_GB2312" w:eastAsia="仿宋_GB2312" w:cs="仿宋_GB2312"/>
          <w:b w:val="0"/>
          <w:bCs w:val="0"/>
          <w:color w:val="auto"/>
          <w:sz w:val="32"/>
          <w:szCs w:val="40"/>
          <w:highlight w:val="none"/>
          <w:lang w:val="en-US" w:eastAsia="zh-CN"/>
        </w:rPr>
      </w:pPr>
      <w:r>
        <w:rPr>
          <w:rFonts w:hint="default" w:ascii="仿宋_GB2312" w:hAnsi="仿宋_GB2312" w:eastAsia="仿宋_GB2312" w:cs="仿宋_GB2312"/>
          <w:color w:val="auto"/>
          <w:lang w:val="en-US" w:eastAsia="zh-CN"/>
        </w:rPr>
        <w:t>（2）</w:t>
      </w:r>
      <w:r>
        <w:rPr>
          <w:rFonts w:hint="eastAsia" w:ascii="仿宋_GB2312" w:hAnsi="仿宋_GB2312" w:eastAsia="仿宋_GB2312" w:cs="仿宋_GB2312"/>
          <w:color w:val="auto"/>
          <w:lang w:val="en-US" w:eastAsia="zh-CN"/>
        </w:rPr>
        <w:t>违约退出：如有违反以下行为时，实施机构</w:t>
      </w:r>
      <w:r>
        <w:rPr>
          <w:rFonts w:hint="eastAsia" w:ascii="仿宋_GB2312" w:hAnsi="仿宋_GB2312" w:eastAsia="仿宋_GB2312" w:cs="仿宋_GB2312"/>
          <w:b w:val="0"/>
          <w:bCs w:val="0"/>
          <w:color w:val="auto"/>
          <w:sz w:val="32"/>
          <w:szCs w:val="40"/>
          <w:highlight w:val="none"/>
          <w:lang w:val="en-US" w:eastAsia="zh-CN"/>
        </w:rPr>
        <w:t>协议约定要求其开展限期整改，并反馈整改情况，情况严重可终止其公共数据授权运营。</w:t>
      </w:r>
    </w:p>
    <w:p w14:paraId="59FC1D1E">
      <w:pPr>
        <w:keepNext w:val="0"/>
        <w:keepLines w:val="0"/>
        <w:pageBreakBefore w:val="0"/>
        <w:widowControl w:val="0"/>
        <w:numPr>
          <w:ilvl w:val="0"/>
          <w:numId w:val="0"/>
        </w:numPr>
        <w:tabs>
          <w:tab w:val="left" w:pos="1303"/>
        </w:tabs>
        <w:kinsoku/>
        <w:wordWrap/>
        <w:overflowPunct/>
        <w:topLinePunct w:val="0"/>
        <w:autoSpaceDE/>
        <w:autoSpaceDN/>
        <w:bidi w:val="0"/>
        <w:adjustRightInd w:val="0"/>
        <w:snapToGrid w:val="0"/>
        <w:spacing w:beforeLines="0" w:afterLines="0" w:line="560" w:lineRule="exact"/>
        <w:ind w:leftChars="0" w:firstLine="640" w:firstLineChars="200"/>
        <w:jc w:val="both"/>
        <w:textAlignment w:val="auto"/>
        <w:rPr>
          <w:rFonts w:hint="eastAsia" w:ascii="仿宋_GB2312" w:hAnsi="仿宋_GB2312" w:eastAsia="仿宋_GB2312" w:cs="仿宋_GB2312"/>
          <w:color w:val="auto"/>
          <w:lang w:val="en-US" w:eastAsia="zh-CN"/>
        </w:rPr>
      </w:pPr>
      <w:r>
        <w:rPr>
          <w:rFonts w:hint="eastAsia" w:ascii="仿宋_GB2312" w:hAnsi="仿宋_GB2312" w:eastAsia="仿宋_GB2312" w:cs="仿宋_GB2312"/>
          <w:b w:val="0"/>
          <w:bCs w:val="0"/>
          <w:color w:val="auto"/>
          <w:sz w:val="32"/>
          <w:szCs w:val="40"/>
          <w:highlight w:val="none"/>
          <w:lang w:val="en-US" w:eastAsia="zh-CN"/>
        </w:rPr>
        <w:t>a.</w:t>
      </w:r>
      <w:r>
        <w:rPr>
          <w:rFonts w:hint="eastAsia" w:ascii="仿宋_GB2312" w:hAnsi="仿宋_GB2312" w:eastAsia="仿宋_GB2312" w:cs="仿宋_GB2312"/>
          <w:color w:val="auto"/>
          <w:lang w:val="en-US" w:eastAsia="zh-CN"/>
        </w:rPr>
        <w:t>违规使用公共数据的。</w:t>
      </w:r>
    </w:p>
    <w:p w14:paraId="5B0BEA41">
      <w:pPr>
        <w:keepNext w:val="0"/>
        <w:keepLines w:val="0"/>
        <w:pageBreakBefore w:val="0"/>
        <w:widowControl w:val="0"/>
        <w:numPr>
          <w:ilvl w:val="0"/>
          <w:numId w:val="0"/>
        </w:numPr>
        <w:tabs>
          <w:tab w:val="left" w:pos="1303"/>
        </w:tabs>
        <w:kinsoku/>
        <w:wordWrap/>
        <w:overflowPunct/>
        <w:topLinePunct w:val="0"/>
        <w:autoSpaceDE/>
        <w:autoSpaceDN/>
        <w:bidi w:val="0"/>
        <w:adjustRightInd w:val="0"/>
        <w:snapToGrid w:val="0"/>
        <w:spacing w:beforeLines="0" w:afterLines="0" w:line="560" w:lineRule="exact"/>
        <w:ind w:leftChars="0" w:firstLine="640"/>
        <w:jc w:val="both"/>
        <w:textAlignment w:val="auto"/>
        <w:rPr>
          <w:rFonts w:hint="eastAsia" w:ascii="仿宋_GB2312" w:hAnsi="仿宋_GB2312" w:eastAsia="仿宋_GB2312" w:cs="仿宋_GB2312"/>
          <w:color w:val="auto"/>
          <w:szCs w:val="40"/>
          <w:highlight w:val="none"/>
          <w:lang w:val="en-US" w:eastAsia="zh-CN"/>
        </w:rPr>
      </w:pPr>
      <w:r>
        <w:rPr>
          <w:rFonts w:hint="eastAsia" w:ascii="仿宋_GB2312" w:hAnsi="仿宋_GB2312" w:eastAsia="仿宋_GB2312" w:cs="仿宋_GB2312"/>
          <w:color w:val="auto"/>
          <w:szCs w:val="40"/>
          <w:highlight w:val="none"/>
          <w:lang w:val="en-US" w:eastAsia="zh-CN"/>
        </w:rPr>
        <w:t>b.未按照授权运营协议和数据管理相关要求采取安全保障措施的。</w:t>
      </w:r>
    </w:p>
    <w:p w14:paraId="62915C1E">
      <w:pPr>
        <w:keepNext w:val="0"/>
        <w:keepLines w:val="0"/>
        <w:pageBreakBefore w:val="0"/>
        <w:widowControl w:val="0"/>
        <w:numPr>
          <w:ilvl w:val="0"/>
          <w:numId w:val="0"/>
        </w:numPr>
        <w:tabs>
          <w:tab w:val="left" w:pos="1303"/>
        </w:tabs>
        <w:kinsoku/>
        <w:wordWrap/>
        <w:overflowPunct/>
        <w:topLinePunct w:val="0"/>
        <w:autoSpaceDE/>
        <w:autoSpaceDN/>
        <w:bidi w:val="0"/>
        <w:adjustRightInd w:val="0"/>
        <w:snapToGrid w:val="0"/>
        <w:spacing w:beforeLines="0" w:afterLines="0" w:line="560" w:lineRule="exact"/>
        <w:ind w:leftChars="0" w:firstLine="640"/>
        <w:jc w:val="both"/>
        <w:textAlignment w:val="auto"/>
        <w:rPr>
          <w:rFonts w:hint="eastAsia" w:ascii="仿宋_GB2312" w:hAnsi="仿宋_GB2312" w:eastAsia="仿宋_GB2312" w:cs="仿宋_GB2312"/>
          <w:color w:val="auto"/>
          <w:szCs w:val="40"/>
          <w:highlight w:val="none"/>
          <w:lang w:val="en-US" w:eastAsia="zh-CN"/>
        </w:rPr>
      </w:pPr>
      <w:r>
        <w:rPr>
          <w:rFonts w:hint="eastAsia" w:ascii="仿宋_GB2312" w:hAnsi="仿宋_GB2312" w:eastAsia="仿宋_GB2312" w:cs="仿宋_GB2312"/>
          <w:color w:val="auto"/>
          <w:szCs w:val="40"/>
          <w:highlight w:val="none"/>
          <w:lang w:val="en-US" w:eastAsia="zh-CN"/>
        </w:rPr>
        <w:t>c.评估结果不符合授权运营要求的。</w:t>
      </w:r>
    </w:p>
    <w:p w14:paraId="654E1C52">
      <w:pPr>
        <w:keepNext w:val="0"/>
        <w:keepLines w:val="0"/>
        <w:pageBreakBefore w:val="0"/>
        <w:widowControl w:val="0"/>
        <w:numPr>
          <w:ilvl w:val="0"/>
          <w:numId w:val="0"/>
        </w:numPr>
        <w:tabs>
          <w:tab w:val="left" w:pos="1303"/>
        </w:tabs>
        <w:kinsoku/>
        <w:wordWrap/>
        <w:overflowPunct/>
        <w:topLinePunct w:val="0"/>
        <w:autoSpaceDE/>
        <w:autoSpaceDN/>
        <w:bidi w:val="0"/>
        <w:adjustRightInd w:val="0"/>
        <w:snapToGrid w:val="0"/>
        <w:spacing w:beforeLines="0" w:afterLines="0" w:line="560" w:lineRule="exact"/>
        <w:ind w:leftChars="0" w:firstLine="640"/>
        <w:jc w:val="both"/>
        <w:textAlignment w:val="auto"/>
        <w:rPr>
          <w:rFonts w:hint="eastAsia" w:ascii="仿宋_GB2312" w:hAnsi="仿宋_GB2312" w:eastAsia="仿宋_GB2312" w:cs="仿宋_GB2312"/>
          <w:color w:val="auto"/>
          <w:szCs w:val="40"/>
          <w:highlight w:val="none"/>
          <w:lang w:val="en-US" w:eastAsia="zh-CN"/>
        </w:rPr>
      </w:pPr>
      <w:r>
        <w:rPr>
          <w:rFonts w:hint="eastAsia" w:ascii="仿宋_GB2312" w:hAnsi="仿宋_GB2312" w:eastAsia="仿宋_GB2312" w:cs="仿宋_GB2312"/>
          <w:color w:val="auto"/>
          <w:szCs w:val="40"/>
          <w:highlight w:val="none"/>
          <w:lang w:val="en-US" w:eastAsia="zh-CN"/>
        </w:rPr>
        <w:t>d.违反法律、法规的。</w:t>
      </w:r>
    </w:p>
    <w:p w14:paraId="617BDC3D">
      <w:pPr>
        <w:keepNext w:val="0"/>
        <w:keepLines w:val="0"/>
        <w:pageBreakBefore w:val="0"/>
        <w:widowControl w:val="0"/>
        <w:numPr>
          <w:ilvl w:val="0"/>
          <w:numId w:val="0"/>
        </w:numPr>
        <w:tabs>
          <w:tab w:val="left" w:pos="1303"/>
        </w:tabs>
        <w:kinsoku/>
        <w:wordWrap/>
        <w:overflowPunct/>
        <w:topLinePunct w:val="0"/>
        <w:autoSpaceDE/>
        <w:autoSpaceDN/>
        <w:bidi w:val="0"/>
        <w:adjustRightInd w:val="0"/>
        <w:snapToGrid w:val="0"/>
        <w:spacing w:beforeLines="0" w:afterLines="0" w:line="560" w:lineRule="exact"/>
        <w:ind w:leftChars="0" w:firstLine="640"/>
        <w:jc w:val="both"/>
        <w:textAlignment w:val="auto"/>
        <w:rPr>
          <w:rFonts w:hint="eastAsia" w:ascii="仿宋_GB2312" w:hAnsi="仿宋_GB2312" w:eastAsia="仿宋_GB2312" w:cs="仿宋_GB2312"/>
          <w:color w:val="auto"/>
          <w:szCs w:val="40"/>
          <w:highlight w:val="none"/>
          <w:lang w:val="en-US" w:eastAsia="zh-CN"/>
        </w:rPr>
      </w:pPr>
      <w:r>
        <w:rPr>
          <w:rFonts w:hint="eastAsia" w:ascii="仿宋_GB2312" w:hAnsi="仿宋_GB2312" w:eastAsia="仿宋_GB2312" w:cs="仿宋_GB2312"/>
          <w:color w:val="auto"/>
          <w:szCs w:val="40"/>
          <w:highlight w:val="none"/>
          <w:lang w:val="en-US" w:eastAsia="zh-CN"/>
        </w:rPr>
        <w:t>e.其他严重违反授权运营协议的情形。</w:t>
      </w:r>
    </w:p>
    <w:p w14:paraId="207B5F6D">
      <w:pPr>
        <w:pStyle w:val="20"/>
        <w:keepNext w:val="0"/>
        <w:keepLines w:val="0"/>
        <w:pageBreakBefore w:val="0"/>
        <w:widowControl w:val="0"/>
        <w:numPr>
          <w:ilvl w:val="-1"/>
          <w:numId w:val="0"/>
        </w:numPr>
        <w:tabs>
          <w:tab w:val="left" w:pos="399"/>
        </w:tabs>
        <w:kinsoku/>
        <w:wordWrap/>
        <w:overflowPunct/>
        <w:topLinePunct w:val="0"/>
        <w:autoSpaceDE/>
        <w:autoSpaceDN/>
        <w:bidi w:val="0"/>
        <w:adjustRightInd w:val="0"/>
        <w:snapToGrid w:val="0"/>
        <w:ind w:firstLine="640" w:firstLineChars="200"/>
        <w:jc w:val="both"/>
        <w:textAlignment w:val="auto"/>
        <w:rPr>
          <w:rFonts w:hint="eastAsia"/>
          <w:color w:val="auto"/>
          <w:lang w:val="en-US" w:eastAsia="zh-CN"/>
        </w:rPr>
      </w:pPr>
      <w:r>
        <w:rPr>
          <w:rFonts w:hint="eastAsia" w:ascii="仿宋_GB2312" w:hAnsi="仿宋_GB2312"/>
          <w:color w:val="auto"/>
          <w:lang w:val="en-US" w:eastAsia="zh-CN"/>
        </w:rPr>
        <w:t>2.</w:t>
      </w:r>
      <w:r>
        <w:rPr>
          <w:rFonts w:hint="eastAsia"/>
          <w:color w:val="auto"/>
          <w:lang w:val="en-US" w:eastAsia="zh-CN"/>
        </w:rPr>
        <w:t>退出执行规范</w:t>
      </w:r>
    </w:p>
    <w:p w14:paraId="0B7A0A4D">
      <w:pPr>
        <w:pStyle w:val="18"/>
        <w:keepNext w:val="0"/>
        <w:keepLines w:val="0"/>
        <w:pageBreakBefore w:val="0"/>
        <w:widowControl w:val="0"/>
        <w:kinsoku/>
        <w:wordWrap/>
        <w:overflowPunct/>
        <w:topLinePunct w:val="0"/>
        <w:autoSpaceDE/>
        <w:autoSpaceDN/>
        <w:bidi w:val="0"/>
        <w:adjustRightInd w:val="0"/>
        <w:snapToGrid w:val="0"/>
        <w:spacing w:beforeLines="0" w:afterLines="0"/>
        <w:ind w:firstLine="640" w:firstLineChars="200"/>
        <w:jc w:val="both"/>
        <w:textAlignment w:val="auto"/>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建立“数据清零</w:t>
      </w:r>
      <w:r>
        <w:rPr>
          <w:rFonts w:hint="eastAsia" w:ascii="仿宋_GB2312" w:hAnsi="仿宋_GB2312" w:cs="仿宋_GB2312"/>
          <w:color w:val="auto"/>
          <w:lang w:val="en-US" w:eastAsia="zh-CN"/>
        </w:rPr>
        <w:t>—</w:t>
      </w:r>
      <w:r>
        <w:rPr>
          <w:rFonts w:hint="eastAsia" w:ascii="仿宋_GB2312" w:hAnsi="仿宋_GB2312" w:eastAsia="仿宋_GB2312" w:cs="仿宋_GB2312"/>
          <w:color w:val="auto"/>
          <w:lang w:val="en-US" w:eastAsia="zh-CN"/>
        </w:rPr>
        <w:t>能力移交</w:t>
      </w:r>
      <w:r>
        <w:rPr>
          <w:rFonts w:hint="eastAsia" w:ascii="仿宋_GB2312" w:hAnsi="仿宋_GB2312" w:cs="仿宋_GB2312"/>
          <w:color w:val="auto"/>
          <w:lang w:val="en-US" w:eastAsia="zh-CN"/>
        </w:rPr>
        <w:t>—</w:t>
      </w:r>
      <w:r>
        <w:rPr>
          <w:rFonts w:hint="eastAsia" w:ascii="仿宋_GB2312" w:hAnsi="仿宋_GB2312" w:eastAsia="仿宋_GB2312" w:cs="仿宋_GB2312"/>
          <w:color w:val="auto"/>
          <w:lang w:val="en-US" w:eastAsia="zh-CN"/>
        </w:rPr>
        <w:t>生态衔接”三步流程，要求退出机构30日内完成数据资产返还及衍生模型销毁。设立黑名单制度，对违规机构实施5年市场禁入。</w:t>
      </w:r>
    </w:p>
    <w:p w14:paraId="4D24773E">
      <w:pPr>
        <w:pStyle w:val="19"/>
        <w:keepNext w:val="0"/>
        <w:keepLines w:val="0"/>
        <w:pageBreakBefore w:val="0"/>
        <w:widowControl w:val="0"/>
        <w:numPr>
          <w:ilvl w:val="0"/>
          <w:numId w:val="8"/>
        </w:numPr>
        <w:kinsoku/>
        <w:wordWrap/>
        <w:overflowPunct/>
        <w:topLinePunct w:val="0"/>
        <w:autoSpaceDE/>
        <w:autoSpaceDN/>
        <w:bidi w:val="0"/>
        <w:adjustRightInd w:val="0"/>
        <w:snapToGrid w:val="0"/>
        <w:jc w:val="both"/>
        <w:rPr>
          <w:rFonts w:hint="eastAsia"/>
          <w:color w:val="auto"/>
          <w:lang w:val="en-US" w:eastAsia="zh-CN"/>
        </w:rPr>
      </w:pPr>
      <w:r>
        <w:rPr>
          <w:rFonts w:hint="eastAsia"/>
          <w:color w:val="auto"/>
          <w:lang w:val="en-US" w:eastAsia="zh-CN"/>
        </w:rPr>
        <w:t>资产管理</w:t>
      </w:r>
    </w:p>
    <w:p w14:paraId="3614C4F7">
      <w:pPr>
        <w:pStyle w:val="18"/>
        <w:keepNext w:val="0"/>
        <w:keepLines w:val="0"/>
        <w:pageBreakBefore w:val="0"/>
        <w:widowControl w:val="0"/>
        <w:kinsoku/>
        <w:wordWrap/>
        <w:overflowPunct/>
        <w:topLinePunct w:val="0"/>
        <w:autoSpaceDE/>
        <w:autoSpaceDN/>
        <w:bidi w:val="0"/>
        <w:adjustRightInd w:val="0"/>
        <w:snapToGrid w:val="0"/>
        <w:spacing w:beforeLines="0" w:afterLines="0"/>
        <w:jc w:val="both"/>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按照《公共数据资源登记管理暂行办法》（发改数据规〔2025〕26号）依托</w:t>
      </w:r>
      <w:r>
        <w:rPr>
          <w:rFonts w:hint="eastAsia" w:ascii="仿宋_GB2312" w:hAnsi="仿宋_GB2312" w:cs="仿宋_GB2312"/>
          <w:color w:val="auto"/>
          <w:highlight w:val="none"/>
          <w:lang w:val="en-US" w:eastAsia="zh-CN"/>
        </w:rPr>
        <w:t>公共数据资源</w:t>
      </w:r>
      <w:r>
        <w:rPr>
          <w:rFonts w:hint="eastAsia" w:ascii="仿宋_GB2312" w:hAnsi="仿宋_GB2312" w:eastAsia="仿宋_GB2312" w:cs="仿宋_GB2312"/>
          <w:color w:val="auto"/>
          <w:highlight w:val="none"/>
          <w:lang w:val="en-US" w:eastAsia="zh-CN"/>
        </w:rPr>
        <w:t>登记平台，</w:t>
      </w:r>
      <w:r>
        <w:rPr>
          <w:rFonts w:hint="eastAsia" w:ascii="仿宋_GB2312" w:hAnsi="仿宋_GB2312" w:cs="仿宋_GB2312"/>
          <w:color w:val="auto"/>
          <w:highlight w:val="none"/>
          <w:lang w:val="en-US" w:eastAsia="zh-CN"/>
        </w:rPr>
        <w:t>实施机构</w:t>
      </w:r>
      <w:r>
        <w:rPr>
          <w:rFonts w:hint="eastAsia" w:ascii="仿宋_GB2312" w:hAnsi="仿宋_GB2312" w:eastAsia="仿宋_GB2312" w:cs="仿宋_GB2312"/>
          <w:color w:val="auto"/>
          <w:highlight w:val="none"/>
          <w:lang w:val="en-US" w:eastAsia="zh-CN"/>
        </w:rPr>
        <w:t>对</w:t>
      </w:r>
      <w:r>
        <w:rPr>
          <w:rFonts w:hint="eastAsia" w:ascii="仿宋_GB2312" w:hAnsi="仿宋_GB2312" w:cs="仿宋_GB2312"/>
          <w:color w:val="auto"/>
          <w:highlight w:val="none"/>
          <w:lang w:val="en-US" w:eastAsia="zh-CN"/>
        </w:rPr>
        <w:t>纳入授权运营范围的公共</w:t>
      </w:r>
      <w:r>
        <w:rPr>
          <w:rFonts w:hint="eastAsia" w:ascii="仿宋_GB2312" w:hAnsi="仿宋_GB2312" w:eastAsia="仿宋_GB2312" w:cs="仿宋_GB2312"/>
          <w:color w:val="auto"/>
          <w:highlight w:val="none"/>
          <w:lang w:val="en-US" w:eastAsia="zh-CN"/>
        </w:rPr>
        <w:t>数据资源进行登记，</w:t>
      </w:r>
      <w:r>
        <w:rPr>
          <w:rFonts w:hint="eastAsia" w:ascii="仿宋_GB2312" w:hAnsi="仿宋_GB2312" w:cs="仿宋_GB2312"/>
          <w:color w:val="auto"/>
          <w:highlight w:val="none"/>
          <w:lang w:val="en-US" w:eastAsia="zh-CN"/>
        </w:rPr>
        <w:t>运营机构对被授权的公共资源加工形成的数据产品和服务进行登记，</w:t>
      </w:r>
      <w:r>
        <w:rPr>
          <w:rFonts w:hint="eastAsia" w:ascii="仿宋_GB2312" w:hAnsi="仿宋_GB2312" w:eastAsia="仿宋_GB2312" w:cs="仿宋_GB2312"/>
          <w:color w:val="auto"/>
          <w:highlight w:val="none"/>
          <w:lang w:val="en-US" w:eastAsia="zh-CN"/>
        </w:rPr>
        <w:t>明确</w:t>
      </w:r>
      <w:r>
        <w:rPr>
          <w:rFonts w:hint="eastAsia" w:ascii="仿宋_GB2312" w:hAnsi="仿宋_GB2312" w:cs="仿宋_GB2312"/>
          <w:color w:val="auto"/>
          <w:highlight w:val="none"/>
          <w:lang w:val="en-US" w:eastAsia="zh-CN"/>
        </w:rPr>
        <w:t>数据资源持有权、数据加工使用权、数据产品经营权</w:t>
      </w:r>
      <w:r>
        <w:rPr>
          <w:rFonts w:hint="eastAsia" w:ascii="仿宋_GB2312" w:hAnsi="仿宋_GB2312" w:eastAsia="仿宋_GB2312" w:cs="仿宋_GB2312"/>
          <w:color w:val="auto"/>
          <w:highlight w:val="none"/>
          <w:lang w:val="en-US" w:eastAsia="zh-CN"/>
        </w:rPr>
        <w:t>。</w:t>
      </w:r>
    </w:p>
    <w:p w14:paraId="13724110">
      <w:pPr>
        <w:pStyle w:val="17"/>
        <w:keepNext w:val="0"/>
        <w:keepLines w:val="0"/>
        <w:pageBreakBefore w:val="0"/>
        <w:widowControl w:val="0"/>
        <w:kinsoku/>
        <w:wordWrap/>
        <w:overflowPunct/>
        <w:topLinePunct w:val="0"/>
        <w:autoSpaceDE/>
        <w:autoSpaceDN/>
        <w:bidi w:val="0"/>
        <w:adjustRightInd w:val="0"/>
        <w:snapToGrid w:val="0"/>
        <w:jc w:val="both"/>
        <w:rPr>
          <w:rFonts w:hint="eastAsia"/>
          <w:color w:val="auto"/>
          <w:highlight w:val="none"/>
          <w:lang w:val="en-US" w:eastAsia="zh-CN"/>
        </w:rPr>
      </w:pPr>
      <w:r>
        <w:rPr>
          <w:rFonts w:hint="eastAsia"/>
          <w:color w:val="auto"/>
          <w:highlight w:val="none"/>
          <w:lang w:val="en-US" w:eastAsia="zh-CN"/>
        </w:rPr>
        <w:t>公共数据产品和服务清单</w:t>
      </w:r>
    </w:p>
    <w:p w14:paraId="14310E79">
      <w:pPr>
        <w:keepNext w:val="0"/>
        <w:keepLines w:val="0"/>
        <w:pageBreakBefore w:val="0"/>
        <w:widowControl w:val="0"/>
        <w:kinsoku/>
        <w:wordWrap/>
        <w:overflowPunct/>
        <w:topLinePunct w:val="0"/>
        <w:autoSpaceDE/>
        <w:autoSpaceDN/>
        <w:bidi w:val="0"/>
        <w:adjustRightInd w:val="0"/>
        <w:snapToGrid w:val="0"/>
        <w:spacing w:beforeLines="0" w:afterLines="0" w:line="560" w:lineRule="exact"/>
        <w:ind w:left="0" w:right="0" w:firstLine="640" w:firstLineChars="200"/>
        <w:jc w:val="both"/>
        <w:textAlignment w:val="baseline"/>
        <w:rPr>
          <w:rFonts w:hint="default" w:eastAsia="仿宋_GB2312"/>
          <w:color w:val="auto"/>
          <w:sz w:val="32"/>
          <w:szCs w:val="32"/>
          <w:highlight w:val="none"/>
          <w:lang w:val="en-US" w:eastAsia="zh-CN" w:bidi="ar"/>
        </w:rPr>
      </w:pPr>
      <w:r>
        <w:rPr>
          <w:rFonts w:hint="eastAsia" w:ascii="仿宋_GB2312" w:hAnsi="仿宋_GB2312" w:eastAsia="仿宋_GB2312" w:cs="仿宋_GB2312"/>
          <w:color w:val="auto"/>
          <w:sz w:val="32"/>
          <w:szCs w:val="32"/>
          <w:highlight w:val="none"/>
          <w:lang w:val="en-US" w:eastAsia="zh-CN"/>
        </w:rPr>
        <w:t>利用公共数据开发形成的数据产品，</w:t>
      </w:r>
      <w:r>
        <w:rPr>
          <w:rFonts w:eastAsia="仿宋_GB2312"/>
          <w:color w:val="auto"/>
          <w:kern w:val="0"/>
          <w:sz w:val="32"/>
          <w:szCs w:val="32"/>
          <w:highlight w:val="none"/>
          <w:shd w:val="clear" w:color="auto" w:fill="FFFFFF"/>
          <w:lang w:bidi="ar"/>
        </w:rPr>
        <w:t>涉及个人信息、商业秘密、保密商务信息的，需要获得数据指向的个人、企业授权同意</w:t>
      </w:r>
      <w:r>
        <w:rPr>
          <w:rFonts w:hint="eastAsia" w:eastAsia="仿宋_GB2312"/>
          <w:color w:val="auto"/>
          <w:kern w:val="0"/>
          <w:sz w:val="32"/>
          <w:szCs w:val="32"/>
          <w:highlight w:val="none"/>
          <w:shd w:val="clear" w:color="auto" w:fill="FFFFFF"/>
          <w:lang w:eastAsia="zh-CN" w:bidi="ar"/>
        </w:rPr>
        <w:t>。</w:t>
      </w:r>
      <w:r>
        <w:rPr>
          <w:rFonts w:hint="eastAsia" w:eastAsia="仿宋_GB2312"/>
          <w:color w:val="auto"/>
          <w:kern w:val="0"/>
          <w:sz w:val="32"/>
          <w:szCs w:val="32"/>
          <w:highlight w:val="none"/>
          <w:shd w:val="clear" w:color="auto" w:fill="FFFFFF"/>
          <w:lang w:val="en-US" w:eastAsia="zh-CN" w:bidi="ar"/>
        </w:rPr>
        <w:t>数据产品应应用于</w:t>
      </w:r>
      <w:r>
        <w:rPr>
          <w:rFonts w:hint="eastAsia" w:eastAsia="仿宋_GB2312"/>
          <w:color w:val="auto"/>
          <w:sz w:val="32"/>
          <w:szCs w:val="32"/>
          <w:highlight w:val="none"/>
          <w:lang w:val="en-US" w:eastAsia="zh-CN" w:bidi="ar"/>
        </w:rPr>
        <w:t>公共服务、公益事业等领域，或具有一定的社会价值、经济价值，赋能产业发展</w:t>
      </w:r>
      <w:r>
        <w:rPr>
          <w:rFonts w:hint="eastAsia" w:eastAsia="仿宋_GB2312"/>
          <w:color w:val="auto"/>
          <w:sz w:val="32"/>
          <w:szCs w:val="32"/>
          <w:highlight w:val="none"/>
          <w:lang w:eastAsia="zh-CN" w:bidi="ar"/>
        </w:rPr>
        <w:t>。</w:t>
      </w:r>
      <w:r>
        <w:rPr>
          <w:rFonts w:hint="eastAsia" w:ascii="仿宋_GB2312" w:hAnsi="仿宋_GB2312" w:eastAsia="仿宋_GB2312" w:cs="仿宋_GB2312"/>
          <w:color w:val="auto"/>
          <w:sz w:val="32"/>
          <w:szCs w:val="32"/>
          <w:highlight w:val="none"/>
        </w:rPr>
        <w:t>拟提供的公共数据产品清单允许动态更新，</w:t>
      </w:r>
      <w:r>
        <w:rPr>
          <w:rFonts w:hint="eastAsia" w:eastAsia="仿宋_GB2312"/>
          <w:color w:val="auto"/>
          <w:sz w:val="32"/>
          <w:szCs w:val="32"/>
          <w:highlight w:val="none"/>
          <w:lang w:val="en-US" w:eastAsia="zh-CN" w:bidi="ar"/>
        </w:rPr>
        <w:t>第一批拟提供的数据产品清单详见</w:t>
      </w:r>
      <w:r>
        <w:rPr>
          <w:rFonts w:hint="default" w:eastAsia="仿宋_GB2312"/>
          <w:color w:val="auto"/>
          <w:sz w:val="32"/>
          <w:szCs w:val="32"/>
          <w:highlight w:val="none"/>
          <w:lang w:val="en-US" w:eastAsia="zh-CN" w:bidi="ar"/>
        </w:rPr>
        <w:t>下表：</w:t>
      </w:r>
    </w:p>
    <w:tbl>
      <w:tblPr>
        <w:tblStyle w:val="11"/>
        <w:tblpPr w:leftFromText="180" w:rightFromText="180" w:vertAnchor="text" w:horzAnchor="page" w:tblpX="1402" w:tblpY="568"/>
        <w:tblOverlap w:val="never"/>
        <w:tblW w:w="501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5"/>
        <w:gridCol w:w="1177"/>
        <w:gridCol w:w="1256"/>
        <w:gridCol w:w="5906"/>
      </w:tblGrid>
      <w:tr w14:paraId="37C5F213">
        <w:trPr>
          <w:trHeight w:val="712" w:hRule="atLeast"/>
        </w:trPr>
        <w:tc>
          <w:tcPr>
            <w:tcW w:w="415" w:type="pct"/>
            <w:noWrap/>
            <w:vAlign w:val="center"/>
          </w:tcPr>
          <w:p w14:paraId="4CE5BD93">
            <w:pPr>
              <w:pStyle w:val="23"/>
              <w:keepNext w:val="0"/>
              <w:keepLines w:val="0"/>
              <w:pageBreakBefore w:val="0"/>
              <w:widowControl w:val="0"/>
              <w:suppressLineNumbers w:val="0"/>
              <w:kinsoku/>
              <w:wordWrap/>
              <w:overflowPunct/>
              <w:topLinePunct w:val="0"/>
              <w:autoSpaceDE/>
              <w:autoSpaceDN/>
              <w:bidi w:val="0"/>
              <w:adjustRightInd w:val="0"/>
              <w:snapToGrid w:val="0"/>
              <w:spacing w:before="0" w:beforeLines="0" w:after="0" w:afterLines="0" w:line="360" w:lineRule="exact"/>
              <w:ind w:left="0" w:leftChars="0" w:firstLineChars="0"/>
              <w:jc w:val="center"/>
              <w:textAlignment w:val="center"/>
              <w:rPr>
                <w:rFonts w:hint="eastAsia" w:ascii="黑体" w:hAnsi="黑体" w:eastAsia="黑体" w:cs="黑体"/>
                <w:color w:val="auto"/>
                <w:lang w:val="en-US" w:eastAsia="zh-CN"/>
              </w:rPr>
            </w:pPr>
            <w:r>
              <w:rPr>
                <w:rFonts w:hint="eastAsia" w:ascii="黑体" w:hAnsi="黑体" w:eastAsia="黑体" w:cs="黑体"/>
                <w:color w:val="auto"/>
                <w:lang w:val="en-US" w:eastAsia="zh-CN"/>
              </w:rPr>
              <w:t>序号</w:t>
            </w:r>
          </w:p>
        </w:tc>
        <w:tc>
          <w:tcPr>
            <w:tcW w:w="647" w:type="pct"/>
            <w:noWrap/>
            <w:vAlign w:val="center"/>
          </w:tcPr>
          <w:p w14:paraId="3133CBE5">
            <w:pPr>
              <w:pStyle w:val="23"/>
              <w:keepNext w:val="0"/>
              <w:keepLines w:val="0"/>
              <w:pageBreakBefore w:val="0"/>
              <w:widowControl w:val="0"/>
              <w:suppressLineNumbers w:val="0"/>
              <w:kinsoku/>
              <w:wordWrap/>
              <w:overflowPunct/>
              <w:topLinePunct w:val="0"/>
              <w:autoSpaceDE/>
              <w:autoSpaceDN/>
              <w:bidi w:val="0"/>
              <w:adjustRightInd w:val="0"/>
              <w:snapToGrid w:val="0"/>
              <w:spacing w:before="0" w:beforeLines="0" w:after="0" w:afterLines="0" w:line="360" w:lineRule="exact"/>
              <w:ind w:left="0" w:leftChars="0" w:firstLineChars="0"/>
              <w:jc w:val="center"/>
              <w:textAlignment w:val="center"/>
              <w:rPr>
                <w:rFonts w:hint="eastAsia" w:ascii="黑体" w:hAnsi="黑体" w:eastAsia="黑体" w:cs="黑体"/>
                <w:color w:val="auto"/>
                <w:lang w:val="en-US" w:eastAsia="zh-CN"/>
              </w:rPr>
            </w:pPr>
            <w:r>
              <w:rPr>
                <w:rFonts w:hint="eastAsia" w:ascii="黑体" w:hAnsi="黑体" w:eastAsia="黑体" w:cs="黑体"/>
                <w:color w:val="auto"/>
                <w:lang w:val="en-US" w:eastAsia="zh-CN"/>
              </w:rPr>
              <w:t>领域</w:t>
            </w:r>
          </w:p>
        </w:tc>
        <w:tc>
          <w:tcPr>
            <w:tcW w:w="690" w:type="pct"/>
            <w:noWrap/>
            <w:vAlign w:val="center"/>
          </w:tcPr>
          <w:p w14:paraId="45F7BD17">
            <w:pPr>
              <w:pStyle w:val="23"/>
              <w:keepNext w:val="0"/>
              <w:keepLines w:val="0"/>
              <w:pageBreakBefore w:val="0"/>
              <w:widowControl w:val="0"/>
              <w:suppressLineNumbers w:val="0"/>
              <w:kinsoku/>
              <w:wordWrap/>
              <w:overflowPunct/>
              <w:topLinePunct w:val="0"/>
              <w:autoSpaceDE/>
              <w:autoSpaceDN/>
              <w:bidi w:val="0"/>
              <w:adjustRightInd w:val="0"/>
              <w:snapToGrid w:val="0"/>
              <w:spacing w:before="0" w:beforeLines="0" w:after="0" w:afterLines="0" w:line="360" w:lineRule="exact"/>
              <w:ind w:left="0" w:leftChars="0" w:firstLineChars="0"/>
              <w:jc w:val="center"/>
              <w:textAlignment w:val="center"/>
              <w:rPr>
                <w:rFonts w:hint="eastAsia" w:ascii="黑体" w:hAnsi="黑体" w:eastAsia="黑体" w:cs="黑体"/>
                <w:color w:val="auto"/>
                <w:lang w:val="en-US" w:eastAsia="zh-CN"/>
              </w:rPr>
            </w:pPr>
            <w:r>
              <w:rPr>
                <w:rFonts w:hint="eastAsia" w:ascii="黑体" w:hAnsi="黑体" w:eastAsia="黑体" w:cs="黑体"/>
                <w:color w:val="auto"/>
                <w:lang w:val="en-US" w:eastAsia="zh-CN"/>
              </w:rPr>
              <w:t>应用场景</w:t>
            </w:r>
          </w:p>
        </w:tc>
        <w:tc>
          <w:tcPr>
            <w:tcW w:w="3247" w:type="pct"/>
            <w:noWrap/>
            <w:vAlign w:val="center"/>
          </w:tcPr>
          <w:p w14:paraId="021D4B1B">
            <w:pPr>
              <w:pStyle w:val="23"/>
              <w:keepNext w:val="0"/>
              <w:keepLines w:val="0"/>
              <w:pageBreakBefore w:val="0"/>
              <w:widowControl w:val="0"/>
              <w:suppressLineNumbers w:val="0"/>
              <w:kinsoku/>
              <w:wordWrap/>
              <w:overflowPunct/>
              <w:topLinePunct w:val="0"/>
              <w:autoSpaceDE/>
              <w:autoSpaceDN/>
              <w:bidi w:val="0"/>
              <w:adjustRightInd w:val="0"/>
              <w:snapToGrid w:val="0"/>
              <w:spacing w:before="0" w:beforeLines="0" w:after="0" w:afterLines="0" w:line="360" w:lineRule="exact"/>
              <w:ind w:left="0" w:leftChars="0" w:firstLineChars="0"/>
              <w:jc w:val="center"/>
              <w:textAlignment w:val="center"/>
              <w:rPr>
                <w:rFonts w:hint="eastAsia" w:ascii="黑体" w:hAnsi="黑体" w:eastAsia="黑体" w:cs="黑体"/>
                <w:color w:val="auto"/>
                <w:lang w:val="en-US" w:eastAsia="zh-CN"/>
              </w:rPr>
            </w:pPr>
            <w:r>
              <w:rPr>
                <w:rFonts w:hint="eastAsia" w:ascii="黑体" w:hAnsi="黑体" w:eastAsia="黑体" w:cs="黑体"/>
                <w:color w:val="auto"/>
                <w:lang w:val="en-US" w:eastAsia="zh-CN"/>
              </w:rPr>
              <w:t>服务形式</w:t>
            </w:r>
          </w:p>
        </w:tc>
      </w:tr>
      <w:tr w14:paraId="211C0B2A">
        <w:trPr>
          <w:trHeight w:val="2809" w:hRule="atLeast"/>
        </w:trPr>
        <w:tc>
          <w:tcPr>
            <w:tcW w:w="415" w:type="pct"/>
            <w:noWrap/>
            <w:vAlign w:val="center"/>
          </w:tcPr>
          <w:p w14:paraId="3836279F">
            <w:pPr>
              <w:pStyle w:val="23"/>
              <w:keepNext w:val="0"/>
              <w:keepLines w:val="0"/>
              <w:pageBreakBefore w:val="0"/>
              <w:widowControl w:val="0"/>
              <w:suppressLineNumbers w:val="0"/>
              <w:kinsoku/>
              <w:wordWrap/>
              <w:overflowPunct/>
              <w:topLinePunct w:val="0"/>
              <w:autoSpaceDE/>
              <w:autoSpaceDN/>
              <w:bidi w:val="0"/>
              <w:adjustRightInd w:val="0"/>
              <w:snapToGrid w:val="0"/>
              <w:spacing w:beforeLines="0" w:afterLines="0" w:line="360" w:lineRule="exact"/>
              <w:ind w:left="0" w:leftChars="0" w:firstLineChars="0"/>
              <w:jc w:val="both"/>
              <w:textAlignment w:val="center"/>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1</w:t>
            </w:r>
          </w:p>
        </w:tc>
        <w:tc>
          <w:tcPr>
            <w:tcW w:w="647" w:type="pct"/>
            <w:vMerge w:val="restart"/>
            <w:noWrap/>
            <w:vAlign w:val="center"/>
          </w:tcPr>
          <w:p w14:paraId="381F1777">
            <w:pPr>
              <w:pStyle w:val="23"/>
              <w:keepNext w:val="0"/>
              <w:keepLines w:val="0"/>
              <w:pageBreakBefore w:val="0"/>
              <w:widowControl w:val="0"/>
              <w:suppressLineNumbers w:val="0"/>
              <w:kinsoku/>
              <w:wordWrap/>
              <w:overflowPunct/>
              <w:topLinePunct w:val="0"/>
              <w:autoSpaceDE/>
              <w:autoSpaceDN/>
              <w:bidi w:val="0"/>
              <w:adjustRightInd w:val="0"/>
              <w:snapToGrid w:val="0"/>
              <w:spacing w:beforeLines="0" w:afterLines="0" w:line="360" w:lineRule="exact"/>
              <w:ind w:left="0" w:leftChars="0" w:firstLineChars="0"/>
              <w:jc w:val="both"/>
              <w:textAlignment w:val="center"/>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金融服务</w:t>
            </w:r>
          </w:p>
        </w:tc>
        <w:tc>
          <w:tcPr>
            <w:tcW w:w="690" w:type="pct"/>
            <w:noWrap/>
            <w:vAlign w:val="center"/>
          </w:tcPr>
          <w:p w14:paraId="24071419">
            <w:pPr>
              <w:pStyle w:val="23"/>
              <w:keepNext w:val="0"/>
              <w:keepLines w:val="0"/>
              <w:pageBreakBefore w:val="0"/>
              <w:widowControl w:val="0"/>
              <w:kinsoku/>
              <w:wordWrap/>
              <w:overflowPunct/>
              <w:topLinePunct w:val="0"/>
              <w:autoSpaceDN/>
              <w:bidi w:val="0"/>
              <w:adjustRightInd w:val="0"/>
              <w:snapToGrid w:val="0"/>
              <w:spacing w:beforeLines="0" w:afterLines="0" w:afterAutospacing="0" w:line="360" w:lineRule="exact"/>
              <w:ind w:firstLineChars="0"/>
              <w:jc w:val="both"/>
              <w:textAlignment w:val="auto"/>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企业商业金融贷款</w:t>
            </w:r>
          </w:p>
          <w:p w14:paraId="7BB4B19C">
            <w:pPr>
              <w:pStyle w:val="23"/>
              <w:keepNext w:val="0"/>
              <w:keepLines w:val="0"/>
              <w:pageBreakBefore w:val="0"/>
              <w:widowControl w:val="0"/>
              <w:suppressLineNumbers w:val="0"/>
              <w:kinsoku/>
              <w:wordWrap/>
              <w:overflowPunct/>
              <w:topLinePunct w:val="0"/>
              <w:autoSpaceDE/>
              <w:autoSpaceDN/>
              <w:bidi w:val="0"/>
              <w:adjustRightInd w:val="0"/>
              <w:snapToGrid w:val="0"/>
              <w:spacing w:beforeLines="0" w:afterLines="0" w:line="360" w:lineRule="exact"/>
              <w:ind w:left="0" w:leftChars="0" w:firstLineChars="0"/>
              <w:jc w:val="both"/>
              <w:textAlignment w:val="center"/>
              <w:rPr>
                <w:rFonts w:hint="eastAsia" w:ascii="仿宋_GB2312" w:hAnsi="仿宋_GB2312" w:eastAsia="仿宋_GB2312" w:cs="仿宋_GB2312"/>
                <w:color w:val="auto"/>
                <w:lang w:val="en-US" w:eastAsia="zh-CN"/>
              </w:rPr>
            </w:pPr>
          </w:p>
        </w:tc>
        <w:tc>
          <w:tcPr>
            <w:tcW w:w="3247" w:type="pct"/>
            <w:noWrap w:val="0"/>
            <w:vAlign w:val="center"/>
          </w:tcPr>
          <w:p w14:paraId="2FCB38C8">
            <w:pPr>
              <w:pStyle w:val="23"/>
              <w:keepNext w:val="0"/>
              <w:keepLines w:val="0"/>
              <w:pageBreakBefore w:val="0"/>
              <w:widowControl w:val="0"/>
              <w:suppressLineNumbers w:val="0"/>
              <w:kinsoku/>
              <w:wordWrap/>
              <w:overflowPunct/>
              <w:topLinePunct w:val="0"/>
              <w:autoSpaceDE/>
              <w:autoSpaceDN/>
              <w:bidi w:val="0"/>
              <w:adjustRightInd w:val="0"/>
              <w:snapToGrid w:val="0"/>
              <w:spacing w:beforeLines="0" w:afterLines="0" w:line="360" w:lineRule="exact"/>
              <w:jc w:val="both"/>
              <w:textAlignment w:val="center"/>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通过复用政府产业部门惠企政策补贴数据，将其与金融机构的风控贷款模型相融合，帮助科技中小微企业的提升贷款额度，即降低贷款门槛，增加贷款可得性，有效提升金融服务的精准度与效率，提升实体经济金融服务水平。</w:t>
            </w:r>
          </w:p>
        </w:tc>
      </w:tr>
      <w:tr w14:paraId="70563552">
        <w:trPr>
          <w:trHeight w:val="2581" w:hRule="atLeast"/>
        </w:trPr>
        <w:tc>
          <w:tcPr>
            <w:tcW w:w="415" w:type="pct"/>
            <w:noWrap/>
            <w:vAlign w:val="center"/>
          </w:tcPr>
          <w:p w14:paraId="1C533005">
            <w:pPr>
              <w:pStyle w:val="23"/>
              <w:keepNext w:val="0"/>
              <w:keepLines w:val="0"/>
              <w:pageBreakBefore w:val="0"/>
              <w:widowControl w:val="0"/>
              <w:suppressLineNumbers w:val="0"/>
              <w:kinsoku/>
              <w:wordWrap/>
              <w:overflowPunct/>
              <w:topLinePunct w:val="0"/>
              <w:autoSpaceDE/>
              <w:autoSpaceDN/>
              <w:bidi w:val="0"/>
              <w:adjustRightInd w:val="0"/>
              <w:snapToGrid w:val="0"/>
              <w:spacing w:beforeLines="0" w:afterLines="0" w:line="360" w:lineRule="exact"/>
              <w:ind w:left="0" w:leftChars="0" w:firstLineChars="0"/>
              <w:jc w:val="both"/>
              <w:textAlignment w:val="center"/>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2</w:t>
            </w:r>
          </w:p>
        </w:tc>
        <w:tc>
          <w:tcPr>
            <w:tcW w:w="647" w:type="pct"/>
            <w:vMerge w:val="continue"/>
            <w:noWrap/>
            <w:vAlign w:val="center"/>
          </w:tcPr>
          <w:p w14:paraId="032200D1">
            <w:pPr>
              <w:pStyle w:val="23"/>
              <w:keepNext w:val="0"/>
              <w:keepLines w:val="0"/>
              <w:pageBreakBefore w:val="0"/>
              <w:widowControl w:val="0"/>
              <w:suppressLineNumbers w:val="0"/>
              <w:kinsoku/>
              <w:wordWrap/>
              <w:overflowPunct/>
              <w:topLinePunct w:val="0"/>
              <w:autoSpaceDE/>
              <w:autoSpaceDN/>
              <w:bidi w:val="0"/>
              <w:adjustRightInd w:val="0"/>
              <w:snapToGrid w:val="0"/>
              <w:spacing w:beforeLines="0" w:afterLines="0" w:line="360" w:lineRule="exact"/>
              <w:jc w:val="both"/>
              <w:textAlignment w:val="center"/>
              <w:rPr>
                <w:rFonts w:hint="eastAsia" w:ascii="仿宋_GB2312" w:hAnsi="仿宋_GB2312" w:eastAsia="仿宋_GB2312" w:cs="仿宋_GB2312"/>
                <w:color w:val="auto"/>
                <w:lang w:val="en-US" w:eastAsia="zh-CN"/>
              </w:rPr>
            </w:pPr>
          </w:p>
        </w:tc>
        <w:tc>
          <w:tcPr>
            <w:tcW w:w="690" w:type="pct"/>
            <w:noWrap/>
            <w:vAlign w:val="center"/>
          </w:tcPr>
          <w:p w14:paraId="0881C25C">
            <w:pPr>
              <w:pStyle w:val="23"/>
              <w:keepNext w:val="0"/>
              <w:keepLines w:val="0"/>
              <w:pageBreakBefore w:val="0"/>
              <w:widowControl w:val="0"/>
              <w:kinsoku/>
              <w:wordWrap/>
              <w:overflowPunct/>
              <w:topLinePunct w:val="0"/>
              <w:autoSpaceDN/>
              <w:bidi w:val="0"/>
              <w:adjustRightInd w:val="0"/>
              <w:snapToGrid w:val="0"/>
              <w:spacing w:beforeLines="0" w:afterLines="0" w:afterAutospacing="0" w:line="360" w:lineRule="exact"/>
              <w:ind w:firstLineChars="0"/>
              <w:jc w:val="both"/>
              <w:textAlignment w:val="auto"/>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个人商业金融贷款</w:t>
            </w:r>
          </w:p>
          <w:p w14:paraId="42A5B642">
            <w:pPr>
              <w:pStyle w:val="23"/>
              <w:keepNext w:val="0"/>
              <w:keepLines w:val="0"/>
              <w:pageBreakBefore w:val="0"/>
              <w:widowControl w:val="0"/>
              <w:suppressLineNumbers w:val="0"/>
              <w:kinsoku/>
              <w:wordWrap/>
              <w:overflowPunct/>
              <w:topLinePunct w:val="0"/>
              <w:autoSpaceDE/>
              <w:autoSpaceDN/>
              <w:bidi w:val="0"/>
              <w:adjustRightInd w:val="0"/>
              <w:snapToGrid w:val="0"/>
              <w:spacing w:beforeLines="0" w:afterLines="0" w:line="360" w:lineRule="exact"/>
              <w:jc w:val="both"/>
              <w:textAlignment w:val="center"/>
              <w:rPr>
                <w:rFonts w:hint="eastAsia" w:ascii="仿宋_GB2312" w:hAnsi="仿宋_GB2312" w:eastAsia="仿宋_GB2312" w:cs="仿宋_GB2312"/>
                <w:color w:val="auto"/>
                <w:lang w:val="en-US" w:eastAsia="zh-CN"/>
              </w:rPr>
            </w:pPr>
          </w:p>
        </w:tc>
        <w:tc>
          <w:tcPr>
            <w:tcW w:w="3247" w:type="pct"/>
            <w:noWrap w:val="0"/>
            <w:vAlign w:val="center"/>
          </w:tcPr>
          <w:p w14:paraId="5F8A088C">
            <w:pPr>
              <w:pStyle w:val="23"/>
              <w:keepNext w:val="0"/>
              <w:keepLines w:val="0"/>
              <w:pageBreakBefore w:val="0"/>
              <w:widowControl w:val="0"/>
              <w:suppressLineNumbers w:val="0"/>
              <w:kinsoku/>
              <w:wordWrap/>
              <w:overflowPunct/>
              <w:topLinePunct w:val="0"/>
              <w:autoSpaceDE/>
              <w:autoSpaceDN/>
              <w:bidi w:val="0"/>
              <w:adjustRightInd w:val="0"/>
              <w:snapToGrid w:val="0"/>
              <w:spacing w:beforeLines="0" w:afterLines="0" w:line="360" w:lineRule="exact"/>
              <w:jc w:val="both"/>
              <w:textAlignment w:val="center"/>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金融机构通过人才补贴数据，更加精准地评估人才的信用状况和还款能力，为符合条件的高层次人才或创新创业团队提供个人贷款支持，帮助其解决资金需求，推动人才创新创业。</w:t>
            </w:r>
          </w:p>
        </w:tc>
      </w:tr>
      <w:tr w14:paraId="66880C6E">
        <w:trPr>
          <w:trHeight w:val="2402" w:hRule="atLeast"/>
        </w:trPr>
        <w:tc>
          <w:tcPr>
            <w:tcW w:w="415" w:type="pct"/>
            <w:noWrap/>
            <w:vAlign w:val="center"/>
          </w:tcPr>
          <w:p w14:paraId="4BAF8CA2">
            <w:pPr>
              <w:pStyle w:val="23"/>
              <w:keepNext w:val="0"/>
              <w:keepLines w:val="0"/>
              <w:pageBreakBefore w:val="0"/>
              <w:widowControl w:val="0"/>
              <w:suppressLineNumbers w:val="0"/>
              <w:kinsoku/>
              <w:wordWrap/>
              <w:overflowPunct/>
              <w:topLinePunct w:val="0"/>
              <w:autoSpaceDE/>
              <w:autoSpaceDN/>
              <w:bidi w:val="0"/>
              <w:adjustRightInd w:val="0"/>
              <w:snapToGrid w:val="0"/>
              <w:spacing w:beforeLines="0" w:afterLines="0" w:line="360" w:lineRule="exact"/>
              <w:ind w:left="0" w:leftChars="0" w:firstLineChars="0"/>
              <w:jc w:val="both"/>
              <w:textAlignment w:val="center"/>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3</w:t>
            </w:r>
          </w:p>
        </w:tc>
        <w:tc>
          <w:tcPr>
            <w:tcW w:w="647" w:type="pct"/>
            <w:noWrap/>
            <w:vAlign w:val="center"/>
          </w:tcPr>
          <w:p w14:paraId="34299EDC">
            <w:pPr>
              <w:pStyle w:val="23"/>
              <w:keepNext w:val="0"/>
              <w:keepLines w:val="0"/>
              <w:pageBreakBefore w:val="0"/>
              <w:widowControl w:val="0"/>
              <w:suppressLineNumbers w:val="0"/>
              <w:kinsoku/>
              <w:wordWrap/>
              <w:overflowPunct/>
              <w:topLinePunct w:val="0"/>
              <w:autoSpaceDE/>
              <w:autoSpaceDN/>
              <w:bidi w:val="0"/>
              <w:adjustRightInd w:val="0"/>
              <w:snapToGrid w:val="0"/>
              <w:spacing w:beforeLines="0" w:afterLines="0" w:line="360" w:lineRule="exact"/>
              <w:ind w:left="0" w:leftChars="0" w:firstLineChars="0"/>
              <w:jc w:val="both"/>
              <w:textAlignment w:val="center"/>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商贸流通</w:t>
            </w:r>
          </w:p>
        </w:tc>
        <w:tc>
          <w:tcPr>
            <w:tcW w:w="690" w:type="pct"/>
            <w:noWrap/>
            <w:vAlign w:val="center"/>
          </w:tcPr>
          <w:p w14:paraId="302FDF2F">
            <w:pPr>
              <w:pStyle w:val="23"/>
              <w:keepNext w:val="0"/>
              <w:keepLines w:val="0"/>
              <w:pageBreakBefore w:val="0"/>
              <w:widowControl w:val="0"/>
              <w:suppressLineNumbers w:val="0"/>
              <w:kinsoku/>
              <w:wordWrap/>
              <w:overflowPunct/>
              <w:topLinePunct w:val="0"/>
              <w:autoSpaceDE/>
              <w:autoSpaceDN/>
              <w:bidi w:val="0"/>
              <w:adjustRightInd w:val="0"/>
              <w:snapToGrid w:val="0"/>
              <w:spacing w:beforeLines="0" w:afterLines="0" w:line="360" w:lineRule="exact"/>
              <w:ind w:left="0" w:leftChars="0" w:firstLineChars="0"/>
              <w:jc w:val="both"/>
              <w:textAlignment w:val="center"/>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企业出海拓客</w:t>
            </w:r>
          </w:p>
        </w:tc>
        <w:tc>
          <w:tcPr>
            <w:tcW w:w="3247" w:type="pct"/>
            <w:noWrap/>
            <w:vAlign w:val="center"/>
          </w:tcPr>
          <w:p w14:paraId="70999E21">
            <w:pPr>
              <w:pStyle w:val="23"/>
              <w:keepNext w:val="0"/>
              <w:keepLines w:val="0"/>
              <w:pageBreakBefore w:val="0"/>
              <w:widowControl w:val="0"/>
              <w:suppressLineNumbers w:val="0"/>
              <w:kinsoku/>
              <w:wordWrap/>
              <w:overflowPunct/>
              <w:topLinePunct w:val="0"/>
              <w:autoSpaceDE/>
              <w:autoSpaceDN/>
              <w:bidi w:val="0"/>
              <w:adjustRightInd w:val="0"/>
              <w:snapToGrid w:val="0"/>
              <w:spacing w:beforeLines="0" w:afterLines="0" w:line="360" w:lineRule="exact"/>
              <w:jc w:val="both"/>
              <w:textAlignment w:val="center"/>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为企业出海提供数据支撑。出海企业通过贸易数据能够快速了解目标市场的总体经济状况、行业发展趋势，将有效地降低企业出海市场选择的风险和市场拓展的难度。</w:t>
            </w:r>
          </w:p>
        </w:tc>
      </w:tr>
      <w:tr w14:paraId="64832F72">
        <w:trPr>
          <w:trHeight w:val="2988" w:hRule="atLeast"/>
        </w:trPr>
        <w:tc>
          <w:tcPr>
            <w:tcW w:w="415" w:type="pct"/>
            <w:noWrap/>
            <w:vAlign w:val="center"/>
          </w:tcPr>
          <w:p w14:paraId="7BEC497F">
            <w:pPr>
              <w:pStyle w:val="23"/>
              <w:keepNext w:val="0"/>
              <w:keepLines w:val="0"/>
              <w:pageBreakBefore w:val="0"/>
              <w:widowControl w:val="0"/>
              <w:suppressLineNumbers w:val="0"/>
              <w:kinsoku/>
              <w:wordWrap/>
              <w:overflowPunct/>
              <w:topLinePunct w:val="0"/>
              <w:autoSpaceDE/>
              <w:autoSpaceDN/>
              <w:bidi w:val="0"/>
              <w:adjustRightInd w:val="0"/>
              <w:snapToGrid w:val="0"/>
              <w:spacing w:beforeLines="0" w:afterLines="0" w:line="360" w:lineRule="exact"/>
              <w:ind w:left="0" w:leftChars="0" w:firstLineChars="0"/>
              <w:jc w:val="both"/>
              <w:textAlignment w:val="center"/>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4</w:t>
            </w:r>
          </w:p>
        </w:tc>
        <w:tc>
          <w:tcPr>
            <w:tcW w:w="647" w:type="pct"/>
            <w:vMerge w:val="restart"/>
            <w:noWrap/>
            <w:vAlign w:val="center"/>
          </w:tcPr>
          <w:p w14:paraId="0A7CD8E2">
            <w:pPr>
              <w:pStyle w:val="23"/>
              <w:keepNext w:val="0"/>
              <w:keepLines w:val="0"/>
              <w:pageBreakBefore w:val="0"/>
              <w:widowControl w:val="0"/>
              <w:suppressLineNumbers w:val="0"/>
              <w:kinsoku/>
              <w:wordWrap/>
              <w:overflowPunct/>
              <w:topLinePunct w:val="0"/>
              <w:autoSpaceDE/>
              <w:autoSpaceDN/>
              <w:bidi w:val="0"/>
              <w:adjustRightInd w:val="0"/>
              <w:snapToGrid w:val="0"/>
              <w:spacing w:beforeLines="0" w:afterLines="0" w:line="360" w:lineRule="exact"/>
              <w:ind w:left="0" w:leftChars="0" w:firstLineChars="0"/>
              <w:jc w:val="both"/>
              <w:textAlignment w:val="center"/>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卫生健康</w:t>
            </w:r>
          </w:p>
        </w:tc>
        <w:tc>
          <w:tcPr>
            <w:tcW w:w="690" w:type="pct"/>
            <w:noWrap/>
            <w:vAlign w:val="center"/>
          </w:tcPr>
          <w:p w14:paraId="24470526">
            <w:pPr>
              <w:pStyle w:val="23"/>
              <w:keepNext w:val="0"/>
              <w:keepLines w:val="0"/>
              <w:pageBreakBefore w:val="0"/>
              <w:widowControl w:val="0"/>
              <w:suppressLineNumbers w:val="0"/>
              <w:kinsoku/>
              <w:wordWrap/>
              <w:overflowPunct/>
              <w:topLinePunct w:val="0"/>
              <w:autoSpaceDE/>
              <w:autoSpaceDN/>
              <w:bidi w:val="0"/>
              <w:adjustRightInd w:val="0"/>
              <w:snapToGrid w:val="0"/>
              <w:spacing w:beforeLines="0" w:afterLines="0" w:line="360" w:lineRule="exact"/>
              <w:ind w:left="0" w:leftChars="0" w:firstLineChars="0"/>
              <w:jc w:val="both"/>
              <w:textAlignment w:val="center"/>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AI中医大模型训练</w:t>
            </w:r>
          </w:p>
          <w:p w14:paraId="5E8445BB">
            <w:pPr>
              <w:pStyle w:val="23"/>
              <w:keepNext w:val="0"/>
              <w:keepLines w:val="0"/>
              <w:pageBreakBefore w:val="0"/>
              <w:widowControl w:val="0"/>
              <w:suppressLineNumbers w:val="0"/>
              <w:kinsoku/>
              <w:wordWrap/>
              <w:overflowPunct/>
              <w:topLinePunct w:val="0"/>
              <w:autoSpaceDE/>
              <w:autoSpaceDN/>
              <w:bidi w:val="0"/>
              <w:adjustRightInd w:val="0"/>
              <w:snapToGrid w:val="0"/>
              <w:spacing w:beforeLines="0" w:afterLines="0" w:line="360" w:lineRule="exact"/>
              <w:jc w:val="both"/>
              <w:textAlignment w:val="center"/>
              <w:rPr>
                <w:rFonts w:hint="eastAsia" w:ascii="仿宋_GB2312" w:hAnsi="仿宋_GB2312" w:eastAsia="仿宋_GB2312" w:cs="仿宋_GB2312"/>
                <w:color w:val="auto"/>
                <w:lang w:val="en-US" w:eastAsia="zh-CN"/>
              </w:rPr>
            </w:pPr>
          </w:p>
        </w:tc>
        <w:tc>
          <w:tcPr>
            <w:tcW w:w="3247" w:type="pct"/>
            <w:noWrap/>
            <w:vAlign w:val="center"/>
          </w:tcPr>
          <w:p w14:paraId="6C0EF23E">
            <w:pPr>
              <w:pStyle w:val="23"/>
              <w:keepNext w:val="0"/>
              <w:keepLines w:val="0"/>
              <w:pageBreakBefore w:val="0"/>
              <w:widowControl w:val="0"/>
              <w:suppressLineNumbers w:val="0"/>
              <w:kinsoku/>
              <w:wordWrap/>
              <w:overflowPunct/>
              <w:topLinePunct w:val="0"/>
              <w:autoSpaceDE/>
              <w:autoSpaceDN/>
              <w:bidi w:val="0"/>
              <w:adjustRightInd w:val="0"/>
              <w:snapToGrid w:val="0"/>
              <w:spacing w:beforeLines="0" w:afterLines="0" w:line="360" w:lineRule="exact"/>
              <w:jc w:val="both"/>
              <w:textAlignment w:val="center"/>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通过脱敏后的放射影像数据，提升AI医疗大模型的建立、训练和优化，推动肩周炎等损伤治疗设备的智能化发展。通过中医AI医疗设备，为患者提供病情分析，有助于减轻医疗系统压力，提高治病效率和准确性。</w:t>
            </w:r>
          </w:p>
        </w:tc>
      </w:tr>
      <w:tr w14:paraId="25B3DF6F">
        <w:trPr>
          <w:trHeight w:val="2988" w:hRule="atLeast"/>
        </w:trPr>
        <w:tc>
          <w:tcPr>
            <w:tcW w:w="415" w:type="pct"/>
            <w:noWrap/>
            <w:vAlign w:val="center"/>
          </w:tcPr>
          <w:p w14:paraId="6A2EB509">
            <w:pPr>
              <w:pStyle w:val="23"/>
              <w:keepNext w:val="0"/>
              <w:keepLines w:val="0"/>
              <w:pageBreakBefore w:val="0"/>
              <w:widowControl w:val="0"/>
              <w:suppressLineNumbers w:val="0"/>
              <w:kinsoku/>
              <w:wordWrap/>
              <w:overflowPunct/>
              <w:topLinePunct w:val="0"/>
              <w:autoSpaceDE/>
              <w:autoSpaceDN/>
              <w:bidi w:val="0"/>
              <w:adjustRightInd w:val="0"/>
              <w:snapToGrid w:val="0"/>
              <w:spacing w:beforeLines="0" w:afterLines="0" w:line="360" w:lineRule="exact"/>
              <w:ind w:left="0" w:leftChars="0" w:firstLineChars="0"/>
              <w:jc w:val="both"/>
              <w:textAlignment w:val="center"/>
              <w:rPr>
                <w:rFonts w:hint="default"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5</w:t>
            </w:r>
          </w:p>
        </w:tc>
        <w:tc>
          <w:tcPr>
            <w:tcW w:w="647" w:type="pct"/>
            <w:vMerge w:val="continue"/>
            <w:noWrap/>
            <w:vAlign w:val="center"/>
          </w:tcPr>
          <w:p w14:paraId="2712F525">
            <w:pPr>
              <w:pStyle w:val="23"/>
              <w:keepNext w:val="0"/>
              <w:keepLines w:val="0"/>
              <w:pageBreakBefore w:val="0"/>
              <w:widowControl w:val="0"/>
              <w:suppressLineNumbers w:val="0"/>
              <w:kinsoku/>
              <w:wordWrap/>
              <w:overflowPunct/>
              <w:topLinePunct w:val="0"/>
              <w:autoSpaceDE/>
              <w:autoSpaceDN/>
              <w:bidi w:val="0"/>
              <w:adjustRightInd w:val="0"/>
              <w:snapToGrid w:val="0"/>
              <w:spacing w:beforeLines="0" w:afterLines="0" w:line="360" w:lineRule="exact"/>
              <w:ind w:left="0" w:leftChars="0" w:firstLineChars="0"/>
              <w:jc w:val="both"/>
              <w:textAlignment w:val="center"/>
              <w:rPr>
                <w:rFonts w:hint="eastAsia" w:ascii="仿宋_GB2312" w:hAnsi="仿宋_GB2312" w:eastAsia="仿宋_GB2312" w:cs="仿宋_GB2312"/>
                <w:color w:val="auto"/>
                <w:lang w:val="en-US" w:eastAsia="zh-CN"/>
              </w:rPr>
            </w:pPr>
          </w:p>
        </w:tc>
        <w:tc>
          <w:tcPr>
            <w:tcW w:w="690" w:type="pct"/>
            <w:noWrap/>
            <w:vAlign w:val="center"/>
          </w:tcPr>
          <w:p w14:paraId="0C0AC5AD">
            <w:pPr>
              <w:pStyle w:val="23"/>
              <w:keepNext w:val="0"/>
              <w:keepLines w:val="0"/>
              <w:pageBreakBefore w:val="0"/>
              <w:widowControl w:val="0"/>
              <w:suppressLineNumbers w:val="0"/>
              <w:kinsoku/>
              <w:wordWrap/>
              <w:overflowPunct/>
              <w:topLinePunct w:val="0"/>
              <w:autoSpaceDE/>
              <w:autoSpaceDN/>
              <w:bidi w:val="0"/>
              <w:adjustRightInd w:val="0"/>
              <w:snapToGrid w:val="0"/>
              <w:spacing w:beforeLines="0" w:afterLines="0" w:line="360" w:lineRule="exact"/>
              <w:jc w:val="both"/>
              <w:textAlignment w:val="center"/>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商业保险理赔</w:t>
            </w:r>
          </w:p>
        </w:tc>
        <w:tc>
          <w:tcPr>
            <w:tcW w:w="3247" w:type="pct"/>
            <w:noWrap/>
            <w:vAlign w:val="center"/>
          </w:tcPr>
          <w:p w14:paraId="65E36620">
            <w:pPr>
              <w:pStyle w:val="23"/>
              <w:keepNext w:val="0"/>
              <w:keepLines w:val="0"/>
              <w:pageBreakBefore w:val="0"/>
              <w:widowControl w:val="0"/>
              <w:suppressLineNumbers w:val="0"/>
              <w:kinsoku/>
              <w:wordWrap/>
              <w:overflowPunct/>
              <w:topLinePunct w:val="0"/>
              <w:autoSpaceDE/>
              <w:autoSpaceDN/>
              <w:bidi w:val="0"/>
              <w:adjustRightInd w:val="0"/>
              <w:snapToGrid w:val="0"/>
              <w:spacing w:beforeLines="0" w:afterLines="0" w:line="360" w:lineRule="exact"/>
              <w:jc w:val="both"/>
              <w:textAlignment w:val="center"/>
              <w:rPr>
                <w:rFonts w:hint="eastAsia" w:ascii="仿宋_GB2312" w:hAnsi="仿宋_GB2312" w:eastAsia="仿宋_GB2312" w:cs="仿宋_GB2312"/>
                <w:color w:val="auto"/>
                <w:lang w:val="en-US" w:eastAsia="zh-CN"/>
              </w:rPr>
            </w:pPr>
            <w:r>
              <w:rPr>
                <w:rFonts w:hint="eastAsia" w:ascii="仿宋_GB2312" w:hAnsi="仿宋_GB2312" w:eastAsia="仿宋_GB2312" w:cs="仿宋_GB2312"/>
                <w:i w:val="0"/>
                <w:caps w:val="0"/>
                <w:color w:val="auto"/>
                <w:spacing w:val="0"/>
                <w:kern w:val="2"/>
                <w:sz w:val="24"/>
                <w:szCs w:val="24"/>
                <w:shd w:val="clear" w:color="auto" w:fill="auto"/>
                <w:lang w:val="en-US" w:eastAsia="zh-CN" w:bidi="ar-SA"/>
              </w:rPr>
              <w:t>可应用于医疗商业保险快速理赔场景。购买商业健康医疗保险的投保人就诊后向商保机构提出理赔申请，商保机构在核实投保人身份并获取投保人个人授权后，可安全调取与投保人本次险种报销相关的医疗证明数据，从而安全、可信、高效、便捷的完成理赔业务。</w:t>
            </w:r>
          </w:p>
        </w:tc>
      </w:tr>
      <w:tr w14:paraId="57102BFE">
        <w:trPr>
          <w:trHeight w:val="2857" w:hRule="atLeast"/>
        </w:trPr>
        <w:tc>
          <w:tcPr>
            <w:tcW w:w="415" w:type="pct"/>
            <w:noWrap/>
            <w:vAlign w:val="center"/>
          </w:tcPr>
          <w:p w14:paraId="5BA87023">
            <w:pPr>
              <w:pStyle w:val="23"/>
              <w:keepNext w:val="0"/>
              <w:keepLines w:val="0"/>
              <w:pageBreakBefore w:val="0"/>
              <w:widowControl w:val="0"/>
              <w:suppressLineNumbers w:val="0"/>
              <w:kinsoku/>
              <w:wordWrap/>
              <w:overflowPunct/>
              <w:topLinePunct w:val="0"/>
              <w:autoSpaceDE/>
              <w:autoSpaceDN/>
              <w:bidi w:val="0"/>
              <w:adjustRightInd w:val="0"/>
              <w:snapToGrid w:val="0"/>
              <w:spacing w:beforeLines="0" w:afterLines="0" w:line="360" w:lineRule="exact"/>
              <w:ind w:left="0" w:leftChars="0" w:firstLineChars="0"/>
              <w:jc w:val="both"/>
              <w:textAlignment w:val="center"/>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6</w:t>
            </w:r>
          </w:p>
        </w:tc>
        <w:tc>
          <w:tcPr>
            <w:tcW w:w="647" w:type="pct"/>
            <w:vMerge w:val="restart"/>
            <w:noWrap/>
            <w:vAlign w:val="center"/>
          </w:tcPr>
          <w:p w14:paraId="7AD54704">
            <w:pPr>
              <w:pStyle w:val="23"/>
              <w:keepNext w:val="0"/>
              <w:keepLines w:val="0"/>
              <w:pageBreakBefore w:val="0"/>
              <w:widowControl w:val="0"/>
              <w:suppressLineNumbers w:val="0"/>
              <w:kinsoku/>
              <w:wordWrap/>
              <w:overflowPunct/>
              <w:topLinePunct w:val="0"/>
              <w:autoSpaceDE/>
              <w:autoSpaceDN/>
              <w:bidi w:val="0"/>
              <w:adjustRightInd w:val="0"/>
              <w:snapToGrid w:val="0"/>
              <w:spacing w:beforeLines="0" w:afterLines="0" w:line="360" w:lineRule="exact"/>
              <w:ind w:left="0" w:leftChars="0" w:firstLineChars="0"/>
              <w:jc w:val="both"/>
              <w:textAlignment w:val="center"/>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城市治理</w:t>
            </w:r>
          </w:p>
        </w:tc>
        <w:tc>
          <w:tcPr>
            <w:tcW w:w="690" w:type="pct"/>
            <w:noWrap/>
            <w:vAlign w:val="center"/>
          </w:tcPr>
          <w:p w14:paraId="50C53234">
            <w:pPr>
              <w:pStyle w:val="23"/>
              <w:keepNext w:val="0"/>
              <w:keepLines w:val="0"/>
              <w:pageBreakBefore w:val="0"/>
              <w:widowControl w:val="0"/>
              <w:suppressLineNumbers w:val="0"/>
              <w:kinsoku/>
              <w:wordWrap/>
              <w:overflowPunct/>
              <w:topLinePunct w:val="0"/>
              <w:autoSpaceDE/>
              <w:autoSpaceDN/>
              <w:bidi w:val="0"/>
              <w:adjustRightInd w:val="0"/>
              <w:snapToGrid w:val="0"/>
              <w:spacing w:beforeLines="0" w:afterLines="0" w:line="360" w:lineRule="exact"/>
              <w:ind w:left="0" w:leftChars="0" w:firstLineChars="0"/>
              <w:jc w:val="both"/>
              <w:textAlignment w:val="center"/>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区域装修热力图</w:t>
            </w:r>
          </w:p>
        </w:tc>
        <w:tc>
          <w:tcPr>
            <w:tcW w:w="3247" w:type="pct"/>
            <w:noWrap/>
            <w:vAlign w:val="center"/>
          </w:tcPr>
          <w:p w14:paraId="1C1B90C5">
            <w:pPr>
              <w:pStyle w:val="23"/>
              <w:keepNext w:val="0"/>
              <w:keepLines w:val="0"/>
              <w:pageBreakBefore w:val="0"/>
              <w:widowControl w:val="0"/>
              <w:suppressLineNumbers w:val="0"/>
              <w:kinsoku/>
              <w:wordWrap/>
              <w:overflowPunct/>
              <w:topLinePunct w:val="0"/>
              <w:autoSpaceDE/>
              <w:autoSpaceDN/>
              <w:bidi w:val="0"/>
              <w:adjustRightInd w:val="0"/>
              <w:snapToGrid w:val="0"/>
              <w:spacing w:beforeLines="0" w:afterLines="0" w:line="360" w:lineRule="exact"/>
              <w:jc w:val="both"/>
              <w:textAlignment w:val="center"/>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通过龙华区小散工程装修数据，生成区域装修热力图。可以为商业地产或房地产行业形成竞争格局分析和区域价值预测、金融信贷机构形成装修公司贷款风控分析、施工单位诚信数据分析，提升实体经济金融服务、政务服务水平。</w:t>
            </w:r>
          </w:p>
        </w:tc>
      </w:tr>
      <w:tr w14:paraId="535ECFF6">
        <w:trPr>
          <w:trHeight w:val="1928" w:hRule="atLeast"/>
        </w:trPr>
        <w:tc>
          <w:tcPr>
            <w:tcW w:w="415" w:type="pct"/>
            <w:noWrap/>
            <w:vAlign w:val="center"/>
          </w:tcPr>
          <w:p w14:paraId="7874CF3E">
            <w:pPr>
              <w:pStyle w:val="23"/>
              <w:keepNext w:val="0"/>
              <w:keepLines w:val="0"/>
              <w:pageBreakBefore w:val="0"/>
              <w:widowControl w:val="0"/>
              <w:suppressLineNumbers w:val="0"/>
              <w:kinsoku/>
              <w:wordWrap/>
              <w:overflowPunct/>
              <w:topLinePunct w:val="0"/>
              <w:autoSpaceDE/>
              <w:autoSpaceDN/>
              <w:bidi w:val="0"/>
              <w:adjustRightInd w:val="0"/>
              <w:snapToGrid w:val="0"/>
              <w:spacing w:beforeLines="0" w:afterLines="0" w:line="360" w:lineRule="exact"/>
              <w:ind w:left="0" w:leftChars="0" w:firstLineChars="0"/>
              <w:jc w:val="both"/>
              <w:textAlignment w:val="center"/>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7</w:t>
            </w:r>
          </w:p>
        </w:tc>
        <w:tc>
          <w:tcPr>
            <w:tcW w:w="647" w:type="pct"/>
            <w:vMerge w:val="continue"/>
            <w:noWrap/>
            <w:vAlign w:val="center"/>
          </w:tcPr>
          <w:p w14:paraId="2B560C03">
            <w:pPr>
              <w:pStyle w:val="23"/>
              <w:keepNext w:val="0"/>
              <w:keepLines w:val="0"/>
              <w:pageBreakBefore w:val="0"/>
              <w:widowControl w:val="0"/>
              <w:suppressLineNumbers w:val="0"/>
              <w:kinsoku/>
              <w:wordWrap/>
              <w:overflowPunct/>
              <w:topLinePunct w:val="0"/>
              <w:autoSpaceDE/>
              <w:autoSpaceDN/>
              <w:bidi w:val="0"/>
              <w:adjustRightInd w:val="0"/>
              <w:snapToGrid w:val="0"/>
              <w:spacing w:beforeLines="0" w:afterLines="0" w:line="360" w:lineRule="exact"/>
              <w:jc w:val="both"/>
              <w:textAlignment w:val="center"/>
              <w:rPr>
                <w:rFonts w:hint="eastAsia" w:ascii="仿宋_GB2312" w:hAnsi="仿宋_GB2312" w:eastAsia="仿宋_GB2312" w:cs="仿宋_GB2312"/>
                <w:color w:val="auto"/>
                <w:lang w:val="en-US" w:eastAsia="zh-CN"/>
              </w:rPr>
            </w:pPr>
          </w:p>
        </w:tc>
        <w:tc>
          <w:tcPr>
            <w:tcW w:w="690" w:type="pct"/>
            <w:noWrap/>
            <w:vAlign w:val="center"/>
          </w:tcPr>
          <w:p w14:paraId="317117BC">
            <w:pPr>
              <w:pStyle w:val="23"/>
              <w:keepNext w:val="0"/>
              <w:keepLines w:val="0"/>
              <w:pageBreakBefore w:val="0"/>
              <w:widowControl w:val="0"/>
              <w:suppressLineNumbers w:val="0"/>
              <w:kinsoku/>
              <w:wordWrap/>
              <w:overflowPunct/>
              <w:topLinePunct w:val="0"/>
              <w:autoSpaceDE/>
              <w:autoSpaceDN/>
              <w:bidi w:val="0"/>
              <w:adjustRightInd w:val="0"/>
              <w:snapToGrid w:val="0"/>
              <w:spacing w:beforeLines="0" w:afterLines="0" w:line="360" w:lineRule="exact"/>
              <w:ind w:left="0" w:leftChars="0" w:firstLineChars="0"/>
              <w:jc w:val="both"/>
              <w:textAlignment w:val="center"/>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企业优化资源配置​</w:t>
            </w:r>
          </w:p>
        </w:tc>
        <w:tc>
          <w:tcPr>
            <w:tcW w:w="3247" w:type="pct"/>
            <w:noWrap/>
            <w:vAlign w:val="center"/>
          </w:tcPr>
          <w:p w14:paraId="7F3CE551">
            <w:pPr>
              <w:pStyle w:val="23"/>
              <w:keepNext w:val="0"/>
              <w:keepLines w:val="0"/>
              <w:pageBreakBefore w:val="0"/>
              <w:widowControl w:val="0"/>
              <w:suppressLineNumbers w:val="0"/>
              <w:kinsoku/>
              <w:wordWrap/>
              <w:overflowPunct/>
              <w:topLinePunct w:val="0"/>
              <w:autoSpaceDE/>
              <w:autoSpaceDN/>
              <w:bidi w:val="0"/>
              <w:adjustRightInd w:val="0"/>
              <w:snapToGrid w:val="0"/>
              <w:spacing w:beforeLines="0" w:afterLines="0" w:line="360" w:lineRule="exact"/>
              <w:jc w:val="both"/>
              <w:textAlignment w:val="center"/>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以网格员线下采集为基础，通过深圳市社区网格管理信息系统进行统计，可根据楼栋数量分析，提高城市治理效率、优化资源配置等。</w:t>
            </w:r>
          </w:p>
        </w:tc>
      </w:tr>
      <w:tr w14:paraId="29E52C18">
        <w:trPr>
          <w:trHeight w:val="1928" w:hRule="atLeast"/>
        </w:trPr>
        <w:tc>
          <w:tcPr>
            <w:tcW w:w="415" w:type="pct"/>
            <w:noWrap/>
            <w:vAlign w:val="center"/>
          </w:tcPr>
          <w:p w14:paraId="0F2509C6">
            <w:pPr>
              <w:pStyle w:val="23"/>
              <w:keepNext w:val="0"/>
              <w:keepLines w:val="0"/>
              <w:pageBreakBefore w:val="0"/>
              <w:widowControl w:val="0"/>
              <w:suppressLineNumbers w:val="0"/>
              <w:kinsoku/>
              <w:wordWrap/>
              <w:overflowPunct/>
              <w:topLinePunct w:val="0"/>
              <w:autoSpaceDE/>
              <w:autoSpaceDN/>
              <w:bidi w:val="0"/>
              <w:adjustRightInd w:val="0"/>
              <w:snapToGrid w:val="0"/>
              <w:spacing w:beforeLines="0" w:afterLines="0" w:line="360" w:lineRule="exact"/>
              <w:ind w:left="0" w:leftChars="0" w:firstLineChars="0"/>
              <w:jc w:val="both"/>
              <w:textAlignment w:val="center"/>
              <w:rPr>
                <w:rFonts w:hint="default"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8</w:t>
            </w:r>
          </w:p>
        </w:tc>
        <w:tc>
          <w:tcPr>
            <w:tcW w:w="647" w:type="pct"/>
            <w:vMerge w:val="continue"/>
            <w:noWrap/>
            <w:vAlign w:val="center"/>
          </w:tcPr>
          <w:p w14:paraId="3032D374">
            <w:pPr>
              <w:pStyle w:val="23"/>
              <w:keepNext w:val="0"/>
              <w:keepLines w:val="0"/>
              <w:pageBreakBefore w:val="0"/>
              <w:widowControl w:val="0"/>
              <w:suppressLineNumbers w:val="0"/>
              <w:kinsoku/>
              <w:wordWrap/>
              <w:overflowPunct/>
              <w:topLinePunct w:val="0"/>
              <w:autoSpaceDE/>
              <w:autoSpaceDN/>
              <w:bidi w:val="0"/>
              <w:adjustRightInd w:val="0"/>
              <w:snapToGrid w:val="0"/>
              <w:spacing w:beforeLines="0" w:afterLines="0" w:line="360" w:lineRule="exact"/>
              <w:jc w:val="both"/>
              <w:textAlignment w:val="center"/>
              <w:rPr>
                <w:rFonts w:hint="eastAsia" w:ascii="仿宋_GB2312" w:hAnsi="仿宋_GB2312" w:eastAsia="仿宋_GB2312" w:cs="仿宋_GB2312"/>
                <w:color w:val="auto"/>
                <w:lang w:val="en-US" w:eastAsia="zh-CN"/>
              </w:rPr>
            </w:pPr>
          </w:p>
        </w:tc>
        <w:tc>
          <w:tcPr>
            <w:tcW w:w="690" w:type="pct"/>
            <w:noWrap/>
            <w:vAlign w:val="center"/>
          </w:tcPr>
          <w:p w14:paraId="574FC021">
            <w:pPr>
              <w:pStyle w:val="23"/>
              <w:keepNext w:val="0"/>
              <w:keepLines w:val="0"/>
              <w:pageBreakBefore w:val="0"/>
              <w:widowControl w:val="0"/>
              <w:suppressLineNumbers w:val="0"/>
              <w:kinsoku/>
              <w:wordWrap/>
              <w:overflowPunct/>
              <w:topLinePunct w:val="0"/>
              <w:autoSpaceDE/>
              <w:autoSpaceDN/>
              <w:bidi w:val="0"/>
              <w:adjustRightInd w:val="0"/>
              <w:snapToGrid w:val="0"/>
              <w:spacing w:beforeLines="0" w:afterLines="0" w:line="360" w:lineRule="exact"/>
              <w:ind w:left="0" w:leftChars="0" w:firstLineChars="0"/>
              <w:jc w:val="both"/>
              <w:textAlignment w:val="center"/>
              <w:rPr>
                <w:rFonts w:hint="eastAsia" w:ascii="仿宋_GB2312" w:hAnsi="仿宋_GB2312" w:eastAsia="仿宋_GB2312" w:cs="仿宋_GB2312"/>
                <w:color w:val="auto"/>
                <w:lang w:val="en-US" w:eastAsia="zh-CN"/>
              </w:rPr>
            </w:pPr>
            <w:r>
              <w:rPr>
                <w:rFonts w:hint="eastAsia" w:ascii="仿宋_GB2312" w:hAnsi="仿宋_GB2312" w:eastAsia="仿宋_GB2312" w:cs="仿宋_GB2312"/>
                <w:b w:val="0"/>
                <w:bCs w:val="0"/>
                <w:lang w:val="en-US" w:eastAsia="zh-CN"/>
              </w:rPr>
              <w:t>城中村改造规划与评估</w:t>
            </w:r>
          </w:p>
        </w:tc>
        <w:tc>
          <w:tcPr>
            <w:tcW w:w="3247" w:type="pct"/>
            <w:noWrap/>
            <w:vAlign w:val="center"/>
          </w:tcPr>
          <w:p w14:paraId="742A95B3">
            <w:pPr>
              <w:pStyle w:val="23"/>
              <w:keepNext w:val="0"/>
              <w:keepLines w:val="0"/>
              <w:pageBreakBefore w:val="0"/>
              <w:widowControl w:val="0"/>
              <w:suppressLineNumbers w:val="0"/>
              <w:kinsoku/>
              <w:wordWrap/>
              <w:overflowPunct/>
              <w:topLinePunct w:val="0"/>
              <w:autoSpaceDE/>
              <w:autoSpaceDN/>
              <w:bidi w:val="0"/>
              <w:adjustRightInd w:val="0"/>
              <w:snapToGrid w:val="0"/>
              <w:spacing w:beforeLines="0" w:afterLines="0" w:line="360" w:lineRule="exact"/>
              <w:jc w:val="both"/>
              <w:textAlignment w:val="center"/>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基于精确空间边界、建筑栋数、房屋套数等数据测算城中村改造项目范围、工程量、拆迁成本与安置需求，分析改造基础条件与潜在难点，优化资源配置。</w:t>
            </w:r>
          </w:p>
        </w:tc>
      </w:tr>
      <w:tr w14:paraId="4354CBF2">
        <w:trPr>
          <w:trHeight w:val="1928" w:hRule="atLeast"/>
        </w:trPr>
        <w:tc>
          <w:tcPr>
            <w:tcW w:w="415" w:type="pct"/>
            <w:noWrap/>
            <w:vAlign w:val="center"/>
          </w:tcPr>
          <w:p w14:paraId="4E8FA537">
            <w:pPr>
              <w:pStyle w:val="23"/>
              <w:keepNext w:val="0"/>
              <w:keepLines w:val="0"/>
              <w:pageBreakBefore w:val="0"/>
              <w:widowControl w:val="0"/>
              <w:suppressLineNumbers w:val="0"/>
              <w:kinsoku/>
              <w:wordWrap/>
              <w:overflowPunct/>
              <w:topLinePunct w:val="0"/>
              <w:autoSpaceDE/>
              <w:autoSpaceDN/>
              <w:bidi w:val="0"/>
              <w:adjustRightInd w:val="0"/>
              <w:snapToGrid w:val="0"/>
              <w:spacing w:beforeLines="0" w:afterLines="0" w:line="360" w:lineRule="exact"/>
              <w:ind w:left="0" w:leftChars="0" w:firstLineChars="0"/>
              <w:jc w:val="both"/>
              <w:textAlignment w:val="center"/>
              <w:rPr>
                <w:rFonts w:hint="default"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9</w:t>
            </w:r>
          </w:p>
        </w:tc>
        <w:tc>
          <w:tcPr>
            <w:tcW w:w="647" w:type="pct"/>
            <w:vMerge w:val="continue"/>
            <w:noWrap/>
            <w:vAlign w:val="center"/>
          </w:tcPr>
          <w:p w14:paraId="66808064">
            <w:pPr>
              <w:pStyle w:val="23"/>
              <w:keepNext w:val="0"/>
              <w:keepLines w:val="0"/>
              <w:pageBreakBefore w:val="0"/>
              <w:widowControl w:val="0"/>
              <w:suppressLineNumbers w:val="0"/>
              <w:kinsoku/>
              <w:wordWrap/>
              <w:overflowPunct/>
              <w:topLinePunct w:val="0"/>
              <w:autoSpaceDE/>
              <w:autoSpaceDN/>
              <w:bidi w:val="0"/>
              <w:adjustRightInd w:val="0"/>
              <w:snapToGrid w:val="0"/>
              <w:spacing w:beforeLines="0" w:afterLines="0" w:line="360" w:lineRule="exact"/>
              <w:jc w:val="both"/>
              <w:textAlignment w:val="center"/>
              <w:rPr>
                <w:rFonts w:hint="eastAsia" w:ascii="仿宋_GB2312" w:hAnsi="仿宋_GB2312" w:eastAsia="仿宋_GB2312" w:cs="仿宋_GB2312"/>
                <w:color w:val="auto"/>
                <w:lang w:val="en-US" w:eastAsia="zh-CN"/>
              </w:rPr>
            </w:pPr>
          </w:p>
        </w:tc>
        <w:tc>
          <w:tcPr>
            <w:tcW w:w="690" w:type="pct"/>
            <w:noWrap/>
            <w:vAlign w:val="center"/>
          </w:tcPr>
          <w:p w14:paraId="45C2DC34">
            <w:pPr>
              <w:pStyle w:val="23"/>
              <w:keepNext w:val="0"/>
              <w:keepLines w:val="0"/>
              <w:pageBreakBefore w:val="0"/>
              <w:widowControl w:val="0"/>
              <w:suppressLineNumbers w:val="0"/>
              <w:kinsoku/>
              <w:wordWrap/>
              <w:overflowPunct/>
              <w:topLinePunct w:val="0"/>
              <w:autoSpaceDE/>
              <w:autoSpaceDN/>
              <w:bidi w:val="0"/>
              <w:adjustRightInd w:val="0"/>
              <w:snapToGrid w:val="0"/>
              <w:spacing w:beforeLines="0" w:afterLines="0" w:line="360" w:lineRule="exact"/>
              <w:ind w:left="0" w:leftChars="0" w:firstLineChars="0"/>
              <w:jc w:val="both"/>
              <w:textAlignment w:val="center"/>
              <w:rPr>
                <w:rFonts w:hint="eastAsia" w:ascii="仿宋_GB2312" w:hAnsi="仿宋_GB2312" w:eastAsia="仿宋_GB2312" w:cs="仿宋_GB2312"/>
                <w:color w:val="auto"/>
                <w:lang w:val="en-US" w:eastAsia="zh-CN"/>
              </w:rPr>
            </w:pPr>
            <w:r>
              <w:rPr>
                <w:rFonts w:hint="eastAsia" w:ascii="仿宋_GB2312" w:hAnsi="仿宋_GB2312" w:eastAsia="仿宋_GB2312" w:cs="仿宋_GB2312"/>
                <w:b w:val="0"/>
                <w:bCs w:val="0"/>
                <w:lang w:val="en-US" w:eastAsia="zh-CN"/>
              </w:rPr>
              <w:t>精细化城市治理与服务</w:t>
            </w:r>
          </w:p>
        </w:tc>
        <w:tc>
          <w:tcPr>
            <w:tcW w:w="3247" w:type="pct"/>
            <w:noWrap/>
            <w:vAlign w:val="center"/>
          </w:tcPr>
          <w:p w14:paraId="201832F9">
            <w:pPr>
              <w:keepNext w:val="0"/>
              <w:keepLines w:val="0"/>
              <w:pageBreakBefore w:val="0"/>
              <w:widowControl w:val="0"/>
              <w:suppressLineNumbers w:val="0"/>
              <w:kinsoku/>
              <w:wordWrap/>
              <w:overflowPunct/>
              <w:topLinePunct w:val="0"/>
              <w:autoSpaceDE/>
              <w:autoSpaceDN/>
              <w:bidi w:val="0"/>
              <w:adjustRightInd/>
              <w:snapToGrid/>
              <w:spacing w:beforeLines="0" w:afterLines="0" w:line="360" w:lineRule="exact"/>
              <w:ind w:firstLine="0" w:firstLineChars="0"/>
              <w:jc w:val="both"/>
              <w:textAlignment w:val="auto"/>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sz w:val="24"/>
                <w:lang w:val="en-US" w:eastAsia="zh-CN"/>
              </w:rPr>
              <w:t>利用管辖区域范围、建筑与房屋规模信息等城中村数据，支撑物业企业实现服务资源配置、费效测算等功能。</w:t>
            </w:r>
          </w:p>
        </w:tc>
      </w:tr>
      <w:tr w14:paraId="513E9C0B">
        <w:trPr>
          <w:trHeight w:val="1928" w:hRule="atLeast"/>
        </w:trPr>
        <w:tc>
          <w:tcPr>
            <w:tcW w:w="415" w:type="pct"/>
            <w:noWrap/>
            <w:vAlign w:val="center"/>
          </w:tcPr>
          <w:p w14:paraId="33D14821">
            <w:pPr>
              <w:pStyle w:val="23"/>
              <w:keepNext w:val="0"/>
              <w:keepLines w:val="0"/>
              <w:pageBreakBefore w:val="0"/>
              <w:widowControl w:val="0"/>
              <w:suppressLineNumbers w:val="0"/>
              <w:kinsoku/>
              <w:wordWrap/>
              <w:overflowPunct/>
              <w:topLinePunct w:val="0"/>
              <w:autoSpaceDE/>
              <w:autoSpaceDN/>
              <w:bidi w:val="0"/>
              <w:adjustRightInd w:val="0"/>
              <w:snapToGrid w:val="0"/>
              <w:spacing w:beforeLines="0" w:afterLines="0" w:line="360" w:lineRule="exact"/>
              <w:ind w:left="0" w:leftChars="0" w:firstLineChars="0"/>
              <w:jc w:val="both"/>
              <w:textAlignment w:val="center"/>
              <w:rPr>
                <w:rFonts w:hint="default"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10</w:t>
            </w:r>
          </w:p>
        </w:tc>
        <w:tc>
          <w:tcPr>
            <w:tcW w:w="647" w:type="pct"/>
            <w:vMerge w:val="continue"/>
            <w:noWrap/>
            <w:vAlign w:val="center"/>
          </w:tcPr>
          <w:p w14:paraId="266054F1">
            <w:pPr>
              <w:pStyle w:val="23"/>
              <w:keepNext w:val="0"/>
              <w:keepLines w:val="0"/>
              <w:pageBreakBefore w:val="0"/>
              <w:widowControl w:val="0"/>
              <w:suppressLineNumbers w:val="0"/>
              <w:kinsoku/>
              <w:wordWrap/>
              <w:overflowPunct/>
              <w:topLinePunct w:val="0"/>
              <w:autoSpaceDE/>
              <w:autoSpaceDN/>
              <w:bidi w:val="0"/>
              <w:adjustRightInd w:val="0"/>
              <w:snapToGrid w:val="0"/>
              <w:spacing w:beforeLines="0" w:afterLines="0" w:line="360" w:lineRule="exact"/>
              <w:jc w:val="both"/>
              <w:textAlignment w:val="center"/>
              <w:rPr>
                <w:rFonts w:hint="eastAsia" w:ascii="仿宋_GB2312" w:hAnsi="仿宋_GB2312" w:eastAsia="仿宋_GB2312" w:cs="仿宋_GB2312"/>
                <w:color w:val="auto"/>
                <w:lang w:val="en-US" w:eastAsia="zh-CN"/>
              </w:rPr>
            </w:pPr>
          </w:p>
        </w:tc>
        <w:tc>
          <w:tcPr>
            <w:tcW w:w="690" w:type="pct"/>
            <w:noWrap/>
            <w:vAlign w:val="center"/>
          </w:tcPr>
          <w:p w14:paraId="59437B1A">
            <w:pPr>
              <w:pStyle w:val="23"/>
              <w:keepNext w:val="0"/>
              <w:keepLines w:val="0"/>
              <w:pageBreakBefore w:val="0"/>
              <w:widowControl w:val="0"/>
              <w:suppressLineNumbers w:val="0"/>
              <w:kinsoku/>
              <w:wordWrap/>
              <w:overflowPunct/>
              <w:topLinePunct w:val="0"/>
              <w:autoSpaceDE/>
              <w:autoSpaceDN/>
              <w:bidi w:val="0"/>
              <w:adjustRightInd w:val="0"/>
              <w:snapToGrid w:val="0"/>
              <w:spacing w:beforeLines="0" w:afterLines="0" w:line="360" w:lineRule="exact"/>
              <w:ind w:left="0" w:leftChars="0" w:firstLineChars="0"/>
              <w:jc w:val="both"/>
              <w:textAlignment w:val="center"/>
              <w:rPr>
                <w:rFonts w:hint="eastAsia" w:ascii="仿宋_GB2312" w:hAnsi="仿宋_GB2312" w:eastAsia="仿宋_GB2312" w:cs="仿宋_GB2312"/>
                <w:b w:val="0"/>
                <w:bCs w:val="0"/>
                <w:color w:val="000000" w:themeColor="text1"/>
                <w:lang w:val="en-US" w:eastAsia="zh-CN"/>
                <w14:textFill>
                  <w14:solidFill>
                    <w14:schemeClr w14:val="tx1"/>
                  </w14:solidFill>
                </w14:textFill>
              </w:rPr>
            </w:pPr>
            <w:r>
              <w:rPr>
                <w:rFonts w:hint="eastAsia" w:ascii="仿宋_GB2312" w:hAnsi="仿宋_GB2312" w:eastAsia="仿宋_GB2312" w:cs="仿宋_GB2312"/>
                <w:b w:val="0"/>
                <w:bCs w:val="0"/>
                <w:color w:val="000000" w:themeColor="text1"/>
                <w:lang w:val="en-US" w:eastAsia="zh-CN"/>
                <w14:textFill>
                  <w14:solidFill>
                    <w14:schemeClr w14:val="tx1"/>
                  </w14:solidFill>
                </w14:textFill>
              </w:rPr>
              <w:t>产业空间分析与规划</w:t>
            </w:r>
          </w:p>
        </w:tc>
        <w:tc>
          <w:tcPr>
            <w:tcW w:w="3247" w:type="pct"/>
            <w:noWrap/>
            <w:vAlign w:val="center"/>
          </w:tcPr>
          <w:p w14:paraId="3B586DBF">
            <w:pPr>
              <w:spacing w:line="360" w:lineRule="exact"/>
              <w:ind w:firstLine="0" w:firstLineChars="0"/>
              <w:rPr>
                <w:rFonts w:hint="eastAsia" w:ascii="仿宋_GB2312" w:hAnsi="仿宋_GB2312" w:eastAsia="仿宋_GB2312" w:cs="仿宋_GB2312"/>
                <w:b w:val="0"/>
                <w:bCs w:val="0"/>
                <w:color w:val="000000" w:themeColor="text1"/>
                <w:sz w:val="24"/>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24"/>
                <w:lang w:val="en-US" w:eastAsia="zh-CN"/>
                <w14:textFill>
                  <w14:solidFill>
                    <w14:schemeClr w14:val="tx1"/>
                  </w14:solidFill>
                </w14:textFill>
              </w:rPr>
              <w:t>企业集聚分析，基于空间坐标生成企业分布热力图、密度图，直观展示产业空间集聚态势；产业集群识别，分析特定行业或特定类型企业（如国高、专精特新）的空间分布，识别产业集群及潜力区域；产业空间规划，为产业园区规划、优化产业空间布局提供精准数据支撑。</w:t>
            </w:r>
          </w:p>
          <w:p w14:paraId="42C045FF">
            <w:pPr>
              <w:pStyle w:val="23"/>
              <w:keepNext w:val="0"/>
              <w:keepLines w:val="0"/>
              <w:pageBreakBefore w:val="0"/>
              <w:widowControl w:val="0"/>
              <w:suppressLineNumbers w:val="0"/>
              <w:kinsoku/>
              <w:wordWrap/>
              <w:overflowPunct/>
              <w:topLinePunct w:val="0"/>
              <w:autoSpaceDE/>
              <w:autoSpaceDN/>
              <w:bidi w:val="0"/>
              <w:adjustRightInd w:val="0"/>
              <w:snapToGrid w:val="0"/>
              <w:spacing w:beforeLines="0" w:afterLines="0" w:line="360" w:lineRule="exact"/>
              <w:jc w:val="both"/>
              <w:textAlignment w:val="center"/>
              <w:rPr>
                <w:rFonts w:hint="eastAsia" w:ascii="仿宋_GB2312" w:hAnsi="仿宋_GB2312" w:eastAsia="仿宋_GB2312" w:cs="仿宋_GB2312"/>
                <w:color w:val="000000" w:themeColor="text1"/>
                <w:lang w:val="en-US" w:eastAsia="zh-CN"/>
                <w14:textFill>
                  <w14:solidFill>
                    <w14:schemeClr w14:val="tx1"/>
                  </w14:solidFill>
                </w14:textFill>
              </w:rPr>
            </w:pPr>
          </w:p>
        </w:tc>
      </w:tr>
      <w:tr w14:paraId="04945015">
        <w:trPr>
          <w:trHeight w:val="1928" w:hRule="atLeast"/>
        </w:trPr>
        <w:tc>
          <w:tcPr>
            <w:tcW w:w="415" w:type="pct"/>
            <w:noWrap/>
            <w:vAlign w:val="center"/>
          </w:tcPr>
          <w:p w14:paraId="08418A70">
            <w:pPr>
              <w:pStyle w:val="23"/>
              <w:keepNext w:val="0"/>
              <w:keepLines w:val="0"/>
              <w:pageBreakBefore w:val="0"/>
              <w:widowControl w:val="0"/>
              <w:suppressLineNumbers w:val="0"/>
              <w:kinsoku/>
              <w:wordWrap/>
              <w:overflowPunct/>
              <w:topLinePunct w:val="0"/>
              <w:autoSpaceDE/>
              <w:autoSpaceDN/>
              <w:bidi w:val="0"/>
              <w:adjustRightInd w:val="0"/>
              <w:snapToGrid w:val="0"/>
              <w:spacing w:beforeLines="0" w:afterLines="0" w:line="360" w:lineRule="exact"/>
              <w:ind w:left="0" w:leftChars="0" w:firstLineChars="0"/>
              <w:jc w:val="both"/>
              <w:textAlignment w:val="center"/>
              <w:rPr>
                <w:rFonts w:hint="default"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11</w:t>
            </w:r>
          </w:p>
        </w:tc>
        <w:tc>
          <w:tcPr>
            <w:tcW w:w="647" w:type="pct"/>
            <w:vMerge w:val="continue"/>
            <w:noWrap/>
            <w:vAlign w:val="center"/>
          </w:tcPr>
          <w:p w14:paraId="5865037A">
            <w:pPr>
              <w:pStyle w:val="23"/>
              <w:keepNext w:val="0"/>
              <w:keepLines w:val="0"/>
              <w:pageBreakBefore w:val="0"/>
              <w:widowControl w:val="0"/>
              <w:suppressLineNumbers w:val="0"/>
              <w:kinsoku/>
              <w:wordWrap/>
              <w:overflowPunct/>
              <w:topLinePunct w:val="0"/>
              <w:autoSpaceDE/>
              <w:autoSpaceDN/>
              <w:bidi w:val="0"/>
              <w:adjustRightInd w:val="0"/>
              <w:snapToGrid w:val="0"/>
              <w:spacing w:beforeLines="0" w:afterLines="0" w:line="360" w:lineRule="exact"/>
              <w:jc w:val="both"/>
              <w:textAlignment w:val="center"/>
              <w:rPr>
                <w:rFonts w:hint="eastAsia" w:ascii="仿宋_GB2312" w:hAnsi="仿宋_GB2312" w:eastAsia="仿宋_GB2312" w:cs="仿宋_GB2312"/>
                <w:color w:val="auto"/>
                <w:lang w:val="en-US" w:eastAsia="zh-CN"/>
              </w:rPr>
            </w:pPr>
          </w:p>
        </w:tc>
        <w:tc>
          <w:tcPr>
            <w:tcW w:w="690" w:type="pct"/>
            <w:noWrap/>
            <w:vAlign w:val="center"/>
          </w:tcPr>
          <w:p w14:paraId="5DB8CF54">
            <w:pPr>
              <w:pStyle w:val="23"/>
              <w:keepNext w:val="0"/>
              <w:keepLines w:val="0"/>
              <w:pageBreakBefore w:val="0"/>
              <w:widowControl w:val="0"/>
              <w:suppressLineNumbers w:val="0"/>
              <w:kinsoku/>
              <w:wordWrap/>
              <w:overflowPunct/>
              <w:topLinePunct w:val="0"/>
              <w:autoSpaceDE/>
              <w:autoSpaceDN/>
              <w:bidi w:val="0"/>
              <w:adjustRightInd w:val="0"/>
              <w:snapToGrid w:val="0"/>
              <w:spacing w:beforeLines="0" w:afterLines="0" w:line="360" w:lineRule="exact"/>
              <w:ind w:left="0" w:leftChars="0" w:firstLineChars="0"/>
              <w:jc w:val="both"/>
              <w:textAlignment w:val="center"/>
              <w:rPr>
                <w:rFonts w:hint="eastAsia" w:ascii="仿宋_GB2312" w:hAnsi="仿宋_GB2312" w:eastAsia="仿宋_GB2312" w:cs="仿宋_GB2312"/>
                <w:b w:val="0"/>
                <w:bCs w:val="0"/>
                <w:color w:val="000000" w:themeColor="text1"/>
                <w:lang w:val="en-US" w:eastAsia="zh-CN"/>
                <w14:textFill>
                  <w14:solidFill>
                    <w14:schemeClr w14:val="tx1"/>
                  </w14:solidFill>
                </w14:textFill>
              </w:rPr>
            </w:pPr>
            <w:r>
              <w:rPr>
                <w:rFonts w:hint="eastAsia" w:ascii="仿宋_GB2312" w:hAnsi="仿宋_GB2312" w:eastAsia="仿宋_GB2312" w:cs="仿宋_GB2312"/>
                <w:b w:val="0"/>
                <w:bCs w:val="0"/>
                <w:color w:val="000000" w:themeColor="text1"/>
                <w:lang w:val="en-US" w:eastAsia="zh-CN"/>
                <w14:textFill>
                  <w14:solidFill>
                    <w14:schemeClr w14:val="tx1"/>
                  </w14:solidFill>
                </w14:textFill>
              </w:rPr>
              <w:t>企业精准服务</w:t>
            </w:r>
          </w:p>
        </w:tc>
        <w:tc>
          <w:tcPr>
            <w:tcW w:w="3247" w:type="pct"/>
            <w:noWrap/>
            <w:vAlign w:val="center"/>
          </w:tcPr>
          <w:p w14:paraId="7251A6DF">
            <w:pPr>
              <w:pStyle w:val="23"/>
              <w:keepNext w:val="0"/>
              <w:keepLines w:val="0"/>
              <w:pageBreakBefore w:val="0"/>
              <w:widowControl w:val="0"/>
              <w:suppressLineNumbers w:val="0"/>
              <w:kinsoku/>
              <w:wordWrap/>
              <w:overflowPunct/>
              <w:topLinePunct w:val="0"/>
              <w:autoSpaceDE/>
              <w:autoSpaceDN/>
              <w:bidi w:val="0"/>
              <w:adjustRightInd w:val="0"/>
              <w:snapToGrid w:val="0"/>
              <w:spacing w:beforeLines="0" w:afterLines="0" w:line="360" w:lineRule="exact"/>
              <w:jc w:val="both"/>
              <w:textAlignment w:val="center"/>
              <w:rPr>
                <w:rFonts w:hint="eastAsia" w:ascii="仿宋_GB2312" w:hAnsi="仿宋_GB2312" w:eastAsia="仿宋_GB2312" w:cs="仿宋_GB2312"/>
                <w:color w:val="000000" w:themeColor="text1"/>
                <w:lang w:val="en-US" w:eastAsia="zh-CN"/>
                <w14:textFill>
                  <w14:solidFill>
                    <w14:schemeClr w14:val="tx1"/>
                  </w14:solidFill>
                </w14:textFill>
              </w:rPr>
            </w:pPr>
            <w:r>
              <w:rPr>
                <w:rFonts w:hint="eastAsia" w:ascii="仿宋_GB2312" w:hAnsi="仿宋_GB2312" w:eastAsia="仿宋_GB2312" w:cs="仿宋_GB2312"/>
                <w:b w:val="0"/>
                <w:bCs w:val="0"/>
                <w:color w:val="000000" w:themeColor="text1"/>
                <w:lang w:val="en-US" w:eastAsia="zh-CN"/>
                <w14:textFill>
                  <w14:solidFill>
                    <w14:schemeClr w14:val="tx1"/>
                  </w14:solidFill>
                </w14:textFill>
              </w:rPr>
              <w:t>通过企业空间化数据，开展产业空间匹配、区域经济研究与监测、企业动态监测等企业服务，提升区域创新活力。</w:t>
            </w:r>
          </w:p>
        </w:tc>
      </w:tr>
    </w:tbl>
    <w:p w14:paraId="1901263F">
      <w:pPr>
        <w:keepNext w:val="0"/>
        <w:keepLines w:val="0"/>
        <w:pageBreakBefore w:val="0"/>
        <w:widowControl w:val="0"/>
        <w:numPr>
          <w:ilvl w:val="0"/>
          <w:numId w:val="0"/>
        </w:numPr>
        <w:shd w:val="clear" w:color="auto" w:fill="FFFFFF"/>
        <w:kinsoku/>
        <w:wordWrap/>
        <w:overflowPunct/>
        <w:topLinePunct w:val="0"/>
        <w:autoSpaceDE/>
        <w:autoSpaceDN/>
        <w:bidi w:val="0"/>
        <w:adjustRightInd w:val="0"/>
        <w:snapToGrid w:val="0"/>
        <w:spacing w:beforeLines="0" w:afterLines="0" w:line="560" w:lineRule="exact"/>
        <w:ind w:firstLine="480"/>
        <w:jc w:val="center"/>
        <w:textAlignment w:val="auto"/>
        <w:rPr>
          <w:rFonts w:hint="default" w:ascii="仿宋_GB2312" w:hAnsi="仿宋_GB2312" w:eastAsia="仿宋_GB2312" w:cs="仿宋_GB2312"/>
          <w:i w:val="0"/>
          <w:caps w:val="0"/>
          <w:color w:val="auto"/>
          <w:spacing w:val="0"/>
          <w:kern w:val="2"/>
          <w:sz w:val="24"/>
          <w:szCs w:val="24"/>
          <w:shd w:val="clear" w:color="auto" w:fill="auto"/>
          <w:lang w:val="en-US" w:eastAsia="zh-CN" w:bidi="ar-SA"/>
        </w:rPr>
      </w:pPr>
      <w:r>
        <w:rPr>
          <w:rFonts w:hint="eastAsia" w:ascii="宋体 (标题)" w:hAnsi="宋体 (标题)" w:eastAsia="宋体 (标题)" w:cs="宋体 (标题)"/>
          <w:color w:val="auto"/>
          <w:sz w:val="28"/>
          <w:szCs w:val="28"/>
          <w:lang w:val="en-US" w:eastAsia="zh-CN" w:bidi="ar"/>
        </w:rPr>
        <w:t>表2 第一批拟开发的数据产品及应用场景清单</w:t>
      </w:r>
    </w:p>
    <w:p w14:paraId="51BB572A">
      <w:pPr>
        <w:pStyle w:val="17"/>
        <w:keepNext w:val="0"/>
        <w:keepLines w:val="0"/>
        <w:pageBreakBefore w:val="0"/>
        <w:widowControl w:val="0"/>
        <w:kinsoku/>
        <w:wordWrap/>
        <w:overflowPunct/>
        <w:topLinePunct w:val="0"/>
        <w:autoSpaceDE/>
        <w:autoSpaceDN/>
        <w:bidi w:val="0"/>
        <w:adjustRightInd w:val="0"/>
        <w:snapToGrid w:val="0"/>
        <w:spacing w:beforeLines="0" w:afterLines="0" w:line="560" w:lineRule="exact"/>
        <w:jc w:val="both"/>
        <w:textAlignment w:val="auto"/>
        <w:rPr>
          <w:rFonts w:hint="eastAsia"/>
          <w:color w:val="auto"/>
          <w:highlight w:val="none"/>
          <w:lang w:val="en-US" w:eastAsia="zh-CN"/>
        </w:rPr>
      </w:pPr>
      <w:r>
        <w:rPr>
          <w:rFonts w:hint="eastAsia"/>
          <w:color w:val="auto"/>
          <w:highlight w:val="none"/>
          <w:lang w:val="en-US" w:eastAsia="zh-CN"/>
        </w:rPr>
        <w:t>收益分配机制</w:t>
      </w:r>
    </w:p>
    <w:p w14:paraId="78B32151">
      <w:pPr>
        <w:pStyle w:val="18"/>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color w:val="auto"/>
          <w:u w:val="none"/>
          <w:lang w:val="en-US" w:eastAsia="zh-CN"/>
        </w:rPr>
      </w:pPr>
      <w:r>
        <w:rPr>
          <w:rFonts w:hint="eastAsia"/>
          <w:color w:val="auto"/>
          <w:lang w:val="en-US" w:eastAsia="zh-CN"/>
        </w:rPr>
        <w:t>对用于公共治理、公益事业的数据产品和服务，不收取费用；用于产业发展、行业发展的，可收取公</w:t>
      </w:r>
      <w:r>
        <w:rPr>
          <w:rFonts w:hint="eastAsia"/>
          <w:color w:val="auto"/>
          <w:u w:val="none"/>
          <w:lang w:val="en-US" w:eastAsia="zh-CN"/>
        </w:rPr>
        <w:t>共数据运</w:t>
      </w:r>
      <w:r>
        <w:rPr>
          <w:rFonts w:hint="eastAsia"/>
          <w:color w:val="auto"/>
          <w:highlight w:val="none"/>
          <w:u w:val="none"/>
          <w:lang w:val="en-US" w:eastAsia="zh-CN"/>
        </w:rPr>
        <w:t>营服务费。</w:t>
      </w:r>
      <w:r>
        <w:rPr>
          <w:rFonts w:hint="eastAsia" w:ascii="仿宋_GB2312" w:hAnsi="黑体" w:eastAsia="仿宋_GB2312" w:cs="Times New Roman"/>
          <w:b w:val="0"/>
          <w:color w:val="auto"/>
          <w:kern w:val="0"/>
          <w:sz w:val="32"/>
          <w:highlight w:val="none"/>
          <w:lang w:val="en-US" w:eastAsia="zh-CN" w:bidi="ar-SA"/>
        </w:rPr>
        <w:t>区发展改革局</w:t>
      </w:r>
      <w:r>
        <w:rPr>
          <w:rFonts w:hint="eastAsia" w:ascii="仿宋_GB2312" w:hAnsi="仿宋_GB2312" w:eastAsia="仿宋_GB2312" w:cs="仿宋_GB2312"/>
          <w:color w:val="auto"/>
          <w:sz w:val="32"/>
          <w:szCs w:val="40"/>
          <w:highlight w:val="none"/>
          <w:lang w:val="en-US" w:eastAsia="zh-CN"/>
        </w:rPr>
        <w:t>会同</w:t>
      </w:r>
      <w:r>
        <w:rPr>
          <w:rFonts w:hint="eastAsia" w:ascii="仿宋_GB2312" w:hAnsi="黑体" w:eastAsia="仿宋_GB2312" w:cs="Times New Roman"/>
          <w:b w:val="0"/>
          <w:color w:val="auto"/>
          <w:kern w:val="0"/>
          <w:sz w:val="32"/>
          <w:highlight w:val="none"/>
          <w:lang w:val="en-US" w:eastAsia="zh-CN" w:bidi="ar-SA"/>
        </w:rPr>
        <w:t>区政务和数据局</w:t>
      </w:r>
      <w:r>
        <w:rPr>
          <w:rFonts w:hint="eastAsia" w:ascii="仿宋_GB2312" w:hAnsi="仿宋_GB2312" w:eastAsia="仿宋_GB2312" w:cs="仿宋_GB2312"/>
          <w:color w:val="auto"/>
          <w:sz w:val="32"/>
          <w:szCs w:val="40"/>
          <w:highlight w:val="none"/>
          <w:lang w:val="en-US" w:eastAsia="zh-CN"/>
        </w:rPr>
        <w:t>贯彻落实</w:t>
      </w:r>
      <w:r>
        <w:rPr>
          <w:rFonts w:hint="eastAsia" w:ascii="仿宋_GB2312" w:hAnsi="仿宋_GB2312" w:cs="仿宋_GB2312"/>
          <w:color w:val="auto"/>
          <w:sz w:val="32"/>
          <w:szCs w:val="40"/>
          <w:highlight w:val="none"/>
          <w:lang w:val="en-US" w:eastAsia="zh-CN"/>
        </w:rPr>
        <w:t>上</w:t>
      </w:r>
      <w:r>
        <w:rPr>
          <w:rFonts w:hint="eastAsia" w:ascii="仿宋_GB2312" w:hAnsi="仿宋_GB2312" w:eastAsia="仿宋_GB2312" w:cs="仿宋_GB2312"/>
          <w:color w:val="auto"/>
          <w:sz w:val="32"/>
          <w:szCs w:val="40"/>
          <w:highlight w:val="none"/>
          <w:lang w:val="en-US" w:eastAsia="zh-CN"/>
        </w:rPr>
        <w:t>级</w:t>
      </w:r>
      <w:r>
        <w:rPr>
          <w:rFonts w:hint="eastAsia" w:ascii="仿宋_GB2312" w:hAnsi="仿宋_GB2312" w:cs="仿宋_GB2312"/>
          <w:color w:val="auto"/>
          <w:sz w:val="32"/>
          <w:szCs w:val="40"/>
          <w:highlight w:val="none"/>
          <w:lang w:val="en-US" w:eastAsia="zh-CN"/>
        </w:rPr>
        <w:t>价格</w:t>
      </w:r>
      <w:r>
        <w:rPr>
          <w:rFonts w:hint="eastAsia" w:ascii="仿宋_GB2312" w:hAnsi="仿宋_GB2312" w:eastAsia="仿宋_GB2312" w:cs="仿宋_GB2312"/>
          <w:color w:val="auto"/>
          <w:sz w:val="32"/>
          <w:szCs w:val="40"/>
          <w:highlight w:val="none"/>
          <w:lang w:val="en-US" w:eastAsia="zh-CN"/>
        </w:rPr>
        <w:t>部门</w:t>
      </w:r>
      <w:r>
        <w:rPr>
          <w:rFonts w:hint="eastAsia" w:ascii="仿宋_GB2312" w:hAnsi="仿宋_GB2312" w:cs="仿宋_GB2312"/>
          <w:color w:val="auto"/>
          <w:sz w:val="32"/>
          <w:szCs w:val="40"/>
          <w:highlight w:val="none"/>
          <w:lang w:val="en-US" w:eastAsia="zh-CN"/>
        </w:rPr>
        <w:t>关于公共数据相关价格政策，</w:t>
      </w:r>
      <w:r>
        <w:rPr>
          <w:rFonts w:hint="eastAsia"/>
          <w:color w:val="auto"/>
          <w:highlight w:val="none"/>
          <w:u w:val="none"/>
          <w:lang w:val="en-US" w:eastAsia="zh-CN"/>
        </w:rPr>
        <w:t>对运营机构的最高准许收入（包括经营成本、准许利润和税金）进行监督，以确保其符合上级部门所规定的收费标准。</w:t>
      </w:r>
      <w:r>
        <w:rPr>
          <w:rFonts w:hint="eastAsia"/>
          <w:color w:val="auto"/>
          <w:u w:val="none"/>
          <w:lang w:val="en-US" w:eastAsia="zh-CN"/>
        </w:rPr>
        <w:t>运营机构在不高于上限收费标准的范围内，确定具体数据产品和服务的收费标准。</w:t>
      </w:r>
    </w:p>
    <w:p w14:paraId="02B1E9D2">
      <w:pPr>
        <w:pStyle w:val="18"/>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color w:val="auto"/>
          <w:lang w:val="en-US" w:eastAsia="zh-CN"/>
        </w:rPr>
      </w:pPr>
      <w:r>
        <w:rPr>
          <w:rFonts w:hint="eastAsia"/>
          <w:color w:val="auto"/>
          <w:u w:val="none"/>
          <w:lang w:val="en-US" w:eastAsia="zh-CN"/>
        </w:rPr>
        <w:t>实施机构应统筹考虑不同应用场景下各类产品和服务的数据、算力、存储等资</w:t>
      </w:r>
      <w:r>
        <w:rPr>
          <w:rFonts w:hint="eastAsia"/>
          <w:color w:val="auto"/>
          <w:lang w:val="en-US" w:eastAsia="zh-CN"/>
        </w:rPr>
        <w:t>源使用，人力资源投入，以及销售规模等因素制定上限收费标准。具体可按产品数量、服务次数、服务时间、数据调用量等形式收费。每年根据运营机构实际收入、销售规模等情况，指导其合理调整收</w:t>
      </w:r>
      <w:r>
        <w:rPr>
          <w:rFonts w:hint="eastAsia" w:ascii="仿宋_GB2312" w:hAnsi="仿宋_GB2312" w:eastAsia="仿宋_GB2312" w:cs="仿宋_GB2312"/>
          <w:color w:val="auto"/>
          <w:lang w:val="en-US" w:eastAsia="zh-CN"/>
        </w:rPr>
        <w:t>费标准。当年实际收入偏离最高准许收入10%及以下的，由实施机构指导运营机构调整具体收费标准；超过10%的，由实施机</w:t>
      </w:r>
      <w:r>
        <w:rPr>
          <w:rFonts w:hint="eastAsia"/>
          <w:color w:val="auto"/>
          <w:lang w:val="en-US" w:eastAsia="zh-CN"/>
        </w:rPr>
        <w:t>构调整上限收费标准。</w:t>
      </w:r>
    </w:p>
    <w:p w14:paraId="269A8230">
      <w:pPr>
        <w:pStyle w:val="18"/>
        <w:keepNext w:val="0"/>
        <w:keepLines w:val="0"/>
        <w:pageBreakBefore w:val="0"/>
        <w:widowControl w:val="0"/>
        <w:kinsoku/>
        <w:wordWrap/>
        <w:overflowPunct/>
        <w:topLinePunct w:val="0"/>
        <w:autoSpaceDE/>
        <w:autoSpaceDN/>
        <w:bidi w:val="0"/>
        <w:adjustRightInd w:val="0"/>
        <w:snapToGrid w:val="0"/>
        <w:spacing w:line="560" w:lineRule="exact"/>
        <w:jc w:val="both"/>
        <w:textAlignment w:val="auto"/>
        <w:rPr>
          <w:rFonts w:hint="eastAsia"/>
          <w:color w:val="auto"/>
          <w:lang w:val="en-US" w:eastAsia="zh-CN"/>
        </w:rPr>
      </w:pPr>
      <w:r>
        <w:rPr>
          <w:rFonts w:hint="eastAsia"/>
          <w:color w:val="auto"/>
          <w:lang w:val="en-US" w:eastAsia="zh-CN"/>
        </w:rPr>
        <w:t>根据“谁投入、谁贡献、谁受益”的原则，加快构建公共数据授权运营的收益分配机制，以保障各参与方的投入和收益。同时，鼓励多方协作，推动公共数据产品和服务的市场化运营，探索多样化的利益分配方式，探索将公共数据的授权运营纳入政府国有资源的有偿使用，以支持财政预算收入。</w:t>
      </w:r>
    </w:p>
    <w:p w14:paraId="5E25C719">
      <w:pPr>
        <w:pStyle w:val="17"/>
        <w:keepNext w:val="0"/>
        <w:keepLines w:val="0"/>
        <w:pageBreakBefore w:val="0"/>
        <w:widowControl w:val="0"/>
        <w:kinsoku/>
        <w:wordWrap/>
        <w:overflowPunct/>
        <w:topLinePunct w:val="0"/>
        <w:autoSpaceDE/>
        <w:autoSpaceDN/>
        <w:bidi w:val="0"/>
        <w:adjustRightInd w:val="0"/>
        <w:snapToGrid w:val="0"/>
        <w:spacing w:beforeLines="0" w:afterLines="0" w:line="560" w:lineRule="exact"/>
        <w:jc w:val="both"/>
        <w:textAlignment w:val="auto"/>
        <w:rPr>
          <w:rFonts w:hint="default"/>
          <w:color w:val="auto"/>
          <w:lang w:val="en-US" w:eastAsia="zh-CN"/>
        </w:rPr>
      </w:pPr>
      <w:r>
        <w:rPr>
          <w:rFonts w:hint="eastAsia"/>
          <w:color w:val="auto"/>
          <w:lang w:val="en-US" w:eastAsia="zh-CN"/>
        </w:rPr>
        <w:t>安全保障</w:t>
      </w:r>
    </w:p>
    <w:p w14:paraId="0C0E912F">
      <w:pPr>
        <w:pStyle w:val="19"/>
        <w:keepNext w:val="0"/>
        <w:keepLines w:val="0"/>
        <w:pageBreakBefore w:val="0"/>
        <w:widowControl w:val="0"/>
        <w:numPr>
          <w:ilvl w:val="0"/>
          <w:numId w:val="9"/>
        </w:numPr>
        <w:kinsoku/>
        <w:wordWrap/>
        <w:overflowPunct/>
        <w:topLinePunct w:val="0"/>
        <w:autoSpaceDE/>
        <w:autoSpaceDN/>
        <w:bidi w:val="0"/>
        <w:adjustRightInd w:val="0"/>
        <w:snapToGrid w:val="0"/>
        <w:spacing w:beforeLines="0" w:afterLines="0" w:line="560" w:lineRule="exact"/>
        <w:jc w:val="both"/>
        <w:textAlignment w:val="auto"/>
        <w:rPr>
          <w:rFonts w:hint="eastAsia"/>
          <w:color w:val="auto"/>
          <w:lang w:val="en-US" w:eastAsia="zh-CN"/>
        </w:rPr>
      </w:pPr>
      <w:r>
        <w:rPr>
          <w:rFonts w:hint="eastAsia"/>
          <w:color w:val="auto"/>
          <w:lang w:val="en-US" w:eastAsia="zh-CN"/>
        </w:rPr>
        <w:t>数据安全</w:t>
      </w:r>
    </w:p>
    <w:p w14:paraId="209EF263">
      <w:pPr>
        <w:pStyle w:val="18"/>
        <w:keepNext w:val="0"/>
        <w:keepLines w:val="0"/>
        <w:pageBreakBefore w:val="0"/>
        <w:widowControl w:val="0"/>
        <w:kinsoku/>
        <w:wordWrap/>
        <w:overflowPunct/>
        <w:topLinePunct w:val="0"/>
        <w:autoSpaceDE/>
        <w:autoSpaceDN/>
        <w:bidi w:val="0"/>
        <w:adjustRightInd w:val="0"/>
        <w:snapToGrid w:val="0"/>
        <w:spacing w:line="560" w:lineRule="exact"/>
        <w:ind w:firstLine="642"/>
        <w:jc w:val="both"/>
        <w:textAlignment w:val="auto"/>
        <w:rPr>
          <w:rFonts w:hint="eastAsia"/>
          <w:color w:val="auto"/>
          <w:lang w:val="en-US" w:eastAsia="zh-CN"/>
        </w:rPr>
      </w:pPr>
      <w:r>
        <w:rPr>
          <w:rFonts w:hint="eastAsia"/>
          <w:b/>
          <w:bCs/>
          <w:color w:val="auto"/>
          <w:highlight w:val="none"/>
          <w:lang w:val="en-US" w:eastAsia="zh-CN"/>
        </w:rPr>
        <w:t>一是</w:t>
      </w:r>
      <w:r>
        <w:rPr>
          <w:rFonts w:hint="eastAsia"/>
          <w:b w:val="0"/>
          <w:bCs w:val="0"/>
          <w:color w:val="auto"/>
          <w:highlight w:val="none"/>
          <w:lang w:val="en-US" w:eastAsia="zh-CN"/>
        </w:rPr>
        <w:t>运营机构应建立健全数据安全管理体系，符合《深圳经济特区数据条例》及国家相关数据安全管理标准规范的要求，切实保障数据在采集、存储、处理、传输、共享和销毁等各环节的安全。运营机构应</w:t>
      </w:r>
      <w:r>
        <w:rPr>
          <w:rFonts w:hint="eastAsia" w:ascii="仿宋_GB2312" w:hAnsi="仿宋_GB2312" w:eastAsia="仿宋_GB2312" w:cs="仿宋_GB2312"/>
          <w:b w:val="0"/>
          <w:bCs w:val="0"/>
          <w:color w:val="auto"/>
          <w:kern w:val="2"/>
          <w:sz w:val="32"/>
          <w:szCs w:val="32"/>
          <w:highlight w:val="none"/>
          <w:lang w:val="en-US" w:eastAsia="zh-CN" w:bidi="ar-SA"/>
        </w:rPr>
        <w:t>依据《GB/T 45577-2025 数据安全技术 数据安全风险评估方法</w:t>
      </w:r>
      <w:r>
        <w:rPr>
          <w:rFonts w:hint="eastAsia" w:ascii="仿宋_GB2312" w:hAnsi="仿宋_GB2312" w:cs="仿宋_GB2312"/>
          <w:b w:val="0"/>
          <w:bCs w:val="0"/>
          <w:color w:val="auto"/>
          <w:kern w:val="2"/>
          <w:sz w:val="32"/>
          <w:szCs w:val="32"/>
          <w:highlight w:val="none"/>
          <w:lang w:val="en-US" w:eastAsia="zh-CN" w:bidi="ar-SA"/>
        </w:rPr>
        <w:t>》严防数据加工、处理、运营、服务等环节数据安全风险。</w:t>
      </w:r>
      <w:r>
        <w:rPr>
          <w:rFonts w:hint="eastAsia" w:ascii="仿宋_GB2312" w:hAnsi="仿宋_GB2312" w:eastAsia="仿宋_GB2312" w:cs="仿宋_GB2312"/>
          <w:i w:val="0"/>
          <w:iCs w:val="0"/>
          <w:caps w:val="0"/>
          <w:color w:val="auto"/>
          <w:spacing w:val="0"/>
          <w:kern w:val="0"/>
          <w:position w:val="0"/>
          <w:sz w:val="32"/>
          <w:szCs w:val="32"/>
          <w:highlight w:val="none"/>
          <w:lang w:val="en-US" w:eastAsia="zh-CN" w:bidi="ar"/>
        </w:rPr>
        <w:t>若授权运营活动涉及数据跨境流动，应遵循《数据出境安全评估办法》《个人信息出境标准合同办法》《网络数据出境安全评估申报指南》等文件要求。</w:t>
      </w:r>
      <w:r>
        <w:rPr>
          <w:rFonts w:hint="eastAsia" w:ascii="仿宋_GB2312" w:hAnsi="仿宋_GB2312" w:eastAsia="仿宋_GB2312" w:cs="仿宋_GB2312"/>
          <w:b/>
          <w:bCs/>
          <w:color w:val="auto"/>
          <w:lang w:val="en-US" w:eastAsia="zh-CN"/>
        </w:rPr>
        <w:t>二是</w:t>
      </w:r>
      <w:r>
        <w:rPr>
          <w:rFonts w:hint="eastAsia" w:ascii="仿宋_GB2312" w:hAnsi="仿宋_GB2312" w:eastAsia="仿宋_GB2312" w:cs="仿宋_GB2312"/>
          <w:color w:val="auto"/>
          <w:lang w:val="en-US" w:eastAsia="zh-CN"/>
        </w:rPr>
        <w:t>龙华区通过数据分类分级监管与安全技术创新，确保授权运营合规性。《龙华区公共数据分类分级指南（试行）》细化数据使用权限，防止数据滥用。</w:t>
      </w:r>
      <w:r>
        <w:rPr>
          <w:rFonts w:hint="eastAsia" w:ascii="仿宋_GB2312" w:hAnsi="仿宋_GB2312" w:eastAsia="仿宋_GB2312" w:cs="仿宋_GB2312"/>
          <w:b/>
          <w:bCs/>
          <w:color w:val="auto"/>
          <w:lang w:val="en-US" w:eastAsia="zh-CN"/>
        </w:rPr>
        <w:t>三是</w:t>
      </w:r>
      <w:r>
        <w:rPr>
          <w:rFonts w:hint="eastAsia" w:ascii="仿宋_GB2312" w:hAnsi="仿宋_GB2312" w:eastAsia="仿宋_GB2312" w:cs="仿宋_GB2312"/>
          <w:color w:val="auto"/>
          <w:lang w:val="en-US" w:eastAsia="zh-CN"/>
        </w:rPr>
        <w:t>建立数据质量追溯与异议处置机制，保障数据高质量供给。</w:t>
      </w:r>
      <w:r>
        <w:rPr>
          <w:rFonts w:hint="eastAsia" w:ascii="仿宋_GB2312" w:hAnsi="仿宋_GB2312" w:eastAsia="仿宋_GB2312" w:cs="仿宋_GB2312"/>
          <w:b/>
          <w:bCs/>
          <w:color w:val="auto"/>
          <w:lang w:val="en-US" w:eastAsia="zh-CN"/>
        </w:rPr>
        <w:t>四是</w:t>
      </w:r>
      <w:r>
        <w:rPr>
          <w:rFonts w:hint="eastAsia" w:ascii="仿宋_GB2312" w:hAnsi="仿宋_GB2312" w:eastAsia="仿宋_GB2312" w:cs="仿宋_GB2312"/>
          <w:color w:val="auto"/>
          <w:lang w:val="en-US" w:eastAsia="zh-CN"/>
        </w:rPr>
        <w:t>通过运用可信执行环境技术、安全日志审计技术</w:t>
      </w:r>
      <w:r>
        <w:rPr>
          <w:rFonts w:hint="default"/>
          <w:color w:val="auto"/>
          <w:lang w:val="en-US" w:eastAsia="zh-CN"/>
        </w:rPr>
        <w:t>以及数字签名技术，保障数据安全的同时，实现数据所有权与使用权的分离，数据的可用不可见，可用不可取，保障数据共享过程的可靠、可控和可溯。不仅确保了数据安全，还实现了原始数据的</w:t>
      </w:r>
      <w:r>
        <w:rPr>
          <w:rFonts w:hint="eastAsia"/>
          <w:color w:val="auto"/>
          <w:lang w:val="en-US" w:eastAsia="zh-CN"/>
        </w:rPr>
        <w:t>“</w:t>
      </w:r>
      <w:r>
        <w:rPr>
          <w:rFonts w:hint="default"/>
          <w:color w:val="auto"/>
          <w:lang w:val="en-US" w:eastAsia="zh-CN"/>
        </w:rPr>
        <w:t>可用不可见，可用可计量</w:t>
      </w:r>
      <w:r>
        <w:rPr>
          <w:rFonts w:hint="eastAsia"/>
          <w:color w:val="auto"/>
          <w:lang w:val="en-US" w:eastAsia="zh-CN"/>
        </w:rPr>
        <w:t>”</w:t>
      </w:r>
      <w:r>
        <w:rPr>
          <w:rFonts w:hint="default"/>
          <w:color w:val="auto"/>
          <w:lang w:val="en-US" w:eastAsia="zh-CN"/>
        </w:rPr>
        <w:t>，保障了数据安全计算的可靠性、可控性、可管理性及可追溯性。</w:t>
      </w:r>
      <w:r>
        <w:rPr>
          <w:rFonts w:hint="eastAsia"/>
          <w:b/>
          <w:bCs/>
          <w:color w:val="auto"/>
          <w:lang w:val="en-US" w:eastAsia="zh-CN"/>
        </w:rPr>
        <w:t>五是</w:t>
      </w:r>
      <w:r>
        <w:rPr>
          <w:rFonts w:hint="eastAsia"/>
          <w:color w:val="auto"/>
          <w:lang w:val="en-US" w:eastAsia="zh-CN"/>
        </w:rPr>
        <w:t>将授权运营纳入“三重一大”决策范围，通过披露机制与社会监督防范垄断行为，维护市场公平。</w:t>
      </w:r>
    </w:p>
    <w:p w14:paraId="4E6726B6">
      <w:pPr>
        <w:pStyle w:val="19"/>
        <w:keepNext w:val="0"/>
        <w:keepLines w:val="0"/>
        <w:pageBreakBefore w:val="0"/>
        <w:widowControl w:val="0"/>
        <w:numPr>
          <w:ilvl w:val="0"/>
          <w:numId w:val="9"/>
        </w:numPr>
        <w:kinsoku/>
        <w:wordWrap/>
        <w:overflowPunct/>
        <w:topLinePunct w:val="0"/>
        <w:autoSpaceDE/>
        <w:autoSpaceDN/>
        <w:bidi w:val="0"/>
        <w:adjustRightInd w:val="0"/>
        <w:snapToGrid w:val="0"/>
        <w:spacing w:beforeLines="0" w:afterLines="0" w:line="560" w:lineRule="exact"/>
        <w:jc w:val="both"/>
        <w:textAlignment w:val="auto"/>
        <w:rPr>
          <w:rFonts w:hint="eastAsia"/>
          <w:color w:val="auto"/>
          <w:lang w:val="en-US" w:eastAsia="zh-CN"/>
        </w:rPr>
      </w:pPr>
      <w:r>
        <w:rPr>
          <w:rFonts w:hint="eastAsia"/>
          <w:color w:val="auto"/>
          <w:lang w:val="en-US" w:eastAsia="zh-CN"/>
        </w:rPr>
        <w:t>个人信息保护措施</w:t>
      </w:r>
    </w:p>
    <w:p w14:paraId="5CCD0AEC">
      <w:pPr>
        <w:keepNext w:val="0"/>
        <w:keepLines w:val="0"/>
        <w:pageBreakBefore w:val="0"/>
        <w:widowControl w:val="0"/>
        <w:kinsoku/>
        <w:wordWrap/>
        <w:overflowPunct/>
        <w:topLinePunct w:val="0"/>
        <w:autoSpaceDE/>
        <w:autoSpaceDN/>
        <w:bidi w:val="0"/>
        <w:spacing w:line="560" w:lineRule="exact"/>
        <w:ind w:firstLine="640"/>
        <w:jc w:val="both"/>
        <w:textAlignment w:val="auto"/>
        <w:rPr>
          <w:rFonts w:hint="eastAsia" w:eastAsia="仿宋_GB2312" w:cs="仿宋_GB2312"/>
          <w:color w:val="auto"/>
          <w:sz w:val="32"/>
          <w:highlight w:val="none"/>
        </w:rPr>
      </w:pPr>
      <w:r>
        <w:rPr>
          <w:rFonts w:hint="eastAsia" w:ascii="Times New Roman" w:hAnsi="Times New Roman" w:eastAsia="仿宋_GB2312" w:cs="仿宋_GB2312"/>
          <w:i w:val="0"/>
          <w:caps w:val="0"/>
          <w:color w:val="auto"/>
          <w:spacing w:val="0"/>
          <w:sz w:val="32"/>
          <w:szCs w:val="24"/>
          <w:highlight w:val="none"/>
          <w:shd w:val="clear"/>
        </w:rPr>
        <w:t>数据处理活动</w:t>
      </w:r>
      <w:r>
        <w:rPr>
          <w:rFonts w:hint="eastAsia" w:eastAsia="仿宋_GB2312" w:cs="仿宋_GB2312"/>
          <w:i w:val="0"/>
          <w:caps w:val="0"/>
          <w:color w:val="auto"/>
          <w:spacing w:val="0"/>
          <w:sz w:val="32"/>
          <w:szCs w:val="24"/>
          <w:highlight w:val="none"/>
          <w:shd w:val="clear"/>
          <w:lang w:eastAsia="zh-CN"/>
        </w:rPr>
        <w:t>应</w:t>
      </w:r>
      <w:r>
        <w:rPr>
          <w:rFonts w:hint="eastAsia" w:ascii="Times New Roman" w:hAnsi="Times New Roman" w:eastAsia="仿宋_GB2312" w:cs="仿宋_GB2312"/>
          <w:i w:val="0"/>
          <w:caps w:val="0"/>
          <w:color w:val="auto"/>
          <w:spacing w:val="0"/>
          <w:sz w:val="32"/>
          <w:szCs w:val="24"/>
          <w:highlight w:val="none"/>
          <w:shd w:val="clear"/>
        </w:rPr>
        <w:t>严格遵循《中华人民共和国个人信息保护法》《中华人民共和国数据安全法》《中华人民共和国网络安全法》等法律法规要求，公共数据授权运营</w:t>
      </w:r>
      <w:r>
        <w:rPr>
          <w:rFonts w:hint="eastAsia" w:eastAsia="仿宋_GB2312" w:cs="仿宋_GB2312"/>
          <w:i w:val="0"/>
          <w:caps w:val="0"/>
          <w:color w:val="auto"/>
          <w:spacing w:val="0"/>
          <w:sz w:val="32"/>
          <w:szCs w:val="24"/>
          <w:highlight w:val="none"/>
          <w:shd w:val="clear"/>
          <w:lang w:eastAsia="zh-CN"/>
        </w:rPr>
        <w:t>中</w:t>
      </w:r>
      <w:r>
        <w:rPr>
          <w:rFonts w:hint="eastAsia" w:ascii="Times New Roman" w:hAnsi="Times New Roman" w:eastAsia="仿宋_GB2312" w:cs="仿宋_GB2312"/>
          <w:b w:val="0"/>
          <w:i w:val="0"/>
          <w:caps w:val="0"/>
          <w:color w:val="auto"/>
          <w:spacing w:val="0"/>
          <w:sz w:val="32"/>
          <w:szCs w:val="24"/>
          <w:highlight w:val="none"/>
          <w:shd w:val="clear"/>
        </w:rPr>
        <w:t>须</w:t>
      </w:r>
      <w:r>
        <w:rPr>
          <w:rFonts w:hint="eastAsia" w:eastAsia="仿宋_GB2312" w:cs="仿宋_GB2312"/>
          <w:b w:val="0"/>
          <w:i w:val="0"/>
          <w:caps w:val="0"/>
          <w:color w:val="auto"/>
          <w:spacing w:val="0"/>
          <w:sz w:val="32"/>
          <w:szCs w:val="24"/>
          <w:highlight w:val="none"/>
          <w:shd w:val="clear"/>
          <w:lang w:eastAsia="zh-CN"/>
        </w:rPr>
        <w:t>严格落实</w:t>
      </w:r>
      <w:r>
        <w:rPr>
          <w:rFonts w:hint="eastAsia" w:ascii="Times New Roman" w:hAnsi="Times New Roman" w:eastAsia="仿宋_GB2312" w:cs="仿宋_GB2312"/>
          <w:i w:val="0"/>
          <w:caps w:val="0"/>
          <w:color w:val="auto"/>
          <w:spacing w:val="0"/>
          <w:sz w:val="32"/>
          <w:szCs w:val="24"/>
          <w:highlight w:val="none"/>
          <w:shd w:val="clear"/>
        </w:rPr>
        <w:t>以下</w:t>
      </w:r>
      <w:r>
        <w:rPr>
          <w:rFonts w:hint="eastAsia" w:eastAsia="仿宋_GB2312" w:cs="仿宋_GB2312"/>
          <w:i w:val="0"/>
          <w:caps w:val="0"/>
          <w:color w:val="auto"/>
          <w:spacing w:val="0"/>
          <w:sz w:val="32"/>
          <w:szCs w:val="24"/>
          <w:highlight w:val="none"/>
          <w:shd w:val="clear"/>
          <w:lang w:eastAsia="zh-CN"/>
        </w:rPr>
        <w:t>基本</w:t>
      </w:r>
      <w:r>
        <w:rPr>
          <w:rFonts w:hint="eastAsia" w:ascii="Times New Roman" w:hAnsi="Times New Roman" w:eastAsia="仿宋_GB2312" w:cs="仿宋_GB2312"/>
          <w:i w:val="0"/>
          <w:caps w:val="0"/>
          <w:color w:val="auto"/>
          <w:spacing w:val="0"/>
          <w:sz w:val="32"/>
          <w:szCs w:val="24"/>
          <w:highlight w:val="none"/>
          <w:shd w:val="clear"/>
        </w:rPr>
        <w:t>原则：</w:t>
      </w:r>
      <w:r>
        <w:rPr>
          <w:rFonts w:hint="eastAsia" w:eastAsia="仿宋_GB2312" w:cs="仿宋_GB2312"/>
          <w:b/>
          <w:bCs/>
          <w:i w:val="0"/>
          <w:caps w:val="0"/>
          <w:color w:val="auto"/>
          <w:spacing w:val="0"/>
          <w:sz w:val="32"/>
          <w:szCs w:val="24"/>
          <w:highlight w:val="none"/>
          <w:shd w:val="clear"/>
          <w:lang w:eastAsia="zh-CN"/>
        </w:rPr>
        <w:t>一是</w:t>
      </w:r>
      <w:r>
        <w:rPr>
          <w:rFonts w:hint="eastAsia" w:ascii="Times New Roman" w:hAnsi="Times New Roman" w:eastAsia="仿宋_GB2312" w:cs="仿宋_GB2312"/>
          <w:b w:val="0"/>
          <w:i w:val="0"/>
          <w:caps w:val="0"/>
          <w:color w:val="auto"/>
          <w:spacing w:val="0"/>
          <w:sz w:val="32"/>
          <w:szCs w:val="24"/>
          <w:highlight w:val="none"/>
          <w:shd w:val="clear"/>
        </w:rPr>
        <w:t>授权同意原则：严格遵循“告知</w:t>
      </w:r>
      <w:r>
        <w:rPr>
          <w:rFonts w:hint="eastAsia" w:eastAsia="仿宋_GB2312" w:cs="仿宋_GB2312"/>
          <w:b w:val="0"/>
          <w:i w:val="0"/>
          <w:caps w:val="0"/>
          <w:color w:val="auto"/>
          <w:spacing w:val="0"/>
          <w:sz w:val="32"/>
          <w:szCs w:val="24"/>
          <w:highlight w:val="none"/>
          <w:shd w:val="clear"/>
          <w:lang w:eastAsia="zh-CN"/>
        </w:rPr>
        <w:t>—</w:t>
      </w:r>
      <w:r>
        <w:rPr>
          <w:rFonts w:hint="eastAsia" w:ascii="Times New Roman" w:hAnsi="Times New Roman" w:eastAsia="仿宋_GB2312" w:cs="仿宋_GB2312"/>
          <w:b w:val="0"/>
          <w:i w:val="0"/>
          <w:caps w:val="0"/>
          <w:color w:val="auto"/>
          <w:spacing w:val="0"/>
          <w:sz w:val="32"/>
          <w:szCs w:val="24"/>
          <w:highlight w:val="none"/>
          <w:shd w:val="clear"/>
        </w:rPr>
        <w:t>同意”</w:t>
      </w:r>
      <w:r>
        <w:rPr>
          <w:rFonts w:hint="eastAsia" w:eastAsia="仿宋_GB2312" w:cs="仿宋_GB2312"/>
          <w:b w:val="0"/>
          <w:i w:val="0"/>
          <w:caps w:val="0"/>
          <w:color w:val="auto"/>
          <w:spacing w:val="0"/>
          <w:sz w:val="32"/>
          <w:szCs w:val="24"/>
          <w:highlight w:val="none"/>
          <w:shd w:val="clear"/>
          <w:lang w:eastAsia="zh-CN"/>
        </w:rPr>
        <w:t>原则</w:t>
      </w:r>
      <w:r>
        <w:rPr>
          <w:rFonts w:hint="eastAsia" w:ascii="Times New Roman" w:hAnsi="Times New Roman" w:eastAsia="仿宋_GB2312" w:cs="仿宋_GB2312"/>
          <w:i w:val="0"/>
          <w:caps w:val="0"/>
          <w:color w:val="auto"/>
          <w:spacing w:val="0"/>
          <w:sz w:val="32"/>
          <w:szCs w:val="24"/>
          <w:highlight w:val="none"/>
          <w:shd w:val="clear"/>
        </w:rPr>
        <w:t>，确保个人信息的</w:t>
      </w:r>
      <w:r>
        <w:rPr>
          <w:rFonts w:hint="eastAsia" w:eastAsia="仿宋_GB2312" w:cs="仿宋_GB2312"/>
          <w:i w:val="0"/>
          <w:caps w:val="0"/>
          <w:color w:val="auto"/>
          <w:spacing w:val="0"/>
          <w:sz w:val="32"/>
          <w:szCs w:val="24"/>
          <w:highlight w:val="none"/>
          <w:shd w:val="clear"/>
          <w:lang w:eastAsia="zh-CN"/>
        </w:rPr>
        <w:t>处理</w:t>
      </w:r>
      <w:r>
        <w:rPr>
          <w:rFonts w:hint="eastAsia" w:ascii="Times New Roman" w:hAnsi="Times New Roman" w:eastAsia="仿宋_GB2312" w:cs="仿宋_GB2312"/>
          <w:i w:val="0"/>
          <w:caps w:val="0"/>
          <w:color w:val="auto"/>
          <w:spacing w:val="0"/>
          <w:sz w:val="32"/>
          <w:szCs w:val="24"/>
          <w:highlight w:val="none"/>
          <w:shd w:val="clear"/>
        </w:rPr>
        <w:t>建立在充分告知并获取个人有效授权的基础之上。</w:t>
      </w:r>
      <w:r>
        <w:rPr>
          <w:rFonts w:hint="eastAsia" w:eastAsia="仿宋_GB2312" w:cs="仿宋_GB2312"/>
          <w:b/>
          <w:bCs/>
          <w:i w:val="0"/>
          <w:caps w:val="0"/>
          <w:color w:val="auto"/>
          <w:spacing w:val="0"/>
          <w:sz w:val="32"/>
          <w:szCs w:val="24"/>
          <w:highlight w:val="none"/>
          <w:shd w:val="clear"/>
          <w:lang w:eastAsia="zh-CN"/>
        </w:rPr>
        <w:t>二是</w:t>
      </w:r>
      <w:r>
        <w:rPr>
          <w:rFonts w:hint="eastAsia" w:ascii="Times New Roman" w:hAnsi="Times New Roman" w:eastAsia="仿宋_GB2312" w:cs="仿宋_GB2312"/>
          <w:b w:val="0"/>
          <w:i w:val="0"/>
          <w:caps w:val="0"/>
          <w:color w:val="auto"/>
          <w:spacing w:val="0"/>
          <w:sz w:val="32"/>
          <w:szCs w:val="24"/>
          <w:highlight w:val="none"/>
          <w:shd w:val="clear"/>
        </w:rPr>
        <w:t>最小必要原则：</w:t>
      </w:r>
      <w:r>
        <w:rPr>
          <w:rFonts w:hint="eastAsia" w:ascii="Times New Roman" w:hAnsi="Times New Roman" w:eastAsia="仿宋_GB2312" w:cs="仿宋_GB2312"/>
          <w:i w:val="0"/>
          <w:caps w:val="0"/>
          <w:color w:val="auto"/>
          <w:spacing w:val="0"/>
          <w:kern w:val="2"/>
          <w:sz w:val="32"/>
          <w:szCs w:val="24"/>
          <w:highlight w:val="none"/>
          <w:shd w:val="clear"/>
          <w:lang w:val="en-US" w:eastAsia="zh-CN" w:bidi="ar"/>
        </w:rPr>
        <w:t>以实现处理目的所必要的最小范围、采取对个人权益影响最小的方式处理个人数据</w:t>
      </w:r>
      <w:r>
        <w:rPr>
          <w:rFonts w:hint="eastAsia" w:eastAsia="仿宋_GB2312" w:cs="仿宋_GB2312"/>
          <w:i w:val="0"/>
          <w:caps w:val="0"/>
          <w:color w:val="auto"/>
          <w:spacing w:val="0"/>
          <w:kern w:val="2"/>
          <w:sz w:val="32"/>
          <w:szCs w:val="24"/>
          <w:highlight w:val="none"/>
          <w:shd w:val="clear"/>
          <w:lang w:val="en-US" w:eastAsia="zh-CN" w:bidi="ar"/>
        </w:rPr>
        <w:t>，</w:t>
      </w:r>
      <w:r>
        <w:rPr>
          <w:rFonts w:hint="eastAsia" w:eastAsia="仿宋_GB2312" w:cs="仿宋_GB2312"/>
          <w:i w:val="0"/>
          <w:caps w:val="0"/>
          <w:color w:val="auto"/>
          <w:spacing w:val="0"/>
          <w:sz w:val="32"/>
          <w:szCs w:val="24"/>
          <w:highlight w:val="none"/>
          <w:shd w:val="clear"/>
          <w:lang w:eastAsia="zh-CN"/>
        </w:rPr>
        <w:t>减少数据处理过程中的不当操作对个人的影响</w:t>
      </w:r>
      <w:r>
        <w:rPr>
          <w:rFonts w:hint="eastAsia" w:ascii="Times New Roman" w:hAnsi="Times New Roman" w:eastAsia="仿宋_GB2312" w:cs="仿宋_GB2312"/>
          <w:i w:val="0"/>
          <w:caps w:val="0"/>
          <w:color w:val="auto"/>
          <w:spacing w:val="0"/>
          <w:sz w:val="32"/>
          <w:szCs w:val="24"/>
          <w:highlight w:val="none"/>
          <w:shd w:val="clear"/>
        </w:rPr>
        <w:t>。</w:t>
      </w:r>
      <w:r>
        <w:rPr>
          <w:rFonts w:hint="eastAsia" w:eastAsia="仿宋_GB2312" w:cs="仿宋_GB2312"/>
          <w:b/>
          <w:bCs/>
          <w:i w:val="0"/>
          <w:caps w:val="0"/>
          <w:color w:val="auto"/>
          <w:spacing w:val="0"/>
          <w:sz w:val="32"/>
          <w:szCs w:val="24"/>
          <w:highlight w:val="none"/>
          <w:shd w:val="clear"/>
          <w:lang w:eastAsia="zh-CN"/>
        </w:rPr>
        <w:t>三是</w:t>
      </w:r>
      <w:r>
        <w:rPr>
          <w:rFonts w:hint="eastAsia" w:eastAsia="仿宋_GB2312" w:cs="仿宋_GB2312"/>
          <w:b w:val="0"/>
          <w:bCs w:val="0"/>
          <w:i w:val="0"/>
          <w:caps w:val="0"/>
          <w:color w:val="auto"/>
          <w:spacing w:val="0"/>
          <w:sz w:val="32"/>
          <w:szCs w:val="24"/>
          <w:highlight w:val="none"/>
          <w:shd w:val="clear"/>
          <w:lang w:eastAsia="zh-CN"/>
        </w:rPr>
        <w:t>场景限制</w:t>
      </w:r>
      <w:r>
        <w:rPr>
          <w:rFonts w:hint="eastAsia" w:ascii="Times New Roman" w:hAnsi="Times New Roman" w:eastAsia="仿宋_GB2312" w:cs="仿宋_GB2312"/>
          <w:b w:val="0"/>
          <w:i w:val="0"/>
          <w:caps w:val="0"/>
          <w:color w:val="auto"/>
          <w:spacing w:val="0"/>
          <w:sz w:val="32"/>
          <w:szCs w:val="24"/>
          <w:highlight w:val="none"/>
          <w:shd w:val="clear"/>
        </w:rPr>
        <w:t>原则：清晰界定并严格遵守个人信息的使用范围</w:t>
      </w:r>
      <w:r>
        <w:rPr>
          <w:rFonts w:hint="eastAsia" w:eastAsia="仿宋_GB2312" w:cs="仿宋_GB2312"/>
          <w:b w:val="0"/>
          <w:i w:val="0"/>
          <w:caps w:val="0"/>
          <w:color w:val="auto"/>
          <w:spacing w:val="0"/>
          <w:sz w:val="32"/>
          <w:szCs w:val="24"/>
          <w:highlight w:val="none"/>
          <w:shd w:val="clear"/>
          <w:lang w:eastAsia="zh-CN"/>
        </w:rPr>
        <w:t>及应用场景</w:t>
      </w:r>
      <w:r>
        <w:rPr>
          <w:rFonts w:hint="eastAsia" w:ascii="Times New Roman" w:hAnsi="Times New Roman" w:eastAsia="仿宋_GB2312" w:cs="仿宋_GB2312"/>
          <w:i w:val="0"/>
          <w:caps w:val="0"/>
          <w:color w:val="auto"/>
          <w:spacing w:val="0"/>
          <w:sz w:val="32"/>
          <w:szCs w:val="24"/>
          <w:highlight w:val="none"/>
          <w:shd w:val="clear"/>
        </w:rPr>
        <w:t>，明确禁止任何超出原始授权或约定范围的数据使用行为。</w:t>
      </w:r>
    </w:p>
    <w:p w14:paraId="5790B0A7">
      <w:pPr>
        <w:pStyle w:val="10"/>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jc w:val="both"/>
        <w:textAlignment w:val="auto"/>
        <w:rPr>
          <w:rFonts w:hint="eastAsia" w:eastAsia="仿宋_GB2312" w:cs="仿宋_GB2312"/>
          <w:color w:val="auto"/>
          <w:sz w:val="32"/>
          <w:highlight w:val="none"/>
          <w:lang w:val="en-US" w:eastAsia="zh-CN"/>
        </w:rPr>
      </w:pPr>
      <w:r>
        <w:rPr>
          <w:rFonts w:hint="eastAsia" w:ascii="Times New Roman" w:hAnsi="Times New Roman" w:eastAsia="仿宋_GB2312" w:cs="仿宋_GB2312"/>
          <w:i w:val="0"/>
          <w:caps w:val="0"/>
          <w:color w:val="auto"/>
          <w:spacing w:val="0"/>
          <w:sz w:val="32"/>
          <w:szCs w:val="24"/>
          <w:highlight w:val="none"/>
          <w:shd w:val="clear"/>
        </w:rPr>
        <w:t>在</w:t>
      </w:r>
      <w:r>
        <w:rPr>
          <w:rFonts w:hint="eastAsia" w:eastAsia="仿宋_GB2312" w:cs="仿宋_GB2312"/>
          <w:i w:val="0"/>
          <w:caps w:val="0"/>
          <w:color w:val="auto"/>
          <w:spacing w:val="0"/>
          <w:sz w:val="32"/>
          <w:szCs w:val="24"/>
          <w:highlight w:val="none"/>
          <w:shd w:val="clear"/>
          <w:lang w:eastAsia="zh-CN"/>
        </w:rPr>
        <w:t>数据处理过程中</w:t>
      </w:r>
      <w:r>
        <w:rPr>
          <w:rFonts w:hint="eastAsia" w:ascii="Times New Roman" w:hAnsi="Times New Roman" w:eastAsia="仿宋_GB2312" w:cs="仿宋_GB2312"/>
          <w:i w:val="0"/>
          <w:caps w:val="0"/>
          <w:color w:val="auto"/>
          <w:spacing w:val="0"/>
          <w:sz w:val="32"/>
          <w:szCs w:val="24"/>
          <w:highlight w:val="none"/>
          <w:shd w:val="clear"/>
        </w:rPr>
        <w:t>，除上述通用原则外，</w:t>
      </w:r>
      <w:r>
        <w:rPr>
          <w:rFonts w:hint="eastAsia" w:ascii="Times New Roman" w:hAnsi="Times New Roman" w:eastAsia="仿宋_GB2312" w:cs="仿宋_GB2312"/>
          <w:b w:val="0"/>
          <w:i w:val="0"/>
          <w:caps w:val="0"/>
          <w:color w:val="auto"/>
          <w:spacing w:val="0"/>
          <w:sz w:val="32"/>
          <w:szCs w:val="24"/>
          <w:highlight w:val="none"/>
          <w:shd w:val="clear"/>
        </w:rPr>
        <w:t>还需特别强化个人隐私保护措施</w:t>
      </w:r>
      <w:r>
        <w:rPr>
          <w:rFonts w:hint="eastAsia" w:eastAsia="仿宋_GB2312" w:cs="仿宋_GB2312"/>
          <w:b w:val="0"/>
          <w:i w:val="0"/>
          <w:caps w:val="0"/>
          <w:color w:val="auto"/>
          <w:spacing w:val="0"/>
          <w:sz w:val="32"/>
          <w:szCs w:val="24"/>
          <w:highlight w:val="none"/>
          <w:shd w:val="clear"/>
          <w:lang w:eastAsia="zh-CN"/>
        </w:rPr>
        <w:t>，严格遵</w:t>
      </w:r>
      <w:r>
        <w:rPr>
          <w:rFonts w:hint="eastAsia" w:ascii="仿宋_GB2312" w:hAnsi="仿宋_GB2312" w:eastAsia="仿宋_GB2312" w:cs="仿宋_GB2312"/>
          <w:b w:val="0"/>
          <w:i w:val="0"/>
          <w:caps w:val="0"/>
          <w:color w:val="auto"/>
          <w:spacing w:val="0"/>
          <w:sz w:val="32"/>
          <w:szCs w:val="24"/>
          <w:highlight w:val="none"/>
          <w:shd w:val="clear"/>
          <w:lang w:eastAsia="zh-CN"/>
        </w:rPr>
        <w:t>守</w:t>
      </w:r>
      <w:r>
        <w:rPr>
          <w:rFonts w:hint="eastAsia" w:ascii="仿宋_GB2312" w:hAnsi="仿宋_GB2312" w:eastAsia="仿宋_GB2312" w:cs="仿宋_GB2312"/>
          <w:i w:val="0"/>
          <w:iCs w:val="0"/>
          <w:caps w:val="0"/>
          <w:color w:val="auto"/>
          <w:spacing w:val="0"/>
          <w:kern w:val="2"/>
          <w:position w:val="0"/>
          <w:sz w:val="32"/>
          <w:szCs w:val="24"/>
          <w:highlight w:val="none"/>
          <w:lang w:val="en-US" w:eastAsia="zh-CN" w:bidi="ar-SA"/>
        </w:rPr>
        <w:t>《GB/T 45574-2025 数据安全技术 敏感个人信息处理安全要求》等文件要求，加强对个人隐私数据的保护要求</w:t>
      </w:r>
      <w:r>
        <w:rPr>
          <w:rFonts w:hint="eastAsia" w:ascii="仿宋_GB2312" w:hAnsi="仿宋_GB2312" w:eastAsia="仿宋_GB2312" w:cs="仿宋_GB2312"/>
          <w:color w:val="auto"/>
          <w:sz w:val="32"/>
          <w:highlight w:val="none"/>
          <w:lang w:val="en-US" w:eastAsia="zh-CN"/>
        </w:rPr>
        <w:t>，对涉及个人身份的信息进行匿名化</w:t>
      </w:r>
      <w:r>
        <w:rPr>
          <w:rFonts w:hint="eastAsia" w:eastAsia="仿宋_GB2312" w:cs="仿宋_GB2312"/>
          <w:color w:val="auto"/>
          <w:sz w:val="32"/>
          <w:highlight w:val="none"/>
          <w:lang w:val="en-US" w:eastAsia="zh-CN"/>
        </w:rPr>
        <w:t>处理，并对敏感数据实施加密或模糊化处理，以降低信息泄露风险。</w:t>
      </w:r>
      <w:r>
        <w:rPr>
          <w:rFonts w:hint="eastAsia" w:ascii="Times New Roman" w:hAnsi="Times New Roman" w:eastAsia="仿宋_GB2312" w:cs="仿宋_GB2312"/>
          <w:b w:val="0"/>
          <w:i w:val="0"/>
          <w:caps w:val="0"/>
          <w:color w:val="auto"/>
          <w:spacing w:val="0"/>
          <w:sz w:val="32"/>
          <w:szCs w:val="24"/>
          <w:highlight w:val="none"/>
          <w:shd w:val="clear"/>
        </w:rPr>
        <w:t>最大限度降低个人信息泄露、滥用等安全风险，切实保障个人隐私权益，确保公共数据价值在安全合规的前提下得到有效释放</w:t>
      </w:r>
      <w:r>
        <w:rPr>
          <w:rFonts w:hint="eastAsia" w:ascii="Times New Roman" w:hAnsi="Times New Roman" w:eastAsia="仿宋_GB2312" w:cs="仿宋_GB2312"/>
          <w:i w:val="0"/>
          <w:caps w:val="0"/>
          <w:color w:val="auto"/>
          <w:spacing w:val="0"/>
          <w:sz w:val="32"/>
          <w:szCs w:val="24"/>
          <w:highlight w:val="none"/>
          <w:shd w:val="clear"/>
        </w:rPr>
        <w:t>。</w:t>
      </w:r>
    </w:p>
    <w:p w14:paraId="34A37E20">
      <w:pPr>
        <w:pStyle w:val="18"/>
        <w:keepNext w:val="0"/>
        <w:keepLines w:val="0"/>
        <w:pageBreakBefore w:val="0"/>
        <w:widowControl w:val="0"/>
        <w:numPr>
          <w:ilvl w:val="0"/>
          <w:numId w:val="9"/>
        </w:numPr>
        <w:shd w:val="clear" w:color="auto" w:fill="FFFFFF"/>
        <w:kinsoku/>
        <w:wordWrap/>
        <w:overflowPunct/>
        <w:topLinePunct w:val="0"/>
        <w:autoSpaceDE/>
        <w:autoSpaceDN/>
        <w:bidi w:val="0"/>
        <w:adjustRightInd w:val="0"/>
        <w:snapToGrid w:val="0"/>
        <w:spacing w:line="560" w:lineRule="exact"/>
        <w:textAlignment w:val="auto"/>
        <w:rPr>
          <w:rFonts w:hint="eastAsia" w:eastAsia="楷体_GB2312" w:cs="楷体_GB2312"/>
          <w:color w:val="auto"/>
          <w:lang w:val="en-US" w:eastAsia="zh-CN"/>
        </w:rPr>
      </w:pPr>
      <w:r>
        <w:rPr>
          <w:rFonts w:hint="eastAsia" w:eastAsia="楷体_GB2312" w:cs="楷体_GB2312"/>
          <w:color w:val="auto"/>
          <w:lang w:val="en-US" w:eastAsia="zh-CN"/>
        </w:rPr>
        <w:t>应急处置</w:t>
      </w:r>
    </w:p>
    <w:p w14:paraId="47072449">
      <w:pPr>
        <w:pStyle w:val="18"/>
        <w:keepNext w:val="0"/>
        <w:keepLines w:val="0"/>
        <w:pageBreakBefore w:val="0"/>
        <w:widowControl w:val="0"/>
        <w:numPr>
          <w:ilvl w:val="0"/>
          <w:numId w:val="0"/>
        </w:numPr>
        <w:shd w:val="clear" w:color="auto" w:fill="FFFFFF"/>
        <w:kinsoku/>
        <w:wordWrap/>
        <w:overflowPunct/>
        <w:topLinePunct w:val="0"/>
        <w:autoSpaceDE/>
        <w:autoSpaceDN/>
        <w:bidi w:val="0"/>
        <w:adjustRightInd w:val="0"/>
        <w:snapToGrid w:val="0"/>
        <w:spacing w:line="560" w:lineRule="exact"/>
        <w:ind w:firstLine="643" w:firstLineChars="200"/>
        <w:textAlignment w:val="auto"/>
        <w:rPr>
          <w:rFonts w:hint="eastAsia"/>
          <w:color w:val="auto"/>
          <w:highlight w:val="none"/>
          <w:lang w:val="en-US" w:eastAsia="zh-CN"/>
        </w:rPr>
      </w:pPr>
      <w:r>
        <w:rPr>
          <w:rFonts w:hint="eastAsia"/>
          <w:b/>
          <w:bCs/>
          <w:color w:val="auto"/>
          <w:highlight w:val="none"/>
          <w:lang w:val="en-US" w:eastAsia="zh-CN"/>
        </w:rPr>
        <w:t>一是</w:t>
      </w:r>
      <w:r>
        <w:rPr>
          <w:rFonts w:hint="eastAsia"/>
          <w:color w:val="auto"/>
          <w:highlight w:val="none"/>
          <w:lang w:val="en-US" w:eastAsia="zh-CN"/>
        </w:rPr>
        <w:t>发现未经授权的数据泄露或非法访问，应立即启动应急预案，停止数据交换，通知相关监管机构，并紧急修复安全漏洞，同时启动调查取证程序。</w:t>
      </w:r>
      <w:r>
        <w:rPr>
          <w:rFonts w:hint="eastAsia"/>
          <w:b/>
          <w:bCs/>
          <w:color w:val="auto"/>
          <w:highlight w:val="none"/>
          <w:lang w:val="en-US" w:eastAsia="zh-CN"/>
        </w:rPr>
        <w:t>二是</w:t>
      </w:r>
      <w:r>
        <w:rPr>
          <w:rFonts w:hint="eastAsia"/>
          <w:color w:val="auto"/>
          <w:highlight w:val="none"/>
          <w:lang w:val="en-US" w:eastAsia="zh-CN"/>
        </w:rPr>
        <w:t>如产品在合法合规性审查中出现问题，应及时与法律顾问团队沟通，根据指导意见调整产品设计或运营策略，确保整改后的产品重新通过审查并在规定期限内完成上架。若面临严重合规风险，及时暂停相关业务，并向监管部门报备，同时配合监管部门调查，确保整改措施的落实和问题的彻底解决。</w:t>
      </w:r>
      <w:r>
        <w:rPr>
          <w:rFonts w:hint="eastAsia"/>
          <w:b/>
          <w:bCs/>
          <w:color w:val="auto"/>
          <w:highlight w:val="none"/>
          <w:lang w:val="en-US" w:eastAsia="zh-CN"/>
        </w:rPr>
        <w:t>三是</w:t>
      </w:r>
      <w:r>
        <w:rPr>
          <w:rFonts w:hint="eastAsia"/>
          <w:color w:val="auto"/>
          <w:highlight w:val="none"/>
          <w:lang w:val="en-US" w:eastAsia="zh-CN"/>
        </w:rPr>
        <w:t>发生个人敏感信息泄露事件时，立即启动隐私保护应急响应，通知受影响的个人，并采取补救措施，如通知相关单位对泄露数据进行脱敏处理，同时加强系统安全防护措施。</w:t>
      </w:r>
    </w:p>
    <w:p w14:paraId="33AA09F0">
      <w:pPr>
        <w:pStyle w:val="18"/>
        <w:keepNext w:val="0"/>
        <w:keepLines w:val="0"/>
        <w:pageBreakBefore w:val="0"/>
        <w:widowControl w:val="0"/>
        <w:shd w:val="clear" w:color="auto" w:fill="FFFFFF"/>
        <w:kinsoku/>
        <w:wordWrap/>
        <w:overflowPunct/>
        <w:topLinePunct w:val="0"/>
        <w:autoSpaceDE/>
        <w:autoSpaceDN/>
        <w:bidi w:val="0"/>
        <w:adjustRightInd w:val="0"/>
        <w:snapToGrid w:val="0"/>
        <w:spacing w:line="560" w:lineRule="exact"/>
        <w:textAlignment w:val="auto"/>
        <w:rPr>
          <w:rFonts w:hint="eastAsia" w:ascii="黑体" w:hAnsi="黑体" w:eastAsia="黑体" w:cs="黑体"/>
          <w:color w:val="auto"/>
          <w:lang w:val="en-US" w:eastAsia="zh-CN"/>
        </w:rPr>
      </w:pPr>
      <w:r>
        <w:rPr>
          <w:rFonts w:hint="eastAsia" w:ascii="黑体" w:hAnsi="黑体" w:eastAsia="黑体" w:cs="黑体"/>
          <w:color w:val="auto"/>
          <w:lang w:val="en-US" w:eastAsia="zh-CN"/>
        </w:rPr>
        <w:t>十、监督管理</w:t>
      </w:r>
    </w:p>
    <w:p w14:paraId="34EBEFBC">
      <w:pPr>
        <w:pStyle w:val="18"/>
        <w:keepNext w:val="0"/>
        <w:keepLines w:val="0"/>
        <w:pageBreakBefore w:val="0"/>
        <w:widowControl w:val="0"/>
        <w:numPr>
          <w:ilvl w:val="0"/>
          <w:numId w:val="0"/>
        </w:numPr>
        <w:shd w:val="clear" w:color="auto" w:fill="FFFFFF"/>
        <w:kinsoku/>
        <w:wordWrap/>
        <w:overflowPunct/>
        <w:topLinePunct w:val="0"/>
        <w:autoSpaceDE/>
        <w:autoSpaceDN/>
        <w:bidi w:val="0"/>
        <w:adjustRightInd w:val="0"/>
        <w:snapToGrid w:val="0"/>
        <w:spacing w:line="560" w:lineRule="exact"/>
        <w:ind w:leftChars="0" w:firstLine="640" w:firstLineChars="200"/>
        <w:textAlignment w:val="auto"/>
        <w:rPr>
          <w:rFonts w:hint="eastAsia" w:ascii="楷体_GB2312" w:hAnsi="楷体_GB2312" w:eastAsia="楷体_GB2312" w:cs="楷体_GB2312"/>
          <w:color w:val="auto"/>
          <w:lang w:val="en-US" w:eastAsia="zh-CN"/>
        </w:rPr>
      </w:pPr>
      <w:r>
        <w:rPr>
          <w:rFonts w:hint="eastAsia" w:ascii="楷体_GB2312" w:hAnsi="楷体_GB2312" w:eastAsia="楷体_GB2312" w:cs="楷体_GB2312"/>
          <w:color w:val="auto"/>
          <w:lang w:val="en-US" w:eastAsia="zh-CN"/>
        </w:rPr>
        <w:t>（一）监督管理要求</w:t>
      </w:r>
    </w:p>
    <w:p w14:paraId="0EBC4429">
      <w:pPr>
        <w:pStyle w:val="18"/>
        <w:keepNext w:val="0"/>
        <w:keepLines w:val="0"/>
        <w:pageBreakBefore w:val="0"/>
        <w:widowControl w:val="0"/>
        <w:numPr>
          <w:ilvl w:val="-1"/>
          <w:numId w:val="0"/>
        </w:numPr>
        <w:shd w:val="clear" w:color="auto" w:fill="FFFFFF"/>
        <w:kinsoku/>
        <w:wordWrap/>
        <w:overflowPunct/>
        <w:topLinePunct w:val="0"/>
        <w:autoSpaceDE/>
        <w:autoSpaceDN/>
        <w:bidi w:val="0"/>
        <w:adjustRightInd w:val="0"/>
        <w:snapToGrid w:val="0"/>
        <w:spacing w:line="560" w:lineRule="exact"/>
        <w:ind w:leftChars="0" w:firstLine="640" w:firstLineChars="200"/>
        <w:textAlignment w:val="auto"/>
        <w:rPr>
          <w:rFonts w:hint="eastAsia"/>
          <w:color w:val="auto"/>
          <w:lang w:val="en-US" w:eastAsia="zh-CN"/>
        </w:rPr>
      </w:pPr>
      <w:r>
        <w:rPr>
          <w:rFonts w:hint="eastAsia" w:ascii="仿宋_GB2312" w:hAnsi="仿宋_GB2312"/>
          <w:color w:val="auto"/>
          <w:lang w:val="en-US" w:eastAsia="zh-CN"/>
        </w:rPr>
        <w:t>1.</w:t>
      </w:r>
      <w:r>
        <w:rPr>
          <w:rFonts w:hint="eastAsia"/>
          <w:color w:val="auto"/>
          <w:lang w:val="en-US" w:eastAsia="zh-CN"/>
        </w:rPr>
        <w:t>实施机构</w:t>
      </w:r>
    </w:p>
    <w:p w14:paraId="52DBA138">
      <w:pPr>
        <w:pStyle w:val="18"/>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color w:val="auto"/>
          <w:lang w:val="en-US" w:eastAsia="zh-CN"/>
        </w:rPr>
      </w:pPr>
      <w:r>
        <w:rPr>
          <w:rFonts w:hint="eastAsia"/>
          <w:color w:val="auto"/>
          <w:lang w:val="en-US" w:eastAsia="zh-CN"/>
        </w:rPr>
        <w:t>实施机构需定期公开授权运营情况，接受社会监督，并建立完善的管理制度以加强数据治理和安全保护。应明确数据分类分级的安全要求，强化技术支持和内部审计，防止公共数据资源不当进入市场。此外，需识别和管控数据资产化带来的风险，指导相关单位落实公共数据的开发利用与安全管理责任。</w:t>
      </w:r>
    </w:p>
    <w:p w14:paraId="76EEA96D">
      <w:pPr>
        <w:pStyle w:val="20"/>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60" w:lineRule="exact"/>
        <w:ind w:leftChars="0" w:firstLine="640" w:firstLineChars="200"/>
        <w:textAlignment w:val="auto"/>
        <w:rPr>
          <w:rFonts w:hint="eastAsia"/>
          <w:color w:val="auto"/>
          <w:lang w:val="en-US" w:eastAsia="zh-CN"/>
        </w:rPr>
      </w:pPr>
      <w:r>
        <w:rPr>
          <w:rFonts w:hint="eastAsia" w:ascii="仿宋_GB2312" w:hAnsi="仿宋_GB2312"/>
          <w:color w:val="auto"/>
          <w:lang w:val="en-US" w:eastAsia="zh-CN"/>
        </w:rPr>
        <w:t>2.</w:t>
      </w:r>
      <w:r>
        <w:rPr>
          <w:rFonts w:hint="eastAsia"/>
          <w:color w:val="auto"/>
          <w:lang w:val="en-US" w:eastAsia="zh-CN"/>
        </w:rPr>
        <w:t>运营机构</w:t>
      </w:r>
    </w:p>
    <w:p w14:paraId="73AAACB7">
      <w:pPr>
        <w:pStyle w:val="18"/>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color w:val="auto"/>
          <w:lang w:val="en-US" w:eastAsia="zh-CN"/>
        </w:rPr>
      </w:pPr>
      <w:r>
        <w:rPr>
          <w:rFonts w:hint="eastAsia"/>
          <w:color w:val="auto"/>
          <w:lang w:val="en-US" w:eastAsia="zh-CN"/>
        </w:rPr>
        <w:t>运营机构需定期公开数据产品和服务清单，并向社会披露数据使用情况，接受监督。同时，要加强数据安全管理，防止超授权使用和数据安全风险。运营机构需严格管理财务收支，确保合规性，并通过权限管理等手段进行动态监测。针对数据安全事件，应制定应急预案并定期演练，如发现数据风险，立即停止相关处理并报告相关部门。</w:t>
      </w:r>
    </w:p>
    <w:p w14:paraId="220C5F3F">
      <w:pPr>
        <w:pStyle w:val="20"/>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60" w:lineRule="exact"/>
        <w:ind w:left="640" w:leftChars="200"/>
        <w:textAlignment w:val="auto"/>
        <w:rPr>
          <w:rFonts w:hint="eastAsia"/>
          <w:color w:val="auto"/>
          <w:lang w:val="en-US" w:eastAsia="zh-CN"/>
        </w:rPr>
      </w:pPr>
      <w:r>
        <w:rPr>
          <w:rFonts w:hint="eastAsia" w:ascii="仿宋_GB2312" w:hAnsi="仿宋_GB2312"/>
          <w:color w:val="auto"/>
          <w:lang w:val="en-US" w:eastAsia="zh-CN"/>
        </w:rPr>
        <w:t>3.</w:t>
      </w:r>
      <w:r>
        <w:rPr>
          <w:rFonts w:hint="eastAsia"/>
          <w:color w:val="auto"/>
          <w:lang w:val="en-US" w:eastAsia="zh-CN"/>
        </w:rPr>
        <w:t>运营合作方</w:t>
      </w:r>
    </w:p>
    <w:p w14:paraId="6B887F6D">
      <w:pPr>
        <w:pStyle w:val="18"/>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color w:val="auto"/>
          <w:lang w:val="en-US" w:eastAsia="zh-CN"/>
        </w:rPr>
      </w:pPr>
      <w:r>
        <w:rPr>
          <w:rFonts w:hint="eastAsia"/>
          <w:color w:val="auto"/>
          <w:lang w:val="en-US" w:eastAsia="zh-CN"/>
        </w:rPr>
        <w:t>运营合作方对公共数据的使用应遵循集约利用和最小授权原则，申请时需基于实际需求并合法使用，严禁变相用途。同时，运营合作方需接受运营机构数据安全监管，确保全过程符合安全和合规标准。如在监督检查中发现问题，需及时分析原因并在规定期限内整改，报告整改情况，未按要求整改者将面临服务协议终止。</w:t>
      </w:r>
    </w:p>
    <w:p w14:paraId="164A4A05">
      <w:pPr>
        <w:pStyle w:val="20"/>
        <w:keepNext w:val="0"/>
        <w:keepLines w:val="0"/>
        <w:pageBreakBefore w:val="0"/>
        <w:widowControl w:val="0"/>
        <w:numPr>
          <w:ilvl w:val="-1"/>
          <w:numId w:val="0"/>
        </w:numPr>
        <w:kinsoku/>
        <w:wordWrap/>
        <w:overflowPunct/>
        <w:topLinePunct w:val="0"/>
        <w:autoSpaceDE/>
        <w:autoSpaceDN/>
        <w:bidi w:val="0"/>
        <w:adjustRightInd w:val="0"/>
        <w:snapToGrid w:val="0"/>
        <w:spacing w:beforeLines="0" w:afterLines="0" w:line="560" w:lineRule="exact"/>
        <w:ind w:left="640" w:leftChars="200" w:firstLine="0" w:firstLineChars="0"/>
        <w:textAlignment w:val="auto"/>
        <w:rPr>
          <w:rFonts w:hint="eastAsia" w:ascii="仿宋_GB2312" w:hAnsi="仿宋_GB2312"/>
          <w:color w:val="auto"/>
          <w:lang w:val="en-US" w:eastAsia="zh-CN"/>
        </w:rPr>
      </w:pPr>
      <w:r>
        <w:rPr>
          <w:rFonts w:hint="eastAsia" w:ascii="仿宋_GB2312" w:hAnsi="仿宋_GB2312"/>
          <w:color w:val="auto"/>
          <w:lang w:val="en-US" w:eastAsia="zh-CN"/>
        </w:rPr>
        <w:t>4.社会公众</w:t>
      </w:r>
    </w:p>
    <w:p w14:paraId="24F27D7F">
      <w:pPr>
        <w:pStyle w:val="18"/>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color w:val="auto"/>
          <w:lang w:val="en-US" w:eastAsia="zh-CN"/>
        </w:rPr>
      </w:pPr>
      <w:r>
        <w:rPr>
          <w:rFonts w:hint="eastAsia"/>
          <w:color w:val="auto"/>
          <w:lang w:val="en-US" w:eastAsia="zh-CN"/>
        </w:rPr>
        <w:t>社会公众有权对公共数据授权运营活动进行监督，认为存在违法违规行为的，可以向公共数据主管部门投诉举报，公共数据主管部门应当会同相关部门及时调查处理，并为举报人保密。</w:t>
      </w:r>
    </w:p>
    <w:p w14:paraId="4F92A8A8">
      <w:pPr>
        <w:pStyle w:val="19"/>
        <w:keepNext w:val="0"/>
        <w:keepLines w:val="0"/>
        <w:pageBreakBefore w:val="0"/>
        <w:widowControl w:val="0"/>
        <w:numPr>
          <w:ilvl w:val="0"/>
          <w:numId w:val="0"/>
        </w:numPr>
        <w:kinsoku/>
        <w:wordWrap/>
        <w:overflowPunct/>
        <w:topLinePunct w:val="0"/>
        <w:autoSpaceDE/>
        <w:autoSpaceDN/>
        <w:bidi w:val="0"/>
        <w:adjustRightInd w:val="0"/>
        <w:snapToGrid w:val="0"/>
        <w:spacing w:beforeLines="0" w:afterLines="0" w:line="560" w:lineRule="exact"/>
        <w:ind w:leftChars="0" w:firstLine="640"/>
        <w:textAlignment w:val="auto"/>
        <w:rPr>
          <w:rFonts w:hint="eastAsia"/>
          <w:color w:val="auto"/>
          <w:lang w:val="en-US" w:eastAsia="zh-CN"/>
        </w:rPr>
      </w:pPr>
      <w:r>
        <w:rPr>
          <w:rFonts w:hint="eastAsia"/>
          <w:color w:val="auto"/>
          <w:lang w:val="en-US" w:eastAsia="zh-CN"/>
        </w:rPr>
        <w:t>（二）考核评价</w:t>
      </w:r>
    </w:p>
    <w:p w14:paraId="188CA25D">
      <w:pPr>
        <w:keepNext w:val="0"/>
        <w:keepLines w:val="0"/>
        <w:pageBreakBefore w:val="0"/>
        <w:widowControl w:val="0"/>
        <w:kinsoku/>
        <w:wordWrap/>
        <w:overflowPunct/>
        <w:topLinePunct w:val="0"/>
        <w:autoSpaceDE/>
        <w:autoSpaceDN/>
        <w:bidi w:val="0"/>
        <w:adjustRightInd w:val="0"/>
        <w:snapToGrid w:val="0"/>
        <w:spacing w:line="560" w:lineRule="exact"/>
        <w:ind w:firstLine="560"/>
        <w:jc w:val="both"/>
        <w:textAlignment w:val="auto"/>
        <w:rPr>
          <w:rFonts w:hint="eastAsia" w:ascii="Times New Roman" w:hAnsi="Times New Roman" w:eastAsia="仿宋_GB2312" w:cs="仿宋_GB2312"/>
          <w:color w:val="auto"/>
          <w:sz w:val="32"/>
          <w:szCs w:val="24"/>
        </w:rPr>
      </w:pPr>
      <w:r>
        <w:rPr>
          <w:rFonts w:hint="eastAsia" w:ascii="Times New Roman" w:hAnsi="Times New Roman" w:eastAsia="仿宋_GB2312" w:cs="仿宋_GB2312"/>
          <w:color w:val="auto"/>
          <w:sz w:val="32"/>
          <w:szCs w:val="24"/>
        </w:rPr>
        <w:t>在运营期限内，</w:t>
      </w:r>
      <w:r>
        <w:rPr>
          <w:rFonts w:hint="eastAsia" w:ascii="Times New Roman" w:hAnsi="Times New Roman" w:eastAsia="仿宋_GB2312" w:cs="仿宋_GB2312"/>
          <w:color w:val="auto"/>
          <w:sz w:val="32"/>
          <w:szCs w:val="24"/>
          <w:lang w:eastAsia="zh-CN"/>
        </w:rPr>
        <w:t>实施机构</w:t>
      </w:r>
      <w:r>
        <w:rPr>
          <w:rFonts w:hint="eastAsia" w:ascii="Times New Roman" w:hAnsi="Times New Roman" w:eastAsia="仿宋_GB2312" w:cs="仿宋_GB2312"/>
          <w:color w:val="auto"/>
          <w:sz w:val="32"/>
          <w:szCs w:val="24"/>
        </w:rPr>
        <w:t>应会同相关部门对运营</w:t>
      </w:r>
      <w:r>
        <w:rPr>
          <w:rFonts w:hint="eastAsia" w:ascii="Times New Roman" w:hAnsi="Times New Roman" w:eastAsia="仿宋_GB2312" w:cs="仿宋_GB2312"/>
          <w:color w:val="auto"/>
          <w:sz w:val="32"/>
          <w:szCs w:val="24"/>
          <w:lang w:eastAsia="zh-CN"/>
        </w:rPr>
        <w:t>机构</w:t>
      </w:r>
      <w:r>
        <w:rPr>
          <w:rFonts w:hint="eastAsia" w:ascii="Times New Roman" w:hAnsi="Times New Roman" w:eastAsia="仿宋_GB2312" w:cs="仿宋_GB2312"/>
          <w:color w:val="auto"/>
          <w:lang w:val="en-US" w:eastAsia="zh-CN"/>
        </w:rPr>
        <w:t>从安全风险、质量、合规、运营成效等多维度</w:t>
      </w:r>
      <w:r>
        <w:rPr>
          <w:rFonts w:hint="eastAsia" w:ascii="Times New Roman" w:hAnsi="Times New Roman" w:eastAsia="仿宋_GB2312" w:cs="仿宋_GB2312"/>
          <w:color w:val="auto"/>
          <w:sz w:val="32"/>
          <w:szCs w:val="24"/>
        </w:rPr>
        <w:t>开展年度评估，实施动态管理，年度评估可以委托第三方机构开展，评估结果作为再次申请授权依据。运营</w:t>
      </w:r>
      <w:r>
        <w:rPr>
          <w:rFonts w:hint="eastAsia" w:ascii="Times New Roman" w:hAnsi="Times New Roman" w:eastAsia="仿宋_GB2312" w:cs="仿宋_GB2312"/>
          <w:color w:val="auto"/>
          <w:sz w:val="32"/>
          <w:szCs w:val="24"/>
          <w:lang w:eastAsia="zh-CN"/>
        </w:rPr>
        <w:t>机构</w:t>
      </w:r>
      <w:r>
        <w:rPr>
          <w:rFonts w:hint="eastAsia" w:ascii="Times New Roman" w:hAnsi="Times New Roman" w:eastAsia="仿宋_GB2312" w:cs="仿宋_GB2312"/>
          <w:color w:val="auto"/>
          <w:sz w:val="32"/>
          <w:szCs w:val="24"/>
        </w:rPr>
        <w:t>应当配合有关部门做好安全保障、绩效评价等评估工作，如实提供有关资料，不得拒绝、隐匿、瞒报。运营评估根据评估结果将运营</w:t>
      </w:r>
      <w:r>
        <w:rPr>
          <w:rFonts w:hint="eastAsia" w:ascii="Times New Roman" w:hAnsi="Times New Roman" w:eastAsia="仿宋_GB2312" w:cs="仿宋_GB2312"/>
          <w:color w:val="auto"/>
          <w:sz w:val="32"/>
          <w:szCs w:val="24"/>
          <w:lang w:eastAsia="zh-CN"/>
        </w:rPr>
        <w:t>机构</w:t>
      </w:r>
      <w:r>
        <w:rPr>
          <w:rFonts w:hint="eastAsia" w:ascii="Times New Roman" w:hAnsi="Times New Roman" w:eastAsia="仿宋_GB2312" w:cs="仿宋_GB2312"/>
          <w:color w:val="auto"/>
          <w:sz w:val="32"/>
          <w:szCs w:val="24"/>
        </w:rPr>
        <w:t>分为“优秀”“合格”“不合格”三类，不合格单位限期整改，连续三次不合格取消授权资格。</w:t>
      </w:r>
    </w:p>
    <w:p w14:paraId="6A8D6A34">
      <w:pPr>
        <w:pStyle w:val="17"/>
        <w:keepNext w:val="0"/>
        <w:keepLines w:val="0"/>
        <w:pageBreakBefore w:val="0"/>
        <w:widowControl w:val="0"/>
        <w:numPr>
          <w:ilvl w:val="-1"/>
          <w:numId w:val="0"/>
        </w:numPr>
        <w:kinsoku/>
        <w:wordWrap/>
        <w:overflowPunct/>
        <w:topLinePunct w:val="0"/>
        <w:autoSpaceDE/>
        <w:autoSpaceDN/>
        <w:bidi w:val="0"/>
        <w:adjustRightInd w:val="0"/>
        <w:snapToGrid w:val="0"/>
        <w:spacing w:beforeLines="0" w:afterLines="0" w:line="560" w:lineRule="exact"/>
        <w:ind w:leftChars="0" w:firstLine="640" w:firstLineChars="200"/>
        <w:textAlignment w:val="auto"/>
        <w:rPr>
          <w:rFonts w:hint="eastAsia"/>
          <w:color w:val="auto"/>
          <w:lang w:val="en-US" w:eastAsia="zh-CN"/>
        </w:rPr>
      </w:pPr>
      <w:r>
        <w:rPr>
          <w:rFonts w:hint="eastAsia"/>
          <w:color w:val="auto"/>
          <w:lang w:val="en-US" w:eastAsia="zh-CN"/>
        </w:rPr>
        <w:t>十一、职责分工</w:t>
      </w:r>
    </w:p>
    <w:p w14:paraId="45B26E27">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jc w:val="both"/>
        <w:textAlignment w:val="auto"/>
        <w:outlineLvl w:val="1"/>
        <w:rPr>
          <w:rFonts w:hint="eastAsia" w:ascii="仿宋_GB2312" w:hAnsi="仿宋_GB2312" w:eastAsia="仿宋_GB2312" w:cs="仿宋_GB2312"/>
          <w:color w:val="auto"/>
          <w:sz w:val="32"/>
          <w:szCs w:val="40"/>
          <w:highlight w:val="none"/>
          <w:lang w:val="en-US" w:eastAsia="zh-CN"/>
        </w:rPr>
      </w:pPr>
      <w:r>
        <w:rPr>
          <w:rFonts w:hint="eastAsia" w:ascii="仿宋_GB2312" w:hAnsi="黑体" w:eastAsia="仿宋_GB2312" w:cs="Times New Roman"/>
          <w:b w:val="0"/>
          <w:color w:val="auto"/>
          <w:kern w:val="0"/>
          <w:sz w:val="32"/>
          <w:highlight w:val="none"/>
          <w:lang w:val="en-US" w:eastAsia="zh-CN" w:bidi="ar-SA"/>
        </w:rPr>
        <w:t>区政务和数据局在区人民政府的领导下，承担统筹、指导及监督评价本区公共数据授权运营活动的职责。</w:t>
      </w:r>
      <w:r>
        <w:rPr>
          <w:rFonts w:hint="eastAsia" w:ascii="仿宋_GB2312" w:hAnsi="仿宋_GB2312" w:eastAsia="仿宋_GB2312" w:cs="仿宋_GB2312"/>
          <w:color w:val="auto"/>
          <w:sz w:val="32"/>
          <w:szCs w:val="40"/>
          <w:highlight w:val="none"/>
          <w:lang w:val="en-US" w:eastAsia="zh-CN"/>
        </w:rPr>
        <w:t>负责数据归集、统筹推进公共数据资源体系建设、公共数据授权运营具体实施及全流程监管，会同数源单位对公共数据授权运营场景可行性、数据需求清单合理性、数据产品合规性等进行审核，按需组织专家评审。</w:t>
      </w:r>
    </w:p>
    <w:p w14:paraId="235E1E7F">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right="0" w:rightChars="0" w:firstLine="640" w:firstLineChars="200"/>
        <w:textAlignment w:val="auto"/>
        <w:rPr>
          <w:rFonts w:hint="eastAsia" w:ascii="仿宋_GB2312" w:hAnsi="仿宋_GB2312" w:eastAsia="仿宋_GB2312" w:cs="仿宋_GB2312"/>
          <w:color w:val="auto"/>
          <w:sz w:val="32"/>
          <w:szCs w:val="40"/>
          <w:highlight w:val="none"/>
          <w:lang w:val="en-US" w:eastAsia="zh-CN"/>
        </w:rPr>
      </w:pPr>
      <w:r>
        <w:rPr>
          <w:rFonts w:hint="eastAsia" w:ascii="仿宋_GB2312" w:hAnsi="黑体" w:eastAsia="仿宋_GB2312" w:cs="Times New Roman"/>
          <w:b w:val="0"/>
          <w:color w:val="auto"/>
          <w:kern w:val="0"/>
          <w:sz w:val="32"/>
          <w:highlight w:val="none"/>
          <w:lang w:val="en-US" w:eastAsia="zh-CN" w:bidi="ar-SA"/>
        </w:rPr>
        <w:t>区内行业主管部门应当切实履行职责，做好本领域公共数据的编目、归集、治理、申请审核及安全监管等授权运营相关工作，</w:t>
      </w:r>
      <w:r>
        <w:rPr>
          <w:rFonts w:hint="eastAsia" w:ascii="仿宋_GB2312" w:hAnsi="仿宋_GB2312" w:eastAsia="仿宋_GB2312" w:cs="仿宋_GB2312"/>
          <w:color w:val="auto"/>
          <w:sz w:val="32"/>
          <w:szCs w:val="40"/>
          <w:highlight w:val="none"/>
          <w:lang w:val="en-US" w:eastAsia="zh-CN"/>
        </w:rPr>
        <w:t>有效防范数据汇聚、关联引发的泄密风险，按程序提供可社会化增值开发利用的公共数据。</w:t>
      </w:r>
    </w:p>
    <w:p w14:paraId="49DA6B63">
      <w:pPr>
        <w:pStyle w:val="9"/>
        <w:keepNext w:val="0"/>
        <w:keepLines w:val="0"/>
        <w:pageBreakBefore w:val="0"/>
        <w:widowControl w:val="0"/>
        <w:suppressLineNumbers w:val="0"/>
        <w:kinsoku/>
        <w:wordWrap/>
        <w:overflowPunct/>
        <w:topLinePunct w:val="0"/>
        <w:autoSpaceDE/>
        <w:autoSpaceDN/>
        <w:bidi w:val="0"/>
        <w:spacing w:line="560" w:lineRule="exact"/>
        <w:textAlignment w:val="auto"/>
        <w:rPr>
          <w:rFonts w:hint="eastAsia" w:eastAsia="仿宋_GB2312"/>
          <w:lang w:eastAsia="zh-CN"/>
        </w:rPr>
      </w:pPr>
      <w:r>
        <w:rPr>
          <w:rFonts w:hint="default" w:ascii="仿宋_GB2312" w:eastAsia="仿宋_GB2312" w:cs="仿宋_GB2312"/>
          <w:color w:val="000000"/>
          <w:sz w:val="31"/>
          <w:szCs w:val="31"/>
        </w:rPr>
        <w:t>区发展和改革局会同区政务和数据局贯彻落实</w:t>
      </w:r>
      <w:r>
        <w:rPr>
          <w:rFonts w:hint="eastAsia" w:ascii="仿宋_GB2312" w:eastAsia="仿宋_GB2312" w:cs="仿宋_GB2312"/>
          <w:color w:val="000000"/>
          <w:sz w:val="31"/>
          <w:szCs w:val="31"/>
          <w:lang w:eastAsia="zh-CN"/>
        </w:rPr>
        <w:t>上</w:t>
      </w:r>
      <w:r>
        <w:rPr>
          <w:rFonts w:hint="default" w:ascii="仿宋_GB2312" w:eastAsia="仿宋_GB2312" w:cs="仿宋_GB2312"/>
          <w:color w:val="000000"/>
          <w:sz w:val="31"/>
          <w:szCs w:val="31"/>
        </w:rPr>
        <w:t>级价格部门关于公共数据相关价格政策</w:t>
      </w:r>
      <w:r>
        <w:rPr>
          <w:rFonts w:hint="eastAsia" w:ascii="仿宋_GB2312" w:eastAsia="仿宋_GB2312" w:cs="仿宋_GB2312"/>
          <w:color w:val="000000"/>
          <w:sz w:val="31"/>
          <w:szCs w:val="31"/>
          <w:lang w:eastAsia="zh-CN"/>
        </w:rPr>
        <w:t>。</w:t>
      </w:r>
    </w:p>
    <w:p w14:paraId="28B8BDB3">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right="0" w:rightChars="0" w:firstLine="640" w:firstLineChars="200"/>
        <w:textAlignment w:val="auto"/>
        <w:rPr>
          <w:rFonts w:hint="eastAsia" w:ascii="仿宋_GB2312" w:hAnsi="仿宋_GB2312" w:eastAsia="仿宋_GB2312" w:cs="仿宋_GB2312"/>
          <w:color w:val="auto"/>
          <w:sz w:val="32"/>
          <w:szCs w:val="40"/>
          <w:highlight w:val="none"/>
          <w:lang w:val="en-US" w:eastAsia="zh-CN"/>
        </w:rPr>
      </w:pPr>
      <w:r>
        <w:rPr>
          <w:rFonts w:hint="eastAsia" w:ascii="仿宋_GB2312" w:hAnsi="黑体" w:eastAsia="仿宋_GB2312" w:cs="Times New Roman"/>
          <w:b w:val="0"/>
          <w:color w:val="auto"/>
          <w:kern w:val="0"/>
          <w:sz w:val="32"/>
          <w:highlight w:val="none"/>
          <w:lang w:val="en-US" w:eastAsia="zh-CN" w:bidi="ar-SA"/>
        </w:rPr>
        <w:t>区财政局负责加强公共数据资产管理，指导行政事业单位数据资产有偿使用和处置收入按照国有资产和政府非税收入的有关规定管理</w:t>
      </w:r>
      <w:r>
        <w:rPr>
          <w:rFonts w:hint="eastAsia" w:ascii="仿宋_GB2312" w:hAnsi="仿宋_GB2312" w:eastAsia="仿宋_GB2312" w:cs="仿宋_GB2312"/>
          <w:color w:val="auto"/>
          <w:sz w:val="32"/>
          <w:szCs w:val="40"/>
          <w:highlight w:val="none"/>
          <w:lang w:val="en-US" w:eastAsia="zh-CN"/>
        </w:rPr>
        <w:t>。</w:t>
      </w:r>
    </w:p>
    <w:p w14:paraId="51AE903A">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right="0" w:rightChars="0" w:firstLine="640" w:firstLineChars="200"/>
        <w:textAlignment w:val="auto"/>
        <w:rPr>
          <w:rFonts w:hint="eastAsia" w:ascii="仿宋_GB2312" w:hAnsi="黑体" w:eastAsia="仿宋_GB2312" w:cs="Times New Roman"/>
          <w:b w:val="0"/>
          <w:color w:val="auto"/>
          <w:kern w:val="0"/>
          <w:sz w:val="32"/>
          <w:highlight w:val="none"/>
          <w:lang w:val="en-US" w:eastAsia="zh-CN" w:bidi="ar-SA"/>
        </w:rPr>
      </w:pPr>
      <w:r>
        <w:rPr>
          <w:rFonts w:hint="eastAsia" w:ascii="仿宋_GB2312" w:hAnsi="黑体" w:eastAsia="仿宋_GB2312" w:cs="Times New Roman"/>
          <w:b w:val="0"/>
          <w:color w:val="auto"/>
          <w:kern w:val="0"/>
          <w:sz w:val="32"/>
          <w:highlight w:val="none"/>
          <w:lang w:val="en-US" w:eastAsia="zh-CN" w:bidi="ar-SA"/>
        </w:rPr>
        <w:t>区委网信办、市公安局龙华分局、区委保密办（区保密局）等部门在职责范围内负责公共数据授权运营的安全监管相关工作。</w:t>
      </w:r>
    </w:p>
    <w:p w14:paraId="29F93F06">
      <w:pPr>
        <w:pStyle w:val="2"/>
        <w:rPr>
          <w:rFonts w:hint="eastAsia"/>
          <w:lang w:val="en-US" w:eastAsia="zh-CN"/>
        </w:rPr>
      </w:pPr>
    </w:p>
    <w:p w14:paraId="30A1322D">
      <w:pPr>
        <w:keepNext w:val="0"/>
        <w:keepLines w:val="0"/>
        <w:pageBreakBefore w:val="0"/>
        <w:widowControl w:val="0"/>
        <w:kinsoku/>
        <w:wordWrap/>
        <w:overflowPunct/>
        <w:topLinePunct w:val="0"/>
        <w:autoSpaceDE/>
        <w:autoSpaceDN/>
        <w:bidi w:val="0"/>
        <w:spacing w:line="560" w:lineRule="exact"/>
        <w:ind w:firstLine="2880" w:firstLineChars="900"/>
        <w:textAlignment w:val="auto"/>
        <w:rPr>
          <w:rFonts w:hint="default"/>
          <w:color w:val="auto"/>
          <w:highlight w:val="none"/>
          <w:lang w:val="en-US" w:eastAsia="zh-CN"/>
        </w:rPr>
      </w:pPr>
    </w:p>
    <w:sectPr>
      <w:footerReference r:id="rId5" w:type="default"/>
      <w:pgSz w:w="11906" w:h="16838"/>
      <w:pgMar w:top="2098" w:right="1474" w:bottom="1984" w:left="1587" w:header="851" w:footer="992" w:gutter="0"/>
      <w:pgNumType w:fmt="decimal"/>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01"/>
    <w:family w:val="roman"/>
    <w:pitch w:val="default"/>
    <w:sig w:usb0="E0000AFF" w:usb1="00007843" w:usb2="00000001" w:usb3="00000000" w:csb0="400001BF" w:csb1="DFF70000"/>
  </w:font>
  <w:font w:name="宋体">
    <w:altName w:val="宋体-简"/>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黑体-简"/>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方正仿宋_GB2312">
    <w:altName w:val="方正仿宋_GBK"/>
    <w:panose1 w:val="02000000000000000000"/>
    <w:charset w:val="86"/>
    <w:family w:val="auto"/>
    <w:pitch w:val="default"/>
    <w:sig w:usb0="00000000" w:usb1="00000000" w:usb2="00000012" w:usb3="00000000" w:csb0="00040001" w:csb1="00000000"/>
  </w:font>
  <w:font w:name="Heiti SC Medium">
    <w:panose1 w:val="02000000000000000000"/>
    <w:charset w:val="86"/>
    <w:family w:val="auto"/>
    <w:pitch w:val="default"/>
    <w:sig w:usb0="8000002F" w:usb1="0800004A" w:usb2="00000000" w:usb3="00000000" w:csb0="203E0000" w:csb1="00000000"/>
  </w:font>
  <w:font w:name="Cambria">
    <w:altName w:val="苹方-简"/>
    <w:panose1 w:val="02040503050406030204"/>
    <w:charset w:val="00"/>
    <w:family w:val="roman"/>
    <w:pitch w:val="default"/>
    <w:sig w:usb0="00000000" w:usb1="00000000" w:usb2="02000000" w:usb3="00000000" w:csb0="2000019F" w:csb1="00000000"/>
  </w:font>
  <w:font w:name="仿宋_GB2312">
    <w:altName w:val="方正仿宋_GBK"/>
    <w:panose1 w:val="02010609030101010101"/>
    <w:charset w:val="86"/>
    <w:family w:val="modern"/>
    <w:pitch w:val="default"/>
    <w:sig w:usb0="00000000" w:usb1="00000000" w:usb2="00000000" w:usb3="00000000" w:csb0="00040000" w:csb1="00000000"/>
  </w:font>
  <w:font w:name="楷体_GB2312">
    <w:altName w:val="汉仪楷体简"/>
    <w:panose1 w:val="02010609030101010101"/>
    <w:charset w:val="86"/>
    <w:family w:val="auto"/>
    <w:pitch w:val="default"/>
    <w:sig w:usb0="00000000" w:usb1="00000000" w:usb2="00000000" w:usb3="00000000" w:csb0="00040000" w:csb1="00000000"/>
  </w:font>
  <w:font w:name="汉仪书宋二KW">
    <w:altName w:val="苹方-简"/>
    <w:panose1 w:val="00020600040101010101"/>
    <w:charset w:val="86"/>
    <w:family w:val="auto"/>
    <w:pitch w:val="default"/>
    <w:sig w:usb0="00000000" w:usb1="00000000" w:usb2="00000016" w:usb3="00000000" w:csb0="00040000" w:csb1="00000000"/>
  </w:font>
  <w:font w:name="方正小标宋简体">
    <w:altName w:val="方正书宋_GBK"/>
    <w:panose1 w:val="02000000000000000000"/>
    <w:charset w:val="86"/>
    <w:family w:val="auto"/>
    <w:pitch w:val="default"/>
    <w:sig w:usb0="00000000" w:usb1="00000000" w:usb2="00000012" w:usb3="00000000" w:csb0="00040001" w:csb1="00000000"/>
  </w:font>
  <w:font w:name="宋体 (标题)">
    <w:altName w:val="宋体-简"/>
    <w:panose1 w:val="00000000000000000000"/>
    <w:charset w:val="00"/>
    <w:family w:val="auto"/>
    <w:pitch w:val="default"/>
    <w:sig w:usb0="00000000" w:usb1="00000000" w:usb2="00000000" w:usb3="00000000" w:csb0="00000000" w:csb1="00000000"/>
  </w:font>
  <w:font w:name="宋体-简">
    <w:panose1 w:val="02010800040101010101"/>
    <w:charset w:val="86"/>
    <w:family w:val="auto"/>
    <w:pitch w:val="default"/>
    <w:sig w:usb0="00000001" w:usb1="080F0000" w:usb2="00000000" w:usb3="00000000" w:csb0="00040000" w:csb1="00000000"/>
  </w:font>
  <w:font w:name="黑体-简">
    <w:panose1 w:val="02000000000000000000"/>
    <w:charset w:val="86"/>
    <w:family w:val="auto"/>
    <w:pitch w:val="default"/>
    <w:sig w:usb0="8000002F" w:usb1="0800004A" w:usb2="00000000" w:usb3="00000000" w:csb0="203E0000" w:csb1="00000000"/>
  </w:font>
  <w:font w:name="方正书宋_GBK">
    <w:panose1 w:val="02000000000000000000"/>
    <w:charset w:val="86"/>
    <w:family w:val="auto"/>
    <w:pitch w:val="default"/>
    <w:sig w:usb0="A00002BF" w:usb1="38CF7CFA" w:usb2="00082016" w:usb3="00000000" w:csb0="00040001" w:csb1="00000000"/>
  </w:font>
  <w:font w:name="汉仪楷体简">
    <w:panose1 w:val="02010600000101010101"/>
    <w:charset w:val="86"/>
    <w:family w:val="auto"/>
    <w:pitch w:val="default"/>
    <w:sig w:usb0="00000001" w:usb1="080E0800" w:usb2="00000002" w:usb3="00000000" w:csb0="00040000" w:csb1="00000000"/>
  </w:font>
  <w:font w:name="方正仿宋_GBK">
    <w:panose1 w:val="02000000000000000000"/>
    <w:charset w:val="86"/>
    <w:family w:val="auto"/>
    <w:pitch w:val="default"/>
    <w:sig w:usb0="A00002BF" w:usb1="38CF7CFA" w:usb2="00082016" w:usb3="00000000" w:csb0="00040001"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 w:name="苹方-简">
    <w:panose1 w:val="020B0400000000000000"/>
    <w:charset w:val="86"/>
    <w:family w:val="auto"/>
    <w:pitch w:val="default"/>
    <w:sig w:usb0="A00002FF" w:usb1="7ACFFDFB" w:usb2="00000017"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3696D4">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BD8D46">
                          <w:pPr>
                            <w:pStyle w:val="7"/>
                            <w:ind w:firstLine="0" w:firstLineChars="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4BD8D46">
                    <w:pPr>
                      <w:pStyle w:val="7"/>
                      <w:ind w:firstLine="0" w:firstLineChars="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DB5E29"/>
    <w:multiLevelType w:val="singleLevel"/>
    <w:tmpl w:val="8BDB5E29"/>
    <w:lvl w:ilvl="0" w:tentative="0">
      <w:start w:val="1"/>
      <w:numFmt w:val="decimalFullWidth"/>
      <w:pStyle w:val="24"/>
      <w:suff w:val="nothing"/>
      <w:lvlText w:val="（%1）"/>
      <w:lvlJc w:val="left"/>
      <w:pPr>
        <w:tabs>
          <w:tab w:val="left" w:pos="0"/>
        </w:tabs>
        <w:ind w:left="0" w:leftChars="0" w:firstLine="0" w:firstLineChars="0"/>
      </w:pPr>
      <w:rPr>
        <w:rFonts w:hint="eastAsia" w:ascii="宋体" w:hAnsi="宋体" w:eastAsia="方正仿宋_GB2312" w:cs="汉仪书宋二KW"/>
        <w:sz w:val="32"/>
        <w:szCs w:val="32"/>
      </w:rPr>
    </w:lvl>
  </w:abstractNum>
  <w:abstractNum w:abstractNumId="1">
    <w:nsid w:val="AE3D14C3"/>
    <w:multiLevelType w:val="singleLevel"/>
    <w:tmpl w:val="AE3D14C3"/>
    <w:lvl w:ilvl="0" w:tentative="0">
      <w:start w:val="1"/>
      <w:numFmt w:val="chineseCounting"/>
      <w:pStyle w:val="19"/>
      <w:suff w:val="nothing"/>
      <w:lvlText w:val="（%1）"/>
      <w:lvlJc w:val="left"/>
      <w:pPr>
        <w:ind w:left="0" w:firstLine="420"/>
      </w:pPr>
      <w:rPr>
        <w:rFonts w:hint="eastAsia"/>
      </w:rPr>
    </w:lvl>
  </w:abstractNum>
  <w:abstractNum w:abstractNumId="2">
    <w:nsid w:val="E77DBCC8"/>
    <w:multiLevelType w:val="singleLevel"/>
    <w:tmpl w:val="E77DBCC8"/>
    <w:lvl w:ilvl="0" w:tentative="0">
      <w:start w:val="1"/>
      <w:numFmt w:val="decimalFullWidth"/>
      <w:pStyle w:val="21"/>
      <w:suff w:val="nothing"/>
      <w:lvlText w:val="（%1）"/>
      <w:lvlJc w:val="left"/>
      <w:pPr>
        <w:tabs>
          <w:tab w:val="left" w:pos="0"/>
        </w:tabs>
        <w:ind w:left="0" w:leftChars="0" w:firstLine="0" w:firstLineChars="0"/>
      </w:pPr>
      <w:rPr>
        <w:rFonts w:hint="eastAsia" w:ascii="宋体" w:hAnsi="宋体" w:eastAsia="方正仿宋_GB2312" w:cs="汉仪书宋二KW"/>
        <w:sz w:val="32"/>
        <w:szCs w:val="32"/>
      </w:rPr>
    </w:lvl>
  </w:abstractNum>
  <w:abstractNum w:abstractNumId="3">
    <w:nsid w:val="E972CA8A"/>
    <w:multiLevelType w:val="singleLevel"/>
    <w:tmpl w:val="E972CA8A"/>
    <w:lvl w:ilvl="0" w:tentative="0">
      <w:start w:val="1"/>
      <w:numFmt w:val="decimal"/>
      <w:pStyle w:val="20"/>
      <w:suff w:val="nothing"/>
      <w:lvlText w:val="%1."/>
      <w:lvlJc w:val="left"/>
      <w:pPr>
        <w:tabs>
          <w:tab w:val="left" w:pos="399"/>
        </w:tabs>
        <w:ind w:left="0" w:leftChars="0" w:firstLine="0" w:firstLineChars="0"/>
      </w:pPr>
      <w:rPr>
        <w:rFonts w:hint="default"/>
      </w:rPr>
    </w:lvl>
  </w:abstractNum>
  <w:abstractNum w:abstractNumId="4">
    <w:nsid w:val="3F8E6E85"/>
    <w:multiLevelType w:val="singleLevel"/>
    <w:tmpl w:val="3F8E6E85"/>
    <w:lvl w:ilvl="0" w:tentative="0">
      <w:start w:val="1"/>
      <w:numFmt w:val="chineseCounting"/>
      <w:pStyle w:val="17"/>
      <w:suff w:val="nothing"/>
      <w:lvlText w:val="%1、"/>
      <w:lvlJc w:val="left"/>
      <w:pPr>
        <w:ind w:left="0" w:firstLine="420"/>
      </w:pPr>
      <w:rPr>
        <w:rFonts w:hint="eastAsia"/>
      </w:rPr>
    </w:lvl>
  </w:abstractNum>
  <w:num w:numId="1">
    <w:abstractNumId w:val="4"/>
  </w:num>
  <w:num w:numId="2">
    <w:abstractNumId w:val="1"/>
  </w:num>
  <w:num w:numId="3">
    <w:abstractNumId w:val="3"/>
  </w:num>
  <w:num w:numId="4">
    <w:abstractNumId w:val="2"/>
  </w:num>
  <w:num w:numId="5">
    <w:abstractNumId w:val="0"/>
  </w:num>
  <w:num w:numId="6">
    <w:abstractNumId w:val="1"/>
    <w:lvlOverride w:ilvl="0">
      <w:startOverride w:val="1"/>
    </w:lvlOverride>
  </w:num>
  <w:num w:numId="7">
    <w:abstractNumId w:val="1"/>
    <w:lvlOverride w:ilvl="0">
      <w:startOverride w:val="1"/>
    </w:lvlOverride>
  </w:num>
  <w:num w:numId="8">
    <w:abstractNumId w:val="1"/>
    <w:lvlOverride w:ilvl="0">
      <w:startOverride w:val="1"/>
    </w:lvlOverride>
  </w:num>
  <w:num w:numId="9">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E3M2ViZGNkYmZhZmVkNDhkYjE3ZTU4YWFmZjEwZjcifQ=="/>
  </w:docVars>
  <w:rsids>
    <w:rsidRoot w:val="44F71DBC"/>
    <w:rsid w:val="1776B3A1"/>
    <w:rsid w:val="17BD0D5B"/>
    <w:rsid w:val="1FAE7FA5"/>
    <w:rsid w:val="1FF96CB6"/>
    <w:rsid w:val="2BBB97FB"/>
    <w:rsid w:val="2FBFAC74"/>
    <w:rsid w:val="30C35C01"/>
    <w:rsid w:val="349512CD"/>
    <w:rsid w:val="37BE3D6C"/>
    <w:rsid w:val="37CC2F01"/>
    <w:rsid w:val="38170138"/>
    <w:rsid w:val="39F7AEF8"/>
    <w:rsid w:val="3AFE0449"/>
    <w:rsid w:val="3BBF014C"/>
    <w:rsid w:val="3BDED2FD"/>
    <w:rsid w:val="3BF42C62"/>
    <w:rsid w:val="3ED97C48"/>
    <w:rsid w:val="3EFD1E5D"/>
    <w:rsid w:val="3F2A3AAD"/>
    <w:rsid w:val="3F7F9232"/>
    <w:rsid w:val="3FCF41E8"/>
    <w:rsid w:val="3FEFFEBF"/>
    <w:rsid w:val="43FF5C4B"/>
    <w:rsid w:val="44F71DBC"/>
    <w:rsid w:val="46FBD9EE"/>
    <w:rsid w:val="4BDF6CC3"/>
    <w:rsid w:val="4D83C705"/>
    <w:rsid w:val="4FD7004F"/>
    <w:rsid w:val="532F5C27"/>
    <w:rsid w:val="55FFBFF8"/>
    <w:rsid w:val="56FCC630"/>
    <w:rsid w:val="57B72845"/>
    <w:rsid w:val="57FFD454"/>
    <w:rsid w:val="592E1583"/>
    <w:rsid w:val="597565E0"/>
    <w:rsid w:val="5AEF1BD9"/>
    <w:rsid w:val="5B835FD1"/>
    <w:rsid w:val="5BC79BA7"/>
    <w:rsid w:val="5BFD07BC"/>
    <w:rsid w:val="5DDF6C89"/>
    <w:rsid w:val="5DDFAFEE"/>
    <w:rsid w:val="5DFF02A7"/>
    <w:rsid w:val="5DFF8D50"/>
    <w:rsid w:val="5E77CE24"/>
    <w:rsid w:val="5E8F1759"/>
    <w:rsid w:val="5EB74F88"/>
    <w:rsid w:val="5F132A51"/>
    <w:rsid w:val="5FB3B69E"/>
    <w:rsid w:val="5FBBACC3"/>
    <w:rsid w:val="5FEB89C1"/>
    <w:rsid w:val="5FF5CC6F"/>
    <w:rsid w:val="5FFE91C9"/>
    <w:rsid w:val="60384E5A"/>
    <w:rsid w:val="66CFD29D"/>
    <w:rsid w:val="67F26653"/>
    <w:rsid w:val="6B774759"/>
    <w:rsid w:val="6BBCEDA2"/>
    <w:rsid w:val="6BFB7DDC"/>
    <w:rsid w:val="6FDFDF17"/>
    <w:rsid w:val="6FFF497E"/>
    <w:rsid w:val="734F6FD8"/>
    <w:rsid w:val="73675F5E"/>
    <w:rsid w:val="7475E5E8"/>
    <w:rsid w:val="75F951ED"/>
    <w:rsid w:val="776E533A"/>
    <w:rsid w:val="777573BF"/>
    <w:rsid w:val="777A969D"/>
    <w:rsid w:val="77BFFB38"/>
    <w:rsid w:val="77E68091"/>
    <w:rsid w:val="77F7F219"/>
    <w:rsid w:val="77FD0D1F"/>
    <w:rsid w:val="793F07C1"/>
    <w:rsid w:val="7A2F8B3D"/>
    <w:rsid w:val="7ADFB37D"/>
    <w:rsid w:val="7AFE09C4"/>
    <w:rsid w:val="7AFFEF07"/>
    <w:rsid w:val="7B364372"/>
    <w:rsid w:val="7B9F54F0"/>
    <w:rsid w:val="7BB7C4CC"/>
    <w:rsid w:val="7BEB3C4E"/>
    <w:rsid w:val="7BF18EA6"/>
    <w:rsid w:val="7BFB1DD3"/>
    <w:rsid w:val="7C7FF322"/>
    <w:rsid w:val="7CFBF2E5"/>
    <w:rsid w:val="7D7F5259"/>
    <w:rsid w:val="7D7FD279"/>
    <w:rsid w:val="7DBB3942"/>
    <w:rsid w:val="7DBB7010"/>
    <w:rsid w:val="7DFA2CD7"/>
    <w:rsid w:val="7DFD67D6"/>
    <w:rsid w:val="7E5371E4"/>
    <w:rsid w:val="7ED7929E"/>
    <w:rsid w:val="7EEE4B76"/>
    <w:rsid w:val="7F775A07"/>
    <w:rsid w:val="7F7D5A03"/>
    <w:rsid w:val="7F7E76A1"/>
    <w:rsid w:val="7FBB6B43"/>
    <w:rsid w:val="7FBE516A"/>
    <w:rsid w:val="7FBF86A3"/>
    <w:rsid w:val="7FCF7F63"/>
    <w:rsid w:val="7FDD580F"/>
    <w:rsid w:val="7FDE92BB"/>
    <w:rsid w:val="7FDFA48C"/>
    <w:rsid w:val="7FDFCCF8"/>
    <w:rsid w:val="7FEF5FE9"/>
    <w:rsid w:val="7FF7E453"/>
    <w:rsid w:val="7FFF811A"/>
    <w:rsid w:val="86EF2AEB"/>
    <w:rsid w:val="87FD6856"/>
    <w:rsid w:val="8DEFA7BF"/>
    <w:rsid w:val="8EDB32C2"/>
    <w:rsid w:val="96F75983"/>
    <w:rsid w:val="9AC5DA53"/>
    <w:rsid w:val="9CFFA475"/>
    <w:rsid w:val="9F7B289A"/>
    <w:rsid w:val="9F9F27D7"/>
    <w:rsid w:val="9FB4D7A5"/>
    <w:rsid w:val="9FE86F5F"/>
    <w:rsid w:val="9FEF0255"/>
    <w:rsid w:val="AA605AEA"/>
    <w:rsid w:val="ABFE08FF"/>
    <w:rsid w:val="AE5614EC"/>
    <w:rsid w:val="AEFBCB6C"/>
    <w:rsid w:val="AF3F111D"/>
    <w:rsid w:val="B3BFAD80"/>
    <w:rsid w:val="B7FD039B"/>
    <w:rsid w:val="B9F5DE90"/>
    <w:rsid w:val="BB3F9FCC"/>
    <w:rsid w:val="BDBBAA2F"/>
    <w:rsid w:val="BDFB2646"/>
    <w:rsid w:val="BE1F217B"/>
    <w:rsid w:val="BE6FFB3A"/>
    <w:rsid w:val="BEEF30F6"/>
    <w:rsid w:val="BEFF793D"/>
    <w:rsid w:val="BF4D0AFB"/>
    <w:rsid w:val="BF5F5E81"/>
    <w:rsid w:val="BF72E3E0"/>
    <w:rsid w:val="BFBF6288"/>
    <w:rsid w:val="BFEB26B3"/>
    <w:rsid w:val="BFF75BC0"/>
    <w:rsid w:val="BFFE7680"/>
    <w:rsid w:val="C73FFFD7"/>
    <w:rsid w:val="C85F7E39"/>
    <w:rsid w:val="CAEF4E13"/>
    <w:rsid w:val="CBCF0A47"/>
    <w:rsid w:val="CE6B70DD"/>
    <w:rsid w:val="CEF727D9"/>
    <w:rsid w:val="CEFFA9F5"/>
    <w:rsid w:val="D5F8FC6B"/>
    <w:rsid w:val="D6AFE602"/>
    <w:rsid w:val="D7EF2B29"/>
    <w:rsid w:val="D7F580FB"/>
    <w:rsid w:val="D7F736F8"/>
    <w:rsid w:val="D7FDD630"/>
    <w:rsid w:val="D9BDB8AD"/>
    <w:rsid w:val="DBABBCB3"/>
    <w:rsid w:val="DBCEDAA8"/>
    <w:rsid w:val="DCF54B8E"/>
    <w:rsid w:val="DD79F631"/>
    <w:rsid w:val="DFFFD994"/>
    <w:rsid w:val="E39E6F6E"/>
    <w:rsid w:val="E54FA485"/>
    <w:rsid w:val="E727EB6C"/>
    <w:rsid w:val="E76FC456"/>
    <w:rsid w:val="E7D81DAF"/>
    <w:rsid w:val="E7FB2C76"/>
    <w:rsid w:val="E94DF74B"/>
    <w:rsid w:val="EBE70BFA"/>
    <w:rsid w:val="EBFFBE29"/>
    <w:rsid w:val="EC1F7FA7"/>
    <w:rsid w:val="EEBEF36D"/>
    <w:rsid w:val="EECFDE4C"/>
    <w:rsid w:val="EEEEC4E5"/>
    <w:rsid w:val="EF02F900"/>
    <w:rsid w:val="EFDD97C2"/>
    <w:rsid w:val="EFF22467"/>
    <w:rsid w:val="EFF24B89"/>
    <w:rsid w:val="F0EDDB04"/>
    <w:rsid w:val="F3FB4EAE"/>
    <w:rsid w:val="F3FE0C69"/>
    <w:rsid w:val="F3FF0687"/>
    <w:rsid w:val="F5FEFED4"/>
    <w:rsid w:val="F777A47E"/>
    <w:rsid w:val="F7AB4F58"/>
    <w:rsid w:val="F7CD0902"/>
    <w:rsid w:val="F7CEC4EA"/>
    <w:rsid w:val="F7DDAB70"/>
    <w:rsid w:val="F7E9FA26"/>
    <w:rsid w:val="F7F7EB48"/>
    <w:rsid w:val="F7FBD292"/>
    <w:rsid w:val="F7FEE05C"/>
    <w:rsid w:val="F9FB6FAE"/>
    <w:rsid w:val="FA7F3178"/>
    <w:rsid w:val="FA7F92E1"/>
    <w:rsid w:val="FB7FC859"/>
    <w:rsid w:val="FB9FB109"/>
    <w:rsid w:val="FBDA8B75"/>
    <w:rsid w:val="FBF9E2B5"/>
    <w:rsid w:val="FBFF3F2A"/>
    <w:rsid w:val="FCEB5939"/>
    <w:rsid w:val="FD1F1F5E"/>
    <w:rsid w:val="FD6BB686"/>
    <w:rsid w:val="FDFD7096"/>
    <w:rsid w:val="FE791A8A"/>
    <w:rsid w:val="FEBF3D3D"/>
    <w:rsid w:val="FEDF3647"/>
    <w:rsid w:val="FEF4D520"/>
    <w:rsid w:val="FEFE8796"/>
    <w:rsid w:val="FEFF62E5"/>
    <w:rsid w:val="FF979F6A"/>
    <w:rsid w:val="FF9E5E74"/>
    <w:rsid w:val="FF9FDE9A"/>
    <w:rsid w:val="FFB969DA"/>
    <w:rsid w:val="FFE75CC2"/>
    <w:rsid w:val="FFEFCA3D"/>
    <w:rsid w:val="FFEFF2B4"/>
    <w:rsid w:val="FFF239A5"/>
    <w:rsid w:val="FFF781F6"/>
    <w:rsid w:val="FFFB394F"/>
    <w:rsid w:val="FFFF7F92"/>
    <w:rsid w:val="FFFFAA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20" w:lineRule="exact"/>
      <w:ind w:firstLine="880" w:firstLineChars="200"/>
      <w:jc w:val="both"/>
    </w:pPr>
    <w:rPr>
      <w:rFonts w:ascii="Times New Roman" w:hAnsi="Times New Roman" w:eastAsia="方正仿宋_GB2312" w:cs="Times New Roman"/>
      <w:kern w:val="2"/>
      <w:sz w:val="32"/>
      <w:szCs w:val="24"/>
      <w:lang w:val="en-US" w:eastAsia="zh-CN" w:bidi="ar-SA"/>
    </w:rPr>
  </w:style>
  <w:style w:type="paragraph" w:styleId="3">
    <w:name w:val="heading 1"/>
    <w:basedOn w:val="1"/>
    <w:next w:val="1"/>
    <w:qFormat/>
    <w:uiPriority w:val="0"/>
    <w:pPr>
      <w:keepNext/>
      <w:keepLines/>
      <w:spacing w:beforeLines="0" w:beforeAutospacing="0" w:afterLines="0" w:afterAutospacing="0" w:line="520" w:lineRule="exact"/>
      <w:outlineLvl w:val="0"/>
    </w:pPr>
    <w:rPr>
      <w:rFonts w:eastAsia="Heiti SC Medium"/>
      <w:b/>
      <w:kern w:val="44"/>
      <w:sz w:val="44"/>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99"/>
    <w:pPr>
      <w:ind w:firstLine="560"/>
    </w:pPr>
    <w:rPr>
      <w:sz w:val="28"/>
      <w:lang w:eastAsia="en-US" w:bidi="en-US"/>
    </w:rPr>
  </w:style>
  <w:style w:type="paragraph" w:styleId="4">
    <w:name w:val="annotation text"/>
    <w:basedOn w:val="1"/>
    <w:qFormat/>
    <w:uiPriority w:val="0"/>
    <w:pPr>
      <w:jc w:val="left"/>
    </w:pPr>
  </w:style>
  <w:style w:type="paragraph" w:styleId="5">
    <w:name w:val="Body Text"/>
    <w:basedOn w:val="1"/>
    <w:next w:val="6"/>
    <w:unhideWhenUsed/>
    <w:qFormat/>
    <w:uiPriority w:val="99"/>
    <w:pPr>
      <w:spacing w:after="120"/>
    </w:pPr>
  </w:style>
  <w:style w:type="paragraph" w:styleId="6">
    <w:name w:val="Title"/>
    <w:basedOn w:val="1"/>
    <w:next w:val="1"/>
    <w:qFormat/>
    <w:uiPriority w:val="0"/>
    <w:pPr>
      <w:spacing w:before="240" w:after="60"/>
      <w:jc w:val="center"/>
      <w:outlineLvl w:val="0"/>
    </w:pPr>
    <w:rPr>
      <w:rFonts w:ascii="Cambria" w:hAnsi="Cambria"/>
      <w:b/>
      <w:bCs/>
      <w:szCs w:val="32"/>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0">
    <w:name w:val="Normal (Web)"/>
    <w:basedOn w:val="1"/>
    <w:qFormat/>
    <w:uiPriority w:val="0"/>
    <w:rPr>
      <w:sz w:val="24"/>
    </w:rPr>
  </w:style>
  <w:style w:type="table" w:styleId="12">
    <w:name w:val="Table Gri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Borders>
        <w:top w:val="single" w:color="auto" w:sz="4" w:space="0"/>
        <w:left w:val="single" w:color="auto" w:sz="4" w:space="0"/>
        <w:bottom w:val="single" w:color="auto" w:sz="4" w:space="0"/>
        <w:right w:val="single" w:color="auto" w:sz="4" w:space="0"/>
      </w:tcBorders>
    </w:tcPr>
  </w:style>
  <w:style w:type="character" w:styleId="14">
    <w:name w:val="Strong"/>
    <w:basedOn w:val="13"/>
    <w:qFormat/>
    <w:uiPriority w:val="0"/>
    <w:rPr>
      <w:b/>
    </w:rPr>
  </w:style>
  <w:style w:type="character" w:styleId="15">
    <w:name w:val="Emphasis"/>
    <w:basedOn w:val="13"/>
    <w:qFormat/>
    <w:uiPriority w:val="0"/>
    <w:rPr>
      <w:i/>
    </w:rPr>
  </w:style>
  <w:style w:type="character" w:styleId="16">
    <w:name w:val="Hyperlink"/>
    <w:basedOn w:val="13"/>
    <w:qFormat/>
    <w:uiPriority w:val="0"/>
    <w:rPr>
      <w:color w:val="0000FF"/>
      <w:u w:val="single"/>
    </w:rPr>
  </w:style>
  <w:style w:type="paragraph" w:customStyle="1" w:styleId="17">
    <w:name w:val="公文-1级标题"/>
    <w:basedOn w:val="1"/>
    <w:next w:val="18"/>
    <w:qFormat/>
    <w:uiPriority w:val="0"/>
    <w:pPr>
      <w:keepNext/>
      <w:keepLines/>
      <w:numPr>
        <w:ilvl w:val="0"/>
        <w:numId w:val="1"/>
      </w:numPr>
      <w:spacing w:beforeLines="0" w:afterLines="0" w:line="560" w:lineRule="exact"/>
      <w:ind w:firstLine="880" w:firstLineChars="200"/>
      <w:outlineLvl w:val="0"/>
    </w:pPr>
    <w:rPr>
      <w:rFonts w:ascii="Times New Roman" w:hAnsi="Times New Roman" w:eastAsia="黑体" w:cs="黑体"/>
      <w:snapToGrid w:val="0"/>
      <w:color w:val="000000"/>
      <w:kern w:val="44"/>
      <w:sz w:val="32"/>
      <w:szCs w:val="21"/>
      <w:lang w:eastAsia="en-US"/>
    </w:rPr>
  </w:style>
  <w:style w:type="paragraph" w:customStyle="1" w:styleId="18">
    <w:name w:val="公文-正文"/>
    <w:basedOn w:val="1"/>
    <w:qFormat/>
    <w:uiPriority w:val="0"/>
    <w:pPr>
      <w:widowControl/>
      <w:shd w:val="clear" w:color="auto" w:fill="FFFFFF"/>
      <w:spacing w:line="560" w:lineRule="exact"/>
      <w:ind w:firstLine="640"/>
    </w:pPr>
    <w:rPr>
      <w:rFonts w:eastAsia="仿宋_GB2312" w:cs="仿宋_GB2312"/>
    </w:rPr>
  </w:style>
  <w:style w:type="paragraph" w:customStyle="1" w:styleId="19">
    <w:name w:val="公文-2级标题"/>
    <w:basedOn w:val="1"/>
    <w:next w:val="18"/>
    <w:qFormat/>
    <w:uiPriority w:val="0"/>
    <w:pPr>
      <w:keepNext/>
      <w:keepLines/>
      <w:numPr>
        <w:ilvl w:val="0"/>
        <w:numId w:val="2"/>
      </w:numPr>
      <w:spacing w:beforeLines="0" w:afterLines="0" w:line="560" w:lineRule="exact"/>
      <w:ind w:firstLine="880" w:firstLineChars="200"/>
      <w:outlineLvl w:val="1"/>
    </w:pPr>
    <w:rPr>
      <w:rFonts w:ascii="Times New Roman" w:hAnsi="Times New Roman" w:eastAsia="楷体_GB2312" w:cs="楷体_GB2312"/>
    </w:rPr>
  </w:style>
  <w:style w:type="paragraph" w:customStyle="1" w:styleId="20">
    <w:name w:val="公文-3级标题"/>
    <w:basedOn w:val="1"/>
    <w:next w:val="18"/>
    <w:qFormat/>
    <w:uiPriority w:val="0"/>
    <w:pPr>
      <w:keepNext/>
      <w:keepLines/>
      <w:numPr>
        <w:ilvl w:val="0"/>
        <w:numId w:val="3"/>
      </w:numPr>
      <w:tabs>
        <w:tab w:val="clear" w:pos="399"/>
      </w:tabs>
      <w:spacing w:beforeLines="0" w:afterLines="0" w:line="560" w:lineRule="exact"/>
      <w:ind w:left="0" w:firstLine="640" w:firstLineChars="200"/>
      <w:outlineLvl w:val="2"/>
    </w:pPr>
    <w:rPr>
      <w:rFonts w:ascii="Times New Roman" w:hAnsi="Times New Roman" w:eastAsia="仿宋_GB2312" w:cs="仿宋_GB2312"/>
      <w:snapToGrid w:val="0"/>
      <w:color w:val="000000"/>
      <w:kern w:val="0"/>
      <w:sz w:val="32"/>
      <w:szCs w:val="21"/>
      <w:lang w:eastAsia="en-US"/>
    </w:rPr>
  </w:style>
  <w:style w:type="paragraph" w:customStyle="1" w:styleId="21">
    <w:name w:val="公文段落4"/>
    <w:basedOn w:val="18"/>
    <w:next w:val="18"/>
    <w:qFormat/>
    <w:uiPriority w:val="0"/>
    <w:pPr>
      <w:numPr>
        <w:ilvl w:val="0"/>
        <w:numId w:val="4"/>
      </w:numPr>
      <w:spacing w:line="560" w:lineRule="exact"/>
      <w:ind w:left="0" w:firstLine="640" w:firstLineChars="200"/>
      <w:outlineLvl w:val="3"/>
    </w:pPr>
    <w:rPr>
      <w:rFonts w:hint="eastAsia"/>
      <w:bCs/>
    </w:rPr>
  </w:style>
  <w:style w:type="paragraph" w:customStyle="1" w:styleId="22">
    <w:name w:val="表格字体"/>
    <w:basedOn w:val="1"/>
    <w:qFormat/>
    <w:uiPriority w:val="0"/>
    <w:pPr>
      <w:widowControl/>
      <w:spacing w:line="300" w:lineRule="exact"/>
      <w:ind w:firstLine="0" w:firstLineChars="0"/>
    </w:pPr>
    <w:rPr>
      <w:rFonts w:hint="eastAsia"/>
      <w:sz w:val="24"/>
    </w:rPr>
  </w:style>
  <w:style w:type="paragraph" w:customStyle="1" w:styleId="23">
    <w:name w:val="公文表格字体"/>
    <w:basedOn w:val="1"/>
    <w:qFormat/>
    <w:uiPriority w:val="0"/>
    <w:pPr>
      <w:widowControl/>
      <w:spacing w:line="300" w:lineRule="exact"/>
      <w:ind w:firstLine="0" w:firstLineChars="0"/>
    </w:pPr>
    <w:rPr>
      <w:rFonts w:hint="eastAsia"/>
      <w:sz w:val="24"/>
    </w:rPr>
  </w:style>
  <w:style w:type="paragraph" w:customStyle="1" w:styleId="24">
    <w:name w:val="公文-4级标题"/>
    <w:basedOn w:val="18"/>
    <w:next w:val="18"/>
    <w:qFormat/>
    <w:uiPriority w:val="0"/>
    <w:pPr>
      <w:numPr>
        <w:ilvl w:val="0"/>
        <w:numId w:val="5"/>
      </w:numPr>
      <w:spacing w:line="560" w:lineRule="exact"/>
      <w:ind w:left="0" w:firstLine="640" w:firstLineChars="200"/>
      <w:outlineLvl w:val="3"/>
    </w:pPr>
    <w:rPr>
      <w:rFonts w:hint="eastAsia" w:ascii="Times New Roman" w:hAnsi="Times New Roman" w:eastAsia="仿宋_GB2312"/>
      <w:bCs/>
    </w:rPr>
  </w:style>
  <w:style w:type="paragraph" w:customStyle="1" w:styleId="25">
    <w:name w:val="公文题目"/>
    <w:basedOn w:val="18"/>
    <w:qFormat/>
    <w:uiPriority w:val="0"/>
    <w:pPr>
      <w:ind w:firstLine="200" w:firstLineChars="0"/>
      <w:jc w:val="center"/>
    </w:pPr>
    <w:rPr>
      <w:rFonts w:hint="eastAsia" w:ascii="方正小标宋简体" w:hAnsi="方正小标宋简体" w:eastAsia="方正小标宋简体" w:cs="方正小标宋简体"/>
      <w:color w:val="000000"/>
      <w:sz w:val="44"/>
      <w:szCs w:val="44"/>
    </w:rPr>
  </w:style>
  <w:style w:type="character" w:customStyle="1" w:styleId="26">
    <w:name w:val="font11"/>
    <w:basedOn w:val="13"/>
    <w:qFormat/>
    <w:uiPriority w:val="0"/>
    <w:rPr>
      <w:rFonts w:hint="default" w:ascii="Arial" w:hAnsi="Arial" w:cs="Arial"/>
      <w:b/>
      <w:bCs/>
      <w:color w:val="595959"/>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10089</Words>
  <Characters>10251</Characters>
  <Lines>0</Lines>
  <Paragraphs>0</Paragraphs>
  <TotalTime>1</TotalTime>
  <ScaleCrop>false</ScaleCrop>
  <LinksUpToDate>false</LinksUpToDate>
  <CharactersWithSpaces>10260</CharactersWithSpaces>
  <Application>WPS Office_6.11.0.8885_F1E327BC-269C-435d-A152-05C5408002CA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2025-03-01T19:28:00Z</dcterms:created>
  <dc:creator>珩</dc:creator>
  <cp:lastModifiedBy>张译戈</cp:lastModifiedBy>
  <cp:lastPrinted>2025-03-04T09:16:00Z</cp:lastPrinted>
  <dcterms:modified xsi:type="dcterms:W3CDTF">2025-07-30T16:05:45Z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2052-6.11.0.8885</vt:lpwstr>
  </property>
  <property fmtid="{D5CDD505-2E9C-101B-9397-08002B2CF9AE}" pid="3" name="ICV">
    <vt:lpwstr>A3AA738980B679A459D28968DEE9396C_43</vt:lpwstr>
  </property>
  <property fmtid="{D5CDD505-2E9C-101B-9397-08002B2CF9AE}" pid="4" name="KSOTemplateDocerSaveRecord">
    <vt:lpwstr>eyJoZGlkIjoiYzA3Y2Y3OWEwNGUwNGNjNWQyMDNhMGQ4ZTFiY2RmNjIiLCJ1c2VySWQiOiIzMjIxNzg3NjgifQ==</vt:lpwstr>
  </property>
</Properties>
</file>