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val="en-US" w:eastAsia="zh-CN"/>
        </w:rPr>
        <w:t>龙华区2023</w:t>
      </w:r>
      <w:r>
        <w:rPr>
          <w:rFonts w:hint="eastAsia" w:ascii="方正小标宋_GBK" w:hAnsi="方正小标宋_GBK" w:eastAsia="方正小标宋_GBK" w:cs="方正小标宋_GBK"/>
          <w:sz w:val="44"/>
          <w:szCs w:val="44"/>
          <w:highlight w:val="none"/>
        </w:rPr>
        <w:t>年</w:t>
      </w:r>
      <w:r>
        <w:rPr>
          <w:rFonts w:hint="eastAsia" w:ascii="方正小标宋_GBK" w:hAnsi="方正小标宋_GBK" w:eastAsia="方正小标宋_GBK" w:cs="方正小标宋_GBK"/>
          <w:sz w:val="44"/>
          <w:szCs w:val="44"/>
          <w:highlight w:val="none"/>
          <w:lang w:eastAsia="zh-CN"/>
        </w:rPr>
        <w:t>上半年</w:t>
      </w:r>
      <w:r>
        <w:rPr>
          <w:rFonts w:hint="eastAsia" w:ascii="方正小标宋_GBK" w:hAnsi="方正小标宋_GBK" w:eastAsia="方正小标宋_GBK" w:cs="方正小标宋_GBK"/>
          <w:sz w:val="44"/>
          <w:szCs w:val="44"/>
          <w:highlight w:val="none"/>
        </w:rPr>
        <w:t>民生实事项目</w:t>
      </w:r>
      <w:r>
        <w:rPr>
          <w:rFonts w:hint="eastAsia" w:ascii="方正小标宋_GBK" w:hAnsi="方正小标宋_GBK" w:eastAsia="方正小标宋_GBK" w:cs="方正小标宋_GBK"/>
          <w:sz w:val="44"/>
          <w:szCs w:val="44"/>
          <w:highlight w:val="none"/>
          <w:lang w:eastAsia="zh-CN"/>
        </w:rPr>
        <w:t>进展情况一览表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_GBK" w:hAnsi="方正小标宋_GBK" w:eastAsia="方正小标宋_GBK" w:cs="方正小标宋_GBK"/>
          <w:sz w:val="32"/>
          <w:szCs w:val="32"/>
          <w:highlight w:val="none"/>
          <w:lang w:eastAsia="zh-CN"/>
        </w:rPr>
        <w:t>（截至</w:t>
      </w:r>
      <w:r>
        <w:rPr>
          <w:rFonts w:hint="eastAsia" w:ascii="方正小标宋_GBK" w:hAnsi="方正小标宋_GBK" w:eastAsia="方正小标宋_GBK" w:cs="方正小标宋_GBK"/>
          <w:sz w:val="32"/>
          <w:szCs w:val="32"/>
          <w:highlight w:val="none"/>
          <w:lang w:val="en-US" w:eastAsia="zh-CN"/>
        </w:rPr>
        <w:t>2023年6月30日</w:t>
      </w:r>
      <w:r>
        <w:rPr>
          <w:rFonts w:hint="eastAsia" w:ascii="方正小标宋_GBK" w:hAnsi="方正小标宋_GBK" w:eastAsia="方正小标宋_GBK" w:cs="方正小标宋_GBK"/>
          <w:sz w:val="32"/>
          <w:szCs w:val="32"/>
          <w:highlight w:val="none"/>
          <w:lang w:eastAsia="zh-CN"/>
        </w:rPr>
        <w:t>）</w:t>
      </w:r>
    </w:p>
    <w:tbl>
      <w:tblPr>
        <w:tblStyle w:val="4"/>
        <w:tblW w:w="21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0"/>
        <w:gridCol w:w="435"/>
        <w:gridCol w:w="1080"/>
        <w:gridCol w:w="2185"/>
        <w:gridCol w:w="2088"/>
        <w:gridCol w:w="2363"/>
        <w:gridCol w:w="4490"/>
        <w:gridCol w:w="1830"/>
        <w:gridCol w:w="1830"/>
        <w:gridCol w:w="1650"/>
        <w:gridCol w:w="21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blHeader/>
          <w:jc w:val="center"/>
        </w:trPr>
        <w:tc>
          <w:tcPr>
            <w:tcW w:w="186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民生事项</w:t>
            </w:r>
          </w:p>
        </w:tc>
        <w:tc>
          <w:tcPr>
            <w:tcW w:w="15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序号</w:t>
            </w:r>
          </w:p>
        </w:tc>
        <w:tc>
          <w:tcPr>
            <w:tcW w:w="2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color w:val="auto"/>
                <w:kern w:val="0"/>
                <w:sz w:val="24"/>
                <w:szCs w:val="24"/>
                <w:highlight w:val="none"/>
                <w:lang w:eastAsia="zh-CN"/>
              </w:rPr>
            </w:pPr>
            <w:r>
              <w:rPr>
                <w:rFonts w:hint="eastAsia" w:ascii="黑体" w:hAnsi="黑体" w:eastAsia="黑体" w:cs="黑体"/>
                <w:color w:val="auto"/>
                <w:kern w:val="0"/>
                <w:sz w:val="24"/>
                <w:szCs w:val="24"/>
                <w:highlight w:val="none"/>
              </w:rPr>
              <w:t>项目名称</w:t>
            </w:r>
          </w:p>
        </w:tc>
        <w:tc>
          <w:tcPr>
            <w:tcW w:w="208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年度目标</w:t>
            </w:r>
          </w:p>
        </w:tc>
        <w:tc>
          <w:tcPr>
            <w:tcW w:w="236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default" w:ascii="黑体" w:hAnsi="黑体" w:eastAsia="黑体" w:cs="黑体"/>
                <w:color w:val="auto"/>
                <w:kern w:val="0"/>
                <w:sz w:val="24"/>
                <w:szCs w:val="24"/>
                <w:highlight w:val="none"/>
                <w:lang w:val="en-US" w:eastAsia="zh-CN"/>
              </w:rPr>
            </w:pPr>
            <w:r>
              <w:rPr>
                <w:rFonts w:hint="eastAsia" w:ascii="黑体" w:hAnsi="黑体" w:eastAsia="黑体" w:cs="黑体"/>
                <w:color w:val="auto"/>
                <w:kern w:val="0"/>
                <w:sz w:val="24"/>
                <w:szCs w:val="24"/>
                <w:highlight w:val="none"/>
                <w:lang w:val="en-US" w:eastAsia="zh-CN"/>
              </w:rPr>
              <w:t>上半年目标</w:t>
            </w:r>
          </w:p>
        </w:tc>
        <w:tc>
          <w:tcPr>
            <w:tcW w:w="449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color w:val="auto"/>
                <w:kern w:val="0"/>
                <w:sz w:val="24"/>
                <w:szCs w:val="24"/>
                <w:highlight w:val="none"/>
                <w:lang w:eastAsia="zh-CN"/>
              </w:rPr>
            </w:pPr>
            <w:r>
              <w:rPr>
                <w:rFonts w:hint="eastAsia" w:ascii="黑体" w:hAnsi="黑体" w:eastAsia="黑体" w:cs="黑体"/>
                <w:color w:val="auto"/>
                <w:kern w:val="0"/>
                <w:sz w:val="24"/>
                <w:szCs w:val="24"/>
                <w:highlight w:val="none"/>
                <w:lang w:eastAsia="zh-CN"/>
              </w:rPr>
              <w:t>上半年进展情况</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lang w:eastAsia="zh-CN"/>
              </w:rPr>
              <w:t>存在问题及下一步工作计划</w:t>
            </w:r>
          </w:p>
        </w:tc>
        <w:tc>
          <w:tcPr>
            <w:tcW w:w="183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color w:val="auto"/>
                <w:kern w:val="0"/>
                <w:sz w:val="24"/>
                <w:szCs w:val="24"/>
                <w:highlight w:val="none"/>
              </w:rPr>
            </w:pPr>
            <w:r>
              <w:rPr>
                <w:rFonts w:hint="eastAsia" w:ascii="黑体" w:hAnsi="黑体" w:eastAsia="黑体" w:cs="黑体"/>
                <w:color w:val="auto"/>
                <w:kern w:val="0"/>
                <w:sz w:val="24"/>
                <w:szCs w:val="24"/>
                <w:highlight w:val="none"/>
              </w:rPr>
              <w:t>进度评价</w:t>
            </w:r>
          </w:p>
        </w:tc>
        <w:tc>
          <w:tcPr>
            <w:tcW w:w="165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rPr>
              <w:t>主办单位</w:t>
            </w:r>
          </w:p>
        </w:tc>
        <w:tc>
          <w:tcPr>
            <w:tcW w:w="210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jc w:val="center"/>
              <w:textAlignment w:val="auto"/>
              <w:outlineLvl w:val="9"/>
              <w:rPr>
                <w:rFonts w:hint="eastAsia" w:ascii="黑体" w:hAnsi="黑体" w:eastAsia="黑体" w:cs="黑体"/>
                <w:color w:val="auto"/>
                <w:kern w:val="0"/>
                <w:sz w:val="24"/>
                <w:szCs w:val="24"/>
                <w:highlight w:val="none"/>
                <w:lang w:val="en-US" w:eastAsia="zh-CN" w:bidi="ar-SA"/>
              </w:rPr>
            </w:pPr>
            <w:r>
              <w:rPr>
                <w:rFonts w:hint="eastAsia" w:ascii="黑体" w:hAnsi="黑体" w:eastAsia="黑体" w:cs="黑体"/>
                <w:color w:val="auto"/>
                <w:kern w:val="0"/>
                <w:sz w:val="24"/>
                <w:szCs w:val="24"/>
                <w:highlight w:val="none"/>
              </w:rPr>
              <w:t>协办单位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60"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textAlignment w:val="auto"/>
              <w:outlineLvl w:val="9"/>
              <w:rPr>
                <w:rFonts w:hint="default" w:ascii="仿宋_GB2312" w:hAnsi="仿宋_GB2312" w:eastAsia="仿宋_GB2312" w:cs="仿宋_GB2312"/>
                <w:color w:val="auto"/>
                <w:kern w:val="0"/>
                <w:sz w:val="21"/>
                <w:szCs w:val="21"/>
                <w:highlight w:val="none"/>
                <w:lang w:val="en-US" w:eastAsia="zh-CN" w:bidi="ar-SA"/>
              </w:rPr>
            </w:pPr>
          </w:p>
        </w:tc>
        <w:tc>
          <w:tcPr>
            <w:tcW w:w="435" w:type="dxa"/>
            <w:vMerge w:val="restart"/>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10-3</w:t>
            </w:r>
          </w:p>
        </w:tc>
        <w:tc>
          <w:tcPr>
            <w:tcW w:w="218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星河传奇暖蜂驿站</w:t>
            </w:r>
          </w:p>
        </w:tc>
        <w:tc>
          <w:tcPr>
            <w:tcW w:w="208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完工并正式投入运营，提升就业群体的获得感、幸福感和安全感。</w:t>
            </w:r>
          </w:p>
        </w:tc>
        <w:tc>
          <w:tcPr>
            <w:tcW w:w="2363" w:type="dxa"/>
            <w:noWrap w:val="0"/>
            <w:vAlign w:val="center"/>
          </w:tcPr>
          <w:p>
            <w:pPr>
              <w:keepNext w:val="0"/>
              <w:keepLines w:val="0"/>
              <w:pageBreakBefore w:val="0"/>
              <w:kinsoku/>
              <w:wordWrap/>
              <w:overflowPunct/>
              <w:topLinePunct w:val="0"/>
              <w:autoSpaceDE/>
              <w:autoSpaceDN/>
              <w:bidi w:val="0"/>
              <w:spacing w:line="300" w:lineRule="exact"/>
              <w:ind w:left="0" w:leftChars="0"/>
              <w:jc w:val="both"/>
              <w:textAlignment w:val="auto"/>
              <w:outlineLvl w:val="9"/>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投入运营，预计服务900余人次。</w:t>
            </w:r>
          </w:p>
        </w:tc>
        <w:tc>
          <w:tcPr>
            <w:tcW w:w="4490" w:type="dxa"/>
            <w:noWrap w:val="0"/>
            <w:vAlign w:val="center"/>
          </w:tcPr>
          <w:p>
            <w:pP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kern w:val="0"/>
                <w:sz w:val="21"/>
                <w:szCs w:val="21"/>
                <w:highlight w:val="none"/>
                <w:lang w:val="zh-CN" w:eastAsia="zh-CN"/>
              </w:rPr>
              <w:t>星河传奇暖蜂驿站上半年联动民治街道周边社区，为外卖小哥、快递员、环卫工人、网约车司机等新业态劳动者提供阵地休息、政策咨询、关爱服务、权益保障等服务。累计开展</w:t>
            </w:r>
            <w:r>
              <w:rPr>
                <w:rFonts w:hint="eastAsia" w:ascii="仿宋_GB2312" w:hAnsi="仿宋_GB2312" w:eastAsia="仿宋_GB2312" w:cs="仿宋_GB2312"/>
                <w:color w:val="auto"/>
                <w:kern w:val="0"/>
                <w:sz w:val="21"/>
                <w:szCs w:val="21"/>
                <w:highlight w:val="none"/>
                <w:lang w:val="en-US" w:eastAsia="zh-CN"/>
              </w:rPr>
              <w:t>3场专题调研、主题培训2场、关爱慰问15场、主题活动2场、送清凉服务16场。累计服务人次超2100人次。</w:t>
            </w:r>
          </w:p>
        </w:tc>
        <w:tc>
          <w:tcPr>
            <w:tcW w:w="183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FF0000"/>
                <w:kern w:val="0"/>
                <w:sz w:val="21"/>
                <w:szCs w:val="21"/>
                <w:highlight w:val="none"/>
                <w:lang w:val="zh-CN" w:eastAsia="zh-CN"/>
              </w:rPr>
            </w:pPr>
            <w:r>
              <w:rPr>
                <w:rFonts w:hint="eastAsia" w:ascii="仿宋_GB2312" w:hAnsi="仿宋_GB2312" w:eastAsia="仿宋_GB2312" w:cs="仿宋_GB2312"/>
                <w:color w:val="auto"/>
                <w:kern w:val="0"/>
                <w:sz w:val="21"/>
                <w:szCs w:val="21"/>
                <w:highlight w:val="none"/>
                <w:lang w:val="zh-CN" w:eastAsia="zh-CN"/>
              </w:rPr>
              <w:t>继续为外卖小哥、快递员等新业态劳动者提供阵地休息、政策咨询、关爱服务、权益保障等服务。</w:t>
            </w:r>
          </w:p>
        </w:tc>
        <w:tc>
          <w:tcPr>
            <w:tcW w:w="183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 w:val="0"/>
                <w:bCs w:val="0"/>
                <w:color w:val="92D050"/>
                <w:kern w:val="2"/>
                <w:sz w:val="72"/>
                <w:szCs w:val="72"/>
                <w:lang w:val="en-US" w:eastAsia="zh-CN" w:bidi="ar-SA"/>
              </w:rPr>
              <w:t>▋</w:t>
            </w:r>
          </w:p>
        </w:tc>
        <w:tc>
          <w:tcPr>
            <w:tcW w:w="165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rPr>
              <w:t>民治街道</w:t>
            </w:r>
          </w:p>
        </w:tc>
        <w:tc>
          <w:tcPr>
            <w:tcW w:w="2102"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6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43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bidi="ar-SA"/>
              </w:rPr>
              <w:t>13</w:t>
            </w:r>
            <w:r>
              <w:rPr>
                <w:rFonts w:hint="eastAsia" w:ascii="仿宋_GB2312" w:hAnsi="仿宋_GB2312" w:eastAsia="仿宋_GB2312" w:cs="仿宋_GB2312"/>
                <w:color w:val="auto"/>
                <w:kern w:val="0"/>
                <w:sz w:val="21"/>
                <w:szCs w:val="21"/>
                <w:highlight w:val="none"/>
                <w:lang w:val="en-US" w:eastAsia="zh-CN"/>
              </w:rPr>
              <w:t>-3</w:t>
            </w:r>
          </w:p>
        </w:tc>
        <w:tc>
          <w:tcPr>
            <w:tcW w:w="218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北站壹号楼宇党群服务中心</w:t>
            </w:r>
          </w:p>
        </w:tc>
        <w:tc>
          <w:tcPr>
            <w:tcW w:w="208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完工。</w:t>
            </w:r>
          </w:p>
        </w:tc>
        <w:tc>
          <w:tcPr>
            <w:tcW w:w="2363" w:type="dxa"/>
            <w:noWrap w:val="0"/>
            <w:vAlign w:val="center"/>
          </w:tcPr>
          <w:p>
            <w:pPr>
              <w:keepNext w:val="0"/>
              <w:keepLines w:val="0"/>
              <w:pageBreakBefore w:val="0"/>
              <w:kinsoku/>
              <w:wordWrap/>
              <w:overflowPunct/>
              <w:topLinePunct w:val="0"/>
              <w:autoSpaceDE/>
              <w:autoSpaceDN/>
              <w:bidi w:val="0"/>
              <w:spacing w:line="300" w:lineRule="exact"/>
              <w:ind w:left="0" w:leftChars="0"/>
              <w:jc w:val="both"/>
              <w:textAlignment w:val="auto"/>
              <w:outlineLvl w:val="9"/>
              <w:rPr>
                <w:rFonts w:hint="eastAsia" w:ascii="仿宋_GB2312" w:hAnsi="仿宋_GB2312" w:eastAsia="仿宋_GB2312" w:cs="仿宋_GB2312"/>
                <w:color w:val="FF0000"/>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进场施工，完成工程量50%。</w:t>
            </w:r>
          </w:p>
        </w:tc>
        <w:tc>
          <w:tcPr>
            <w:tcW w:w="4490" w:type="dxa"/>
            <w:noWrap w:val="0"/>
            <w:vAlign w:val="center"/>
          </w:tcPr>
          <w:p>
            <w:pP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kern w:val="0"/>
                <w:sz w:val="21"/>
                <w:szCs w:val="21"/>
                <w:highlight w:val="none"/>
                <w:lang w:val="zh-CN" w:eastAsia="zh-CN" w:bidi="ar-SA"/>
              </w:rPr>
              <w:t>北站壹号党群服务中心硬装建设工程已完工，文化提升及家具设备采购正在同步推进中。</w:t>
            </w:r>
          </w:p>
        </w:tc>
        <w:tc>
          <w:tcPr>
            <w:tcW w:w="183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FF0000"/>
                <w:kern w:val="0"/>
                <w:sz w:val="21"/>
                <w:szCs w:val="21"/>
                <w:highlight w:val="none"/>
                <w:lang w:val="zh-CN" w:eastAsia="zh-CN" w:bidi="ar-SA"/>
              </w:rPr>
            </w:pPr>
            <w:r>
              <w:rPr>
                <w:rFonts w:hint="eastAsia" w:ascii="仿宋_GB2312" w:hAnsi="仿宋_GB2312" w:eastAsia="仿宋_GB2312" w:cs="仿宋_GB2312"/>
                <w:color w:val="auto"/>
                <w:kern w:val="0"/>
                <w:sz w:val="21"/>
                <w:szCs w:val="21"/>
                <w:highlight w:val="none"/>
                <w:lang w:val="zh-CN" w:eastAsia="zh-CN" w:bidi="ar-SA"/>
              </w:rPr>
              <w:t>接下来，计划</w:t>
            </w:r>
            <w:r>
              <w:rPr>
                <w:rFonts w:hint="eastAsia" w:ascii="仿宋_GB2312" w:hAnsi="仿宋_GB2312" w:eastAsia="仿宋_GB2312" w:cs="仿宋_GB2312"/>
                <w:color w:val="auto"/>
                <w:kern w:val="0"/>
                <w:sz w:val="21"/>
                <w:szCs w:val="21"/>
                <w:highlight w:val="none"/>
                <w:lang w:val="en-US" w:eastAsia="zh-CN" w:bidi="ar-SA"/>
              </w:rPr>
              <w:t>7月份完成文化提升及家具设备采购工作，并着手准备运营服务。</w:t>
            </w:r>
          </w:p>
        </w:tc>
        <w:tc>
          <w:tcPr>
            <w:tcW w:w="183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zh-CN" w:eastAsia="zh-CN"/>
              </w:rPr>
            </w:pPr>
            <w:r>
              <w:rPr>
                <w:rFonts w:hint="eastAsia" w:ascii="仿宋_GB2312" w:hAnsi="仿宋_GB2312" w:eastAsia="仿宋_GB2312" w:cs="仿宋_GB2312"/>
                <w:b w:val="0"/>
                <w:bCs w:val="0"/>
                <w:color w:val="92D050"/>
                <w:kern w:val="2"/>
                <w:sz w:val="72"/>
                <w:szCs w:val="72"/>
                <w:lang w:val="en-US" w:eastAsia="zh-CN" w:bidi="ar-SA"/>
              </w:rPr>
              <w:t>▋</w:t>
            </w:r>
          </w:p>
        </w:tc>
        <w:tc>
          <w:tcPr>
            <w:tcW w:w="165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rPr>
              <w:t>民治街道</w:t>
            </w:r>
          </w:p>
        </w:tc>
        <w:tc>
          <w:tcPr>
            <w:tcW w:w="2102"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6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43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18</w:t>
            </w:r>
            <w:r>
              <w:rPr>
                <w:rFonts w:hint="eastAsia" w:ascii="仿宋_GB2312" w:hAnsi="仿宋_GB2312" w:eastAsia="仿宋_GB2312" w:cs="仿宋_GB2312"/>
                <w:color w:val="auto"/>
                <w:kern w:val="0"/>
                <w:sz w:val="21"/>
                <w:szCs w:val="21"/>
                <w:highlight w:val="none"/>
                <w:lang w:val="en-US" w:eastAsia="zh-CN" w:bidi="ar-SA"/>
              </w:rPr>
              <w:t>-8</w:t>
            </w:r>
          </w:p>
        </w:tc>
        <w:tc>
          <w:tcPr>
            <w:tcW w:w="218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kern w:val="0"/>
                <w:sz w:val="21"/>
                <w:szCs w:val="21"/>
                <w:highlight w:val="none"/>
                <w:lang w:val="en-US" w:eastAsia="zh-CN" w:bidi="ar-SA"/>
              </w:rPr>
              <w:t>人民路与福龙路交汇渠化岛及路面改造工程</w:t>
            </w:r>
          </w:p>
        </w:tc>
        <w:tc>
          <w:tcPr>
            <w:tcW w:w="208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kern w:val="0"/>
                <w:sz w:val="21"/>
                <w:szCs w:val="21"/>
                <w:highlight w:val="none"/>
                <w:lang w:val="en-US" w:eastAsia="zh-CN" w:bidi="ar-SA"/>
              </w:rPr>
              <w:t>完工。</w:t>
            </w:r>
          </w:p>
        </w:tc>
        <w:tc>
          <w:tcPr>
            <w:tcW w:w="2363" w:type="dxa"/>
            <w:noWrap w:val="0"/>
            <w:vAlign w:val="center"/>
          </w:tcPr>
          <w:p>
            <w:pPr>
              <w:keepNext w:val="0"/>
              <w:keepLines w:val="0"/>
              <w:pageBreakBefore w:val="0"/>
              <w:kinsoku/>
              <w:wordWrap/>
              <w:overflowPunct/>
              <w:topLinePunct w:val="0"/>
              <w:autoSpaceDE/>
              <w:autoSpaceDN/>
              <w:bidi w:val="0"/>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进场施工，完成工程量60%。</w:t>
            </w:r>
          </w:p>
        </w:tc>
        <w:tc>
          <w:tcPr>
            <w:tcW w:w="4490" w:type="dxa"/>
            <w:noWrap w:val="0"/>
            <w:vAlign w:val="center"/>
          </w:tcPr>
          <w:p>
            <w:pP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已完成施工进度70%</w:t>
            </w:r>
          </w:p>
        </w:tc>
        <w:tc>
          <w:tcPr>
            <w:tcW w:w="183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FF0000"/>
                <w:kern w:val="0"/>
                <w:sz w:val="21"/>
                <w:szCs w:val="21"/>
                <w:highlight w:val="none"/>
                <w:lang w:val="zh-CN" w:eastAsia="zh-CN"/>
              </w:rPr>
            </w:pPr>
            <w:r>
              <w:rPr>
                <w:rFonts w:hint="eastAsia" w:ascii="仿宋_GB2312" w:hAnsi="仿宋_GB2312" w:eastAsia="仿宋_GB2312" w:cs="仿宋_GB2312"/>
                <w:color w:val="auto"/>
                <w:kern w:val="0"/>
                <w:sz w:val="21"/>
                <w:szCs w:val="21"/>
                <w:highlight w:val="none"/>
                <w:lang w:val="zh-CN" w:eastAsia="zh-CN" w:bidi="ar-SA"/>
              </w:rPr>
              <w:t>下一步工作计划：</w:t>
            </w:r>
            <w:r>
              <w:rPr>
                <w:rFonts w:hint="eastAsia" w:ascii="仿宋_GB2312" w:hAnsi="仿宋_GB2312" w:eastAsia="仿宋_GB2312" w:cs="仿宋_GB2312"/>
                <w:color w:val="auto"/>
                <w:kern w:val="0"/>
                <w:sz w:val="21"/>
                <w:szCs w:val="21"/>
                <w:highlight w:val="none"/>
                <w:lang w:val="zh-CN" w:eastAsia="zh-CN"/>
              </w:rPr>
              <w:t>按时间节点推进项目进展。</w:t>
            </w:r>
          </w:p>
        </w:tc>
        <w:tc>
          <w:tcPr>
            <w:tcW w:w="183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val="0"/>
                <w:bCs w:val="0"/>
                <w:color w:val="92D050"/>
                <w:kern w:val="2"/>
                <w:sz w:val="72"/>
                <w:szCs w:val="72"/>
                <w:lang w:val="en-US" w:eastAsia="zh-CN" w:bidi="ar-SA"/>
              </w:rPr>
              <w:t>▋</w:t>
            </w:r>
          </w:p>
        </w:tc>
        <w:tc>
          <w:tcPr>
            <w:tcW w:w="165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民治街道</w:t>
            </w:r>
          </w:p>
        </w:tc>
        <w:tc>
          <w:tcPr>
            <w:tcW w:w="2102"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6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43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19-2</w:t>
            </w:r>
          </w:p>
        </w:tc>
        <w:tc>
          <w:tcPr>
            <w:tcW w:w="218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深圳北站垃圾转运站整治工程</w:t>
            </w:r>
          </w:p>
        </w:tc>
        <w:tc>
          <w:tcPr>
            <w:tcW w:w="208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完工。</w:t>
            </w:r>
          </w:p>
        </w:tc>
        <w:tc>
          <w:tcPr>
            <w:tcW w:w="2363" w:type="dxa"/>
            <w:noWrap w:val="0"/>
            <w:vAlign w:val="center"/>
          </w:tcPr>
          <w:p>
            <w:pPr>
              <w:keepNext w:val="0"/>
              <w:keepLines w:val="0"/>
              <w:pageBreakBefore w:val="0"/>
              <w:kinsoku/>
              <w:wordWrap/>
              <w:overflowPunct/>
              <w:topLinePunct w:val="0"/>
              <w:autoSpaceDE/>
              <w:autoSpaceDN/>
              <w:bidi w:val="0"/>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施工进场，施工，完成施工进度30%。</w:t>
            </w:r>
          </w:p>
        </w:tc>
        <w:tc>
          <w:tcPr>
            <w:tcW w:w="4490" w:type="dxa"/>
            <w:noWrap w:val="0"/>
            <w:vAlign w:val="center"/>
          </w:tcPr>
          <w:p>
            <w:pP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已完成施工进度30%</w:t>
            </w:r>
          </w:p>
        </w:tc>
        <w:tc>
          <w:tcPr>
            <w:tcW w:w="183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default" w:ascii="仿宋_GB2312" w:hAnsi="仿宋_GB2312" w:eastAsia="仿宋_GB2312" w:cs="仿宋_GB2312"/>
                <w:color w:val="FF0000"/>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下一步工作计划：</w:t>
            </w:r>
            <w:r>
              <w:rPr>
                <w:rFonts w:hint="eastAsia" w:ascii="仿宋_GB2312" w:hAnsi="仿宋_GB2312" w:eastAsia="仿宋_GB2312" w:cs="仿宋_GB2312"/>
                <w:color w:val="auto"/>
                <w:kern w:val="0"/>
                <w:sz w:val="21"/>
                <w:szCs w:val="21"/>
                <w:highlight w:val="none"/>
                <w:lang w:val="zh-CN" w:eastAsia="zh-CN"/>
              </w:rPr>
              <w:t>按时间节点推进项目进展。</w:t>
            </w:r>
          </w:p>
        </w:tc>
        <w:tc>
          <w:tcPr>
            <w:tcW w:w="183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 w:val="0"/>
                <w:bCs w:val="0"/>
                <w:color w:val="92D050"/>
                <w:kern w:val="2"/>
                <w:sz w:val="72"/>
                <w:szCs w:val="72"/>
                <w:lang w:val="en-US" w:eastAsia="zh-CN" w:bidi="ar-SA"/>
              </w:rPr>
              <w:t>▋</w:t>
            </w:r>
          </w:p>
        </w:tc>
        <w:tc>
          <w:tcPr>
            <w:tcW w:w="165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民治街道</w:t>
            </w:r>
          </w:p>
        </w:tc>
        <w:tc>
          <w:tcPr>
            <w:tcW w:w="2102"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bCs/>
                <w:color w:val="auto"/>
                <w:kern w:val="2"/>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60" w:type="dxa"/>
            <w:vMerge w:val="continue"/>
            <w:noWrap w:val="0"/>
            <w:vAlign w:val="center"/>
          </w:tcPr>
          <w:p>
            <w:pPr>
              <w:keepNext w:val="0"/>
              <w:keepLines w:val="0"/>
              <w:pageBreakBefore w:val="0"/>
              <w:kinsoku/>
              <w:wordWrap/>
              <w:overflowPunct/>
              <w:topLinePunct w:val="0"/>
              <w:autoSpaceDE/>
              <w:autoSpaceDN/>
              <w:bidi w:val="0"/>
              <w:spacing w:line="300" w:lineRule="exact"/>
              <w:ind w:left="0" w:leftChars="0"/>
              <w:jc w:val="both"/>
              <w:textAlignment w:val="auto"/>
              <w:outlineLvl w:val="9"/>
              <w:rPr>
                <w:rFonts w:hint="default" w:ascii="仿宋_GB2312" w:hAnsi="仿宋_GB2312" w:eastAsia="仿宋_GB2312" w:cs="仿宋_GB2312"/>
                <w:color w:val="auto"/>
                <w:kern w:val="0"/>
                <w:sz w:val="21"/>
                <w:szCs w:val="21"/>
                <w:highlight w:val="none"/>
                <w:lang w:val="en-US" w:eastAsia="zh-CN"/>
              </w:rPr>
            </w:pPr>
          </w:p>
        </w:tc>
        <w:tc>
          <w:tcPr>
            <w:tcW w:w="435" w:type="dxa"/>
            <w:vMerge w:val="continue"/>
            <w:noWrap w:val="0"/>
            <w:vAlign w:val="center"/>
          </w:tcPr>
          <w:p>
            <w:pPr>
              <w:keepNext w:val="0"/>
              <w:keepLines w:val="0"/>
              <w:pageBreakBefore w:val="0"/>
              <w:widowControl/>
              <w:kinsoku/>
              <w:wordWrap/>
              <w:overflowPunct/>
              <w:topLinePunct w:val="0"/>
              <w:autoSpaceDE/>
              <w:autoSpaceDN/>
              <w:bidi w:val="0"/>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rPr>
            </w:pPr>
          </w:p>
        </w:tc>
        <w:tc>
          <w:tcPr>
            <w:tcW w:w="1080" w:type="dxa"/>
            <w:noWrap w:val="0"/>
            <w:vAlign w:val="center"/>
          </w:tcPr>
          <w:p>
            <w:pPr>
              <w:keepNext w:val="0"/>
              <w:keepLines w:val="0"/>
              <w:pageBreakBefore w:val="0"/>
              <w:widowControl/>
              <w:kinsoku/>
              <w:wordWrap/>
              <w:overflowPunct/>
              <w:topLinePunct w:val="0"/>
              <w:autoSpaceDE/>
              <w:autoSpaceDN/>
              <w:bidi w:val="0"/>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24-5</w:t>
            </w:r>
          </w:p>
        </w:tc>
        <w:tc>
          <w:tcPr>
            <w:tcW w:w="2185" w:type="dxa"/>
            <w:noWrap w:val="0"/>
            <w:vAlign w:val="center"/>
          </w:tcPr>
          <w:p>
            <w:pPr>
              <w:keepNext w:val="0"/>
              <w:keepLines w:val="0"/>
              <w:pageBreakBefore w:val="0"/>
              <w:widowControl/>
              <w:kinsoku/>
              <w:wordWrap/>
              <w:topLinePunct w:val="0"/>
              <w:autoSpaceDE/>
              <w:autoSpaceDN/>
              <w:bidi w:val="0"/>
              <w:spacing w:line="300" w:lineRule="exact"/>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龙华新城核心地区01-01-01地块配套道路工程</w:t>
            </w:r>
          </w:p>
        </w:tc>
        <w:tc>
          <w:tcPr>
            <w:tcW w:w="2088" w:type="dxa"/>
            <w:noWrap w:val="0"/>
            <w:vAlign w:val="center"/>
          </w:tcPr>
          <w:p>
            <w:pPr>
              <w:keepNext w:val="0"/>
              <w:keepLines w:val="0"/>
              <w:pageBreakBefore w:val="0"/>
              <w:widowControl/>
              <w:kinsoku/>
              <w:wordWrap/>
              <w:topLinePunct w:val="0"/>
              <w:autoSpaceDE/>
              <w:autoSpaceDN/>
              <w:bidi w:val="0"/>
              <w:spacing w:line="300" w:lineRule="exact"/>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完工.</w:t>
            </w:r>
          </w:p>
        </w:tc>
        <w:tc>
          <w:tcPr>
            <w:tcW w:w="2363" w:type="dxa"/>
            <w:noWrap w:val="0"/>
            <w:vAlign w:val="center"/>
          </w:tcPr>
          <w:p>
            <w:pPr>
              <w:keepNext w:val="0"/>
              <w:keepLines w:val="0"/>
              <w:pageBreakBefore w:val="0"/>
              <w:kinsoku/>
              <w:wordWrap/>
              <w:overflowPunct/>
              <w:topLinePunct w:val="0"/>
              <w:autoSpaceDE/>
              <w:autoSpaceDN/>
              <w:bidi w:val="0"/>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完成工程量100%。</w:t>
            </w:r>
          </w:p>
        </w:tc>
        <w:tc>
          <w:tcPr>
            <w:tcW w:w="4490" w:type="dxa"/>
            <w:noWrap w:val="0"/>
            <w:vAlign w:val="center"/>
          </w:tcPr>
          <w:p>
            <w:pP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 w:eastAsia="zh-CN" w:bidi="ar-SA"/>
              </w:rPr>
              <w:t>已完工。</w:t>
            </w:r>
          </w:p>
        </w:tc>
        <w:tc>
          <w:tcPr>
            <w:tcW w:w="183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FF0000"/>
                <w:kern w:val="0"/>
                <w:sz w:val="21"/>
                <w:szCs w:val="21"/>
                <w:highlight w:val="none"/>
                <w:lang w:val="zh-CN" w:eastAsia="zh-CN"/>
              </w:rPr>
            </w:pPr>
          </w:p>
        </w:tc>
        <w:tc>
          <w:tcPr>
            <w:tcW w:w="183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val="0"/>
                <w:bCs w:val="0"/>
                <w:color w:val="92D050"/>
                <w:kern w:val="2"/>
                <w:sz w:val="72"/>
                <w:szCs w:val="72"/>
                <w:lang w:val="en-US" w:eastAsia="zh-CN" w:bidi="ar-SA"/>
              </w:rPr>
              <w:t>▋</w:t>
            </w:r>
          </w:p>
        </w:tc>
        <w:tc>
          <w:tcPr>
            <w:tcW w:w="165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民治街道</w:t>
            </w:r>
          </w:p>
        </w:tc>
        <w:tc>
          <w:tcPr>
            <w:tcW w:w="210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6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43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31-11</w:t>
            </w:r>
          </w:p>
        </w:tc>
        <w:tc>
          <w:tcPr>
            <w:tcW w:w="218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zh-CN" w:eastAsia="zh-CN" w:bidi="ar-SA"/>
              </w:rPr>
              <w:t>樟坑二区、华侨新村危险挡墙治理工程</w:t>
            </w:r>
          </w:p>
        </w:tc>
        <w:tc>
          <w:tcPr>
            <w:tcW w:w="208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bidi="ar-SA"/>
              </w:rPr>
              <w:t>完工。</w:t>
            </w:r>
          </w:p>
        </w:tc>
        <w:tc>
          <w:tcPr>
            <w:tcW w:w="2363" w:type="dxa"/>
            <w:noWrap w:val="0"/>
            <w:vAlign w:val="center"/>
          </w:tcPr>
          <w:p>
            <w:pPr>
              <w:keepNext w:val="0"/>
              <w:keepLines w:val="0"/>
              <w:pageBreakBefore w:val="0"/>
              <w:kinsoku/>
              <w:wordWrap/>
              <w:overflowPunct/>
              <w:topLinePunct w:val="0"/>
              <w:autoSpaceDE/>
              <w:autoSpaceDN/>
              <w:bidi w:val="0"/>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进场施工，完成工程量50%。</w:t>
            </w:r>
          </w:p>
        </w:tc>
        <w:tc>
          <w:tcPr>
            <w:tcW w:w="4490" w:type="dxa"/>
            <w:noWrap w:val="0"/>
            <w:vAlign w:val="center"/>
          </w:tcPr>
          <w:p>
            <w:pP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已完成施工进度65%</w:t>
            </w:r>
          </w:p>
        </w:tc>
        <w:tc>
          <w:tcPr>
            <w:tcW w:w="183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FF0000"/>
                <w:kern w:val="0"/>
                <w:sz w:val="21"/>
                <w:szCs w:val="21"/>
                <w:highlight w:val="none"/>
                <w:lang w:val="zh-CN" w:eastAsia="zh-CN"/>
              </w:rPr>
            </w:pPr>
            <w:r>
              <w:rPr>
                <w:rFonts w:hint="eastAsia" w:ascii="仿宋_GB2312" w:hAnsi="仿宋_GB2312" w:eastAsia="仿宋_GB2312" w:cs="仿宋_GB2312"/>
                <w:color w:val="auto"/>
                <w:kern w:val="0"/>
                <w:sz w:val="21"/>
                <w:szCs w:val="21"/>
                <w:highlight w:val="none"/>
                <w:lang w:val="zh-CN" w:eastAsia="zh-CN" w:bidi="ar-SA"/>
              </w:rPr>
              <w:t>下一步工作计划：</w:t>
            </w:r>
            <w:r>
              <w:rPr>
                <w:rFonts w:hint="eastAsia" w:ascii="仿宋_GB2312" w:hAnsi="仿宋_GB2312" w:eastAsia="仿宋_GB2312" w:cs="仿宋_GB2312"/>
                <w:color w:val="auto"/>
                <w:kern w:val="0"/>
                <w:sz w:val="21"/>
                <w:szCs w:val="21"/>
                <w:highlight w:val="none"/>
                <w:lang w:val="zh-CN" w:eastAsia="zh-CN"/>
              </w:rPr>
              <w:t>按时间节点推进项目进展。</w:t>
            </w:r>
          </w:p>
        </w:tc>
        <w:tc>
          <w:tcPr>
            <w:tcW w:w="183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val="0"/>
                <w:bCs w:val="0"/>
                <w:color w:val="92D050"/>
                <w:kern w:val="2"/>
                <w:sz w:val="72"/>
                <w:szCs w:val="72"/>
                <w:lang w:val="en-US" w:eastAsia="zh-CN" w:bidi="ar-SA"/>
              </w:rPr>
              <w:t>▋</w:t>
            </w:r>
          </w:p>
        </w:tc>
        <w:tc>
          <w:tcPr>
            <w:tcW w:w="165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民治街道</w:t>
            </w:r>
          </w:p>
        </w:tc>
        <w:tc>
          <w:tcPr>
            <w:tcW w:w="2102"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60"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43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32-4</w:t>
            </w:r>
          </w:p>
        </w:tc>
        <w:tc>
          <w:tcPr>
            <w:tcW w:w="218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zh-CN" w:eastAsia="zh-CN"/>
              </w:rPr>
              <w:t>民治街道居家安全知识“云竞赛”活动</w:t>
            </w:r>
          </w:p>
        </w:tc>
        <w:tc>
          <w:tcPr>
            <w:tcW w:w="2088"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居家安全知识宣传全覆盖辖区居民70万人，切实提升安全防范意识和能力。</w:t>
            </w:r>
          </w:p>
        </w:tc>
        <w:tc>
          <w:tcPr>
            <w:tcW w:w="2363" w:type="dxa"/>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autoSpaceDE/>
              <w:autoSpaceDN/>
              <w:bidi w:val="0"/>
              <w:spacing w:before="0" w:beforeAutospacing="0" w:after="0" w:afterAutospacing="0" w:line="300" w:lineRule="exact"/>
              <w:ind w:left="0" w:right="0" w:firstLine="0"/>
              <w:jc w:val="both"/>
              <w:textAlignment w:val="auto"/>
              <w:rPr>
                <w:rFonts w:hint="eastAsia" w:ascii="仿宋_GB2312" w:hAnsi="仿宋_GB2312" w:eastAsia="仿宋_GB2312" w:cs="仿宋_GB2312"/>
                <w:color w:val="FF0000"/>
                <w:kern w:val="0"/>
                <w:sz w:val="21"/>
                <w:szCs w:val="21"/>
                <w:highlight w:val="none"/>
                <w:lang w:val="en" w:eastAsia="zh-CN" w:bidi="ar-SA"/>
              </w:rPr>
            </w:pPr>
            <w:r>
              <w:rPr>
                <w:rFonts w:hint="eastAsia" w:ascii="仿宋_GB2312" w:hAnsi="仿宋_GB2312" w:eastAsia="仿宋_GB2312" w:cs="仿宋_GB2312"/>
                <w:color w:val="auto"/>
                <w:kern w:val="0"/>
                <w:sz w:val="21"/>
                <w:szCs w:val="21"/>
                <w:highlight w:val="none"/>
                <w:lang w:val="en" w:eastAsia="zh-CN"/>
              </w:rPr>
              <w:t>制定《民治街道202</w:t>
            </w:r>
            <w:r>
              <w:rPr>
                <w:rFonts w:hint="eastAsia" w:ascii="仿宋_GB2312" w:hAnsi="仿宋_GB2312" w:eastAsia="仿宋_GB2312" w:cs="仿宋_GB2312"/>
                <w:color w:val="auto"/>
                <w:kern w:val="0"/>
                <w:sz w:val="21"/>
                <w:szCs w:val="21"/>
                <w:highlight w:val="none"/>
                <w:lang w:val="en-US" w:eastAsia="zh-CN"/>
              </w:rPr>
              <w:t>3</w:t>
            </w:r>
            <w:r>
              <w:rPr>
                <w:rFonts w:hint="eastAsia" w:ascii="仿宋_GB2312" w:hAnsi="仿宋_GB2312" w:eastAsia="仿宋_GB2312" w:cs="仿宋_GB2312"/>
                <w:color w:val="auto"/>
                <w:kern w:val="0"/>
                <w:sz w:val="21"/>
                <w:szCs w:val="21"/>
                <w:highlight w:val="none"/>
                <w:lang w:val="en" w:eastAsia="zh-CN"/>
              </w:rPr>
              <w:t>年家庭式居家安全知识竞赛活动方案》，明确各社区工作任务，并督促指导社区开展居家安全宣传工作。</w:t>
            </w:r>
          </w:p>
        </w:tc>
        <w:tc>
          <w:tcPr>
            <w:tcW w:w="4490" w:type="dxa"/>
            <w:noWrap w:val="0"/>
            <w:vAlign w:val="center"/>
          </w:tcPr>
          <w:p>
            <w:pPr>
              <w:rPr>
                <w:rFonts w:hint="eastAsia" w:ascii="仿宋_GB2312" w:hAnsi="仿宋_GB2312" w:eastAsia="仿宋_GB2312" w:cs="仿宋_GB2312"/>
                <w:color w:val="auto"/>
                <w:kern w:val="0"/>
                <w:sz w:val="21"/>
                <w:szCs w:val="21"/>
                <w:highlight w:val="none"/>
                <w:lang w:val="zh-CN" w:eastAsia="zh-CN" w:bidi="ar-SA"/>
              </w:rPr>
            </w:pPr>
            <w:r>
              <w:rPr>
                <w:rFonts w:hint="eastAsia" w:ascii="仿宋_GB2312" w:hAnsi="仿宋_GB2312" w:eastAsia="仿宋_GB2312" w:cs="仿宋_GB2312"/>
                <w:color w:val="auto"/>
                <w:kern w:val="0"/>
                <w:sz w:val="21"/>
                <w:szCs w:val="21"/>
                <w:highlight w:val="none"/>
                <w:lang w:val="zh-CN" w:eastAsia="zh-CN" w:bidi="ar-SA"/>
              </w:rPr>
              <w:t>民治街道通过“线上+线下”、“媒体+阵地”等多维度宣传模式，全面铺开民治街道家庭式居家安全知识“云竞赛”活动，</w:t>
            </w:r>
            <w:r>
              <w:rPr>
                <w:rFonts w:hint="eastAsia" w:ascii="仿宋_GB2312" w:hAnsi="仿宋_GB2312" w:eastAsia="仿宋_GB2312" w:cs="仿宋_GB2312"/>
                <w:color w:val="auto"/>
                <w:kern w:val="0"/>
                <w:sz w:val="21"/>
                <w:szCs w:val="21"/>
                <w:highlight w:val="none"/>
                <w:lang w:val="en-US" w:eastAsia="zh-CN" w:bidi="ar-SA"/>
              </w:rPr>
              <w:t>强化居家宣传工作效能，</w:t>
            </w:r>
            <w:r>
              <w:rPr>
                <w:rFonts w:hint="eastAsia" w:ascii="仿宋_GB2312" w:hAnsi="仿宋_GB2312" w:eastAsia="仿宋_GB2312" w:cs="仿宋_GB2312"/>
                <w:color w:val="auto"/>
                <w:kern w:val="0"/>
                <w:sz w:val="21"/>
                <w:szCs w:val="21"/>
                <w:highlight w:val="none"/>
                <w:lang w:val="zh-CN" w:eastAsia="zh-CN" w:bidi="ar-SA"/>
              </w:rPr>
              <w:t>有效提升辖区群众居家安全意识和防范技能，为安全生产高质量发展营造了良好的氛围；充分发挥新媒体宣传形式活泼、覆盖面广、高效快捷的优势，依托微信公众号打造居家安全宣传阵地，连续</w:t>
            </w:r>
            <w:r>
              <w:rPr>
                <w:rFonts w:hint="eastAsia" w:ascii="仿宋_GB2312" w:hAnsi="仿宋_GB2312" w:eastAsia="仿宋_GB2312" w:cs="仿宋_GB2312"/>
                <w:color w:val="auto"/>
                <w:kern w:val="0"/>
                <w:sz w:val="21"/>
                <w:szCs w:val="21"/>
                <w:highlight w:val="none"/>
                <w:lang w:val="en-US" w:eastAsia="zh-CN" w:bidi="ar-SA"/>
              </w:rPr>
              <w:t>30</w:t>
            </w:r>
            <w:r>
              <w:rPr>
                <w:rFonts w:hint="eastAsia" w:ascii="仿宋_GB2312" w:hAnsi="仿宋_GB2312" w:eastAsia="仿宋_GB2312" w:cs="仿宋_GB2312"/>
                <w:color w:val="auto"/>
                <w:kern w:val="0"/>
                <w:sz w:val="21"/>
                <w:szCs w:val="21"/>
                <w:highlight w:val="none"/>
                <w:lang w:val="zh-CN" w:eastAsia="zh-CN" w:bidi="ar-SA"/>
              </w:rPr>
              <w:t>天投放两条居家安全的公益广告，推送</w:t>
            </w:r>
            <w:r>
              <w:rPr>
                <w:rFonts w:hint="eastAsia" w:ascii="仿宋_GB2312" w:hAnsi="仿宋_GB2312" w:eastAsia="仿宋_GB2312" w:cs="仿宋_GB2312"/>
                <w:color w:val="auto"/>
                <w:kern w:val="0"/>
                <w:sz w:val="21"/>
                <w:szCs w:val="21"/>
                <w:highlight w:val="none"/>
                <w:lang w:val="en-US" w:eastAsia="zh-CN" w:bidi="ar-SA"/>
              </w:rPr>
              <w:t>3篇新媒体推文、8张宣传海报，</w:t>
            </w:r>
            <w:r>
              <w:rPr>
                <w:rFonts w:hint="eastAsia" w:ascii="仿宋_GB2312" w:hAnsi="仿宋_GB2312" w:eastAsia="仿宋_GB2312" w:cs="仿宋_GB2312"/>
                <w:color w:val="auto"/>
                <w:kern w:val="0"/>
                <w:sz w:val="21"/>
                <w:szCs w:val="21"/>
                <w:highlight w:val="none"/>
                <w:lang w:val="zh-CN" w:eastAsia="zh-CN" w:bidi="ar-SA"/>
              </w:rPr>
              <w:t>新颖的形式吸引了居民群众广泛参与，活动参与人数达</w:t>
            </w:r>
            <w:r>
              <w:rPr>
                <w:rFonts w:hint="eastAsia" w:ascii="仿宋_GB2312" w:hAnsi="仿宋_GB2312" w:eastAsia="仿宋_GB2312" w:cs="仿宋_GB2312"/>
                <w:color w:val="auto"/>
                <w:kern w:val="0"/>
                <w:sz w:val="21"/>
                <w:szCs w:val="21"/>
                <w:highlight w:val="none"/>
                <w:lang w:val="en-US" w:eastAsia="zh-CN" w:bidi="ar-SA"/>
              </w:rPr>
              <w:t>20</w:t>
            </w:r>
            <w:r>
              <w:rPr>
                <w:rFonts w:hint="eastAsia" w:ascii="仿宋_GB2312" w:hAnsi="仿宋_GB2312" w:eastAsia="仿宋_GB2312" w:cs="仿宋_GB2312"/>
                <w:color w:val="auto"/>
                <w:kern w:val="0"/>
                <w:sz w:val="21"/>
                <w:szCs w:val="21"/>
                <w:highlight w:val="none"/>
                <w:lang w:val="zh-CN" w:eastAsia="zh-CN" w:bidi="ar-SA"/>
              </w:rPr>
              <w:t>余万人次。</w:t>
            </w:r>
            <w:r>
              <w:rPr>
                <w:rFonts w:hint="eastAsia" w:ascii="仿宋_GB2312" w:hAnsi="仿宋_GB2312" w:eastAsia="仿宋_GB2312" w:cs="仿宋_GB2312"/>
                <w:color w:val="auto"/>
                <w:kern w:val="0"/>
                <w:sz w:val="21"/>
                <w:szCs w:val="21"/>
                <w:highlight w:val="none"/>
                <w:lang w:val="en-US" w:eastAsia="zh-CN" w:bidi="ar-SA"/>
              </w:rPr>
              <w:t>还利用</w:t>
            </w:r>
            <w:r>
              <w:rPr>
                <w:rFonts w:hint="eastAsia" w:ascii="仿宋_GB2312" w:hAnsi="仿宋_GB2312" w:eastAsia="仿宋_GB2312" w:cs="仿宋_GB2312"/>
                <w:color w:val="auto"/>
                <w:kern w:val="0"/>
                <w:sz w:val="21"/>
                <w:szCs w:val="21"/>
                <w:highlight w:val="none"/>
                <w:lang w:val="zh-CN" w:eastAsia="zh-CN" w:bidi="ar-SA"/>
              </w:rPr>
              <w:t>各类塔式微信群、QQ群、朋友圈等媒介同步开展线上宣传，同时结合“安全生产月”、“安全义工”、“居家安全随访”等活动，进一步扩大活动覆盖面和参与面，</w:t>
            </w:r>
            <w:r>
              <w:rPr>
                <w:rFonts w:hint="default" w:ascii="仿宋_GB2312" w:hAnsi="仿宋_GB2312" w:eastAsia="仿宋_GB2312" w:cs="仿宋_GB2312"/>
                <w:color w:val="auto"/>
                <w:kern w:val="0"/>
                <w:sz w:val="21"/>
                <w:szCs w:val="21"/>
                <w:highlight w:val="none"/>
                <w:lang w:val="zh-CN" w:eastAsia="zh-CN" w:bidi="ar-SA"/>
              </w:rPr>
              <w:t>有效实现了</w:t>
            </w:r>
            <w:r>
              <w:rPr>
                <w:rFonts w:hint="eastAsia" w:ascii="仿宋_GB2312" w:hAnsi="仿宋_GB2312" w:eastAsia="仿宋_GB2312" w:cs="仿宋_GB2312"/>
                <w:color w:val="auto"/>
                <w:kern w:val="0"/>
                <w:sz w:val="21"/>
                <w:szCs w:val="21"/>
                <w:highlight w:val="none"/>
                <w:lang w:val="zh-CN" w:eastAsia="zh-CN" w:bidi="ar-SA"/>
              </w:rPr>
              <w:t>居家安全</w:t>
            </w:r>
            <w:r>
              <w:rPr>
                <w:rFonts w:hint="default" w:ascii="仿宋_GB2312" w:hAnsi="仿宋_GB2312" w:eastAsia="仿宋_GB2312" w:cs="仿宋_GB2312"/>
                <w:color w:val="auto"/>
                <w:kern w:val="0"/>
                <w:sz w:val="21"/>
                <w:szCs w:val="21"/>
                <w:highlight w:val="none"/>
                <w:lang w:val="zh-CN" w:eastAsia="zh-CN" w:bidi="ar-SA"/>
              </w:rPr>
              <w:t>宣传教育线上与线下全覆盖。</w:t>
            </w:r>
          </w:p>
        </w:tc>
        <w:tc>
          <w:tcPr>
            <w:tcW w:w="183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left"/>
              <w:textAlignment w:val="auto"/>
              <w:outlineLvl w:val="9"/>
              <w:rPr>
                <w:rFonts w:hint="eastAsia" w:ascii="仿宋_GB2312" w:hAnsi="仿宋_GB2312" w:eastAsia="仿宋_GB2312" w:cs="仿宋_GB2312"/>
                <w:color w:val="FF0000"/>
                <w:kern w:val="0"/>
                <w:sz w:val="21"/>
                <w:szCs w:val="21"/>
                <w:highlight w:val="none"/>
                <w:lang w:val="zh-CN" w:eastAsia="zh-CN"/>
              </w:rPr>
            </w:pPr>
            <w:r>
              <w:rPr>
                <w:rFonts w:hint="eastAsia" w:ascii="仿宋_GB2312" w:hAnsi="仿宋_GB2312" w:eastAsia="仿宋_GB2312" w:cs="仿宋_GB2312"/>
                <w:color w:val="auto"/>
                <w:kern w:val="0"/>
                <w:sz w:val="21"/>
                <w:szCs w:val="21"/>
                <w:highlight w:val="none"/>
                <w:lang w:val="zh-CN" w:eastAsia="zh-CN" w:bidi="ar-SA"/>
              </w:rPr>
              <w:t>下一步工作计划：为深入推进居家安全宣教工作向纵深开展，民治街道将组织安全服务公司持续深入社区开展居家安全随访调查工作，进一步普及居民群众居家安全知识。</w:t>
            </w:r>
          </w:p>
        </w:tc>
        <w:tc>
          <w:tcPr>
            <w:tcW w:w="183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zh-CN" w:eastAsia="zh-CN"/>
              </w:rPr>
            </w:pPr>
            <w:r>
              <w:rPr>
                <w:rFonts w:hint="eastAsia" w:ascii="仿宋_GB2312" w:hAnsi="仿宋_GB2312" w:eastAsia="仿宋_GB2312" w:cs="仿宋_GB2312"/>
                <w:b w:val="0"/>
                <w:bCs w:val="0"/>
                <w:color w:val="92D050"/>
                <w:kern w:val="2"/>
                <w:sz w:val="72"/>
                <w:szCs w:val="72"/>
                <w:lang w:val="en-US" w:eastAsia="zh-CN" w:bidi="ar-SA"/>
              </w:rPr>
              <w:t>▋</w:t>
            </w:r>
          </w:p>
        </w:tc>
        <w:tc>
          <w:tcPr>
            <w:tcW w:w="165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rPr>
              <w:t>民治街道</w:t>
            </w:r>
          </w:p>
        </w:tc>
        <w:tc>
          <w:tcPr>
            <w:tcW w:w="2102"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60" w:type="dxa"/>
            <w:vMerge w:val="continue"/>
            <w:shd w:val="clear" w:color="auto" w:fill="auto"/>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43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32-5</w:t>
            </w:r>
          </w:p>
        </w:tc>
        <w:tc>
          <w:tcPr>
            <w:tcW w:w="2185"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zh-CN" w:eastAsia="zh-CN"/>
              </w:rPr>
              <w:t>民治街道安全第一课</w:t>
            </w:r>
          </w:p>
        </w:tc>
        <w:tc>
          <w:tcPr>
            <w:tcW w:w="208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1.分别对辖区工业园区、写字楼宇、大型商超、“三小”餐饮场所、建筑施工、出租屋楼栋、社区网格员，处置员等重点行业领域，开展安全教育专题培训。</w:t>
            </w:r>
          </w:p>
          <w:p>
            <w:pPr>
              <w:keepNext w:val="0"/>
              <w:keepLines w:val="0"/>
              <w:pageBreakBefore w:val="0"/>
              <w:kinsoku/>
              <w:wordWrap/>
              <w:overflowPunct/>
              <w:topLinePunct w:val="0"/>
              <w:autoSpaceDE/>
              <w:autoSpaceDN/>
              <w:bidi w:val="0"/>
              <w:adjustRightInd/>
              <w:snapToGrid/>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2.培训人数达到10000人以上。</w:t>
            </w:r>
          </w:p>
        </w:tc>
        <w:tc>
          <w:tcPr>
            <w:tcW w:w="2363" w:type="dxa"/>
            <w:noWrap w:val="0"/>
            <w:vAlign w:val="center"/>
          </w:tcPr>
          <w:p>
            <w:pPr>
              <w:keepNext w:val="0"/>
              <w:keepLines w:val="0"/>
              <w:pageBreakBefore w:val="0"/>
              <w:kinsoku/>
              <w:wordWrap/>
              <w:overflowPunct/>
              <w:topLinePunct w:val="0"/>
              <w:autoSpaceDE/>
              <w:autoSpaceDN/>
              <w:bidi w:val="0"/>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已完成</w:t>
            </w:r>
          </w:p>
        </w:tc>
        <w:tc>
          <w:tcPr>
            <w:tcW w:w="4490" w:type="dxa"/>
            <w:noWrap w:val="0"/>
            <w:vAlign w:val="center"/>
          </w:tcPr>
          <w:p>
            <w:pPr>
              <w:rPr>
                <w:rFonts w:hint="eastAsia" w:ascii="仿宋_GB2312" w:hAnsi="仿宋_GB2312" w:eastAsia="仿宋_GB2312" w:cs="仿宋_GB2312"/>
                <w:color w:val="auto"/>
                <w:kern w:val="0"/>
                <w:sz w:val="21"/>
                <w:szCs w:val="21"/>
                <w:highlight w:val="none"/>
                <w:lang w:val="zh-CN" w:eastAsia="zh-CN" w:bidi="ar-SA"/>
              </w:rPr>
            </w:pPr>
          </w:p>
        </w:tc>
        <w:tc>
          <w:tcPr>
            <w:tcW w:w="183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FF0000"/>
                <w:kern w:val="0"/>
                <w:sz w:val="21"/>
                <w:szCs w:val="21"/>
                <w:highlight w:val="none"/>
                <w:lang w:val="zh-CN" w:eastAsia="zh-CN"/>
              </w:rPr>
            </w:pPr>
          </w:p>
        </w:tc>
        <w:tc>
          <w:tcPr>
            <w:tcW w:w="183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zh-CN" w:eastAsia="zh-CN"/>
              </w:rPr>
            </w:pPr>
            <w:r>
              <w:rPr>
                <w:rFonts w:hint="eastAsia" w:ascii="仿宋_GB2312" w:hAnsi="仿宋_GB2312" w:eastAsia="仿宋_GB2312" w:cs="仿宋_GB2312"/>
                <w:b w:val="0"/>
                <w:bCs w:val="0"/>
                <w:color w:val="92D050"/>
                <w:kern w:val="2"/>
                <w:sz w:val="72"/>
                <w:szCs w:val="72"/>
                <w:lang w:val="en-US" w:eastAsia="zh-CN" w:bidi="ar-SA"/>
              </w:rPr>
              <w:t>▋</w:t>
            </w:r>
          </w:p>
        </w:tc>
        <w:tc>
          <w:tcPr>
            <w:tcW w:w="1650"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zh-CN" w:eastAsia="zh-CN"/>
              </w:rPr>
              <w:t>民治街道</w:t>
            </w:r>
          </w:p>
        </w:tc>
        <w:tc>
          <w:tcPr>
            <w:tcW w:w="2102" w:type="dxa"/>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60" w:type="dxa"/>
            <w:noWrap w:val="0"/>
            <w:vAlign w:val="center"/>
          </w:tcPr>
          <w:p>
            <w:pPr>
              <w:keepNext w:val="0"/>
              <w:keepLines w:val="0"/>
              <w:pageBreakBefore w:val="0"/>
              <w:kinsoku/>
              <w:wordWrap/>
              <w:overflowPunct/>
              <w:topLinePunct w:val="0"/>
              <w:autoSpaceDE/>
              <w:autoSpaceDN/>
              <w:bidi w:val="0"/>
              <w:spacing w:line="300" w:lineRule="exact"/>
              <w:ind w:left="0" w:leftChars="0"/>
              <w:jc w:val="both"/>
              <w:textAlignment w:val="auto"/>
              <w:outlineLvl w:val="9"/>
              <w:rPr>
                <w:rFonts w:hint="default" w:ascii="仿宋_GB2312" w:hAnsi="仿宋_GB2312" w:eastAsia="仿宋_GB2312" w:cs="仿宋_GB2312"/>
                <w:color w:val="auto"/>
                <w:kern w:val="0"/>
                <w:sz w:val="21"/>
                <w:szCs w:val="21"/>
                <w:highlight w:val="none"/>
                <w:lang w:val="en-US" w:eastAsia="zh-CN" w:bidi="ar-SA"/>
              </w:rPr>
            </w:pPr>
            <w:r>
              <w:rPr>
                <w:rFonts w:hint="default" w:ascii="仿宋_GB2312" w:hAnsi="仿宋_GB2312" w:eastAsia="仿宋_GB2312" w:cs="仿宋_GB2312"/>
                <w:b/>
                <w:bCs/>
                <w:color w:val="auto"/>
                <w:kern w:val="0"/>
                <w:sz w:val="21"/>
                <w:szCs w:val="21"/>
                <w:highlight w:val="none"/>
                <w:lang w:val="en-US" w:eastAsia="zh-CN" w:bidi="ar-SA"/>
              </w:rPr>
              <w:t>广泛实施社区民生微实事：</w:t>
            </w:r>
            <w:r>
              <w:rPr>
                <w:rFonts w:hint="default" w:ascii="仿宋_GB2312" w:hAnsi="仿宋_GB2312" w:eastAsia="仿宋_GB2312" w:cs="仿宋_GB2312"/>
                <w:color w:val="auto"/>
                <w:kern w:val="0"/>
                <w:sz w:val="21"/>
                <w:szCs w:val="21"/>
                <w:highlight w:val="none"/>
                <w:lang w:val="en-US" w:eastAsia="zh-CN" w:bidi="ar-SA"/>
              </w:rPr>
              <w:t>202</w:t>
            </w:r>
            <w:r>
              <w:rPr>
                <w:rFonts w:hint="eastAsia" w:ascii="仿宋_GB2312" w:hAnsi="仿宋_GB2312" w:eastAsia="仿宋_GB2312" w:cs="仿宋_GB2312"/>
                <w:color w:val="auto"/>
                <w:kern w:val="0"/>
                <w:sz w:val="21"/>
                <w:szCs w:val="21"/>
                <w:highlight w:val="none"/>
                <w:lang w:val="en-US" w:eastAsia="zh-CN" w:bidi="ar-SA"/>
              </w:rPr>
              <w:t>3</w:t>
            </w:r>
            <w:r>
              <w:rPr>
                <w:rFonts w:hint="default" w:ascii="仿宋_GB2312" w:hAnsi="仿宋_GB2312" w:eastAsia="仿宋_GB2312" w:cs="仿宋_GB2312"/>
                <w:color w:val="auto"/>
                <w:kern w:val="0"/>
                <w:sz w:val="21"/>
                <w:szCs w:val="21"/>
                <w:highlight w:val="none"/>
                <w:lang w:val="en-US" w:eastAsia="zh-CN" w:bidi="ar-SA"/>
              </w:rPr>
              <w:t>年审核完成各类社区民生微实事项目800个。</w:t>
            </w:r>
          </w:p>
        </w:tc>
        <w:tc>
          <w:tcPr>
            <w:tcW w:w="1515" w:type="dxa"/>
            <w:gridSpan w:val="2"/>
            <w:noWrap w:val="0"/>
            <w:vAlign w:val="center"/>
          </w:tcPr>
          <w:p>
            <w:pPr>
              <w:keepNext w:val="0"/>
              <w:keepLines w:val="0"/>
              <w:pageBreakBefore w:val="0"/>
              <w:widowControl/>
              <w:kinsoku/>
              <w:wordWrap/>
              <w:overflowPunct/>
              <w:topLinePunct w:val="0"/>
              <w:autoSpaceDE/>
              <w:autoSpaceDN/>
              <w:bidi w:val="0"/>
              <w:spacing w:line="300" w:lineRule="exact"/>
              <w:ind w:left="0" w:leftChars="0"/>
              <w:jc w:val="center"/>
              <w:textAlignment w:val="auto"/>
              <w:outlineLvl w:val="9"/>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40</w:t>
            </w:r>
          </w:p>
        </w:tc>
        <w:tc>
          <w:tcPr>
            <w:tcW w:w="2185" w:type="dxa"/>
            <w:noWrap w:val="0"/>
            <w:vAlign w:val="center"/>
          </w:tcPr>
          <w:p>
            <w:pPr>
              <w:keepNext w:val="0"/>
              <w:keepLines w:val="0"/>
              <w:pageBreakBefore w:val="0"/>
              <w:kinsoku/>
              <w:wordWrap/>
              <w:overflowPunct/>
              <w:topLinePunct w:val="0"/>
              <w:autoSpaceDE/>
              <w:autoSpaceDN/>
              <w:bidi w:val="0"/>
              <w:spacing w:line="300" w:lineRule="exact"/>
              <w:ind w:left="0" w:leftChars="0"/>
              <w:jc w:val="both"/>
              <w:textAlignment w:val="auto"/>
              <w:outlineLvl w:val="9"/>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社区民生微实事审核项目</w:t>
            </w:r>
          </w:p>
        </w:tc>
        <w:tc>
          <w:tcPr>
            <w:tcW w:w="2088" w:type="dxa"/>
            <w:noWrap w:val="0"/>
            <w:vAlign w:val="center"/>
          </w:tcPr>
          <w:p>
            <w:pPr>
              <w:keepNext w:val="0"/>
              <w:keepLines w:val="0"/>
              <w:pageBreakBefore w:val="0"/>
              <w:kinsoku/>
              <w:wordWrap/>
              <w:overflowPunct/>
              <w:topLinePunct w:val="0"/>
              <w:autoSpaceDE/>
              <w:autoSpaceDN/>
              <w:bidi w:val="0"/>
              <w:spacing w:line="300" w:lineRule="exact"/>
              <w:ind w:left="0" w:leftChars="0"/>
              <w:jc w:val="both"/>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2023年审核完成各类社区民生微实事项目800个。通过群众点菜，政府买单的形式，实施一批群众急盼解决的“小事、急事、难事”。</w:t>
            </w:r>
          </w:p>
        </w:tc>
        <w:tc>
          <w:tcPr>
            <w:tcW w:w="2363" w:type="dxa"/>
            <w:noWrap w:val="0"/>
            <w:vAlign w:val="center"/>
          </w:tcPr>
          <w:p>
            <w:pPr>
              <w:pStyle w:val="2"/>
              <w:keepNext w:val="0"/>
              <w:keepLines w:val="0"/>
              <w:pageBreakBefore w:val="0"/>
              <w:numPr>
                <w:ilvl w:val="0"/>
                <w:numId w:val="0"/>
              </w:numPr>
              <w:kinsoku/>
              <w:wordWrap/>
              <w:overflowPunct/>
              <w:topLinePunct w:val="0"/>
              <w:autoSpaceDE/>
              <w:autoSpaceDN/>
              <w:bidi w:val="0"/>
              <w:adjustRightInd/>
              <w:snapToGrid w:val="0"/>
              <w:spacing w:after="0" w:afterLines="0" w:line="300" w:lineRule="exact"/>
              <w:ind w:leftChars="0" w:right="0" w:rightChars="0"/>
              <w:jc w:val="both"/>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1.召开区级民生微实事专责领导小组工作会议，总结2022年工作，部署2023年相关工作。</w:t>
            </w:r>
          </w:p>
          <w:p>
            <w:pPr>
              <w:pStyle w:val="2"/>
              <w:keepNext w:val="0"/>
              <w:keepLines w:val="0"/>
              <w:pageBreakBefore w:val="0"/>
              <w:numPr>
                <w:ilvl w:val="0"/>
                <w:numId w:val="0"/>
              </w:numPr>
              <w:kinsoku/>
              <w:wordWrap/>
              <w:overflowPunct/>
              <w:topLinePunct w:val="0"/>
              <w:autoSpaceDE/>
              <w:autoSpaceDN/>
              <w:bidi w:val="0"/>
              <w:adjustRightInd/>
              <w:snapToGrid w:val="0"/>
              <w:spacing w:after="0" w:afterLines="0" w:line="300" w:lineRule="exact"/>
              <w:ind w:leftChars="0" w:right="0" w:rightChars="0"/>
              <w:jc w:val="both"/>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2.修订并印发《龙华区社区民生微实事工作指导意见》《龙华区社区民生微实事实地观察员项目实施方案》。</w:t>
            </w:r>
          </w:p>
          <w:p>
            <w:pPr>
              <w:keepNext w:val="0"/>
              <w:keepLines w:val="0"/>
              <w:pageBreakBefore w:val="0"/>
              <w:widowControl w:val="0"/>
              <w:numPr>
                <w:ilvl w:val="0"/>
                <w:numId w:val="0"/>
              </w:numPr>
              <w:kinsoku/>
              <w:wordWrap/>
              <w:overflowPunct/>
              <w:topLinePunct w:val="0"/>
              <w:autoSpaceDE/>
              <w:autoSpaceDN/>
              <w:bidi w:val="0"/>
              <w:adjustRightInd/>
              <w:snapToGrid w:val="0"/>
              <w:spacing w:after="0" w:afterLines="0" w:line="300" w:lineRule="exact"/>
              <w:ind w:left="0" w:leftChars="0" w:right="0" w:rightChars="0" w:firstLine="0" w:firstLineChars="0"/>
              <w:jc w:val="both"/>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3.开展项目抽查审核。</w:t>
            </w:r>
          </w:p>
        </w:tc>
        <w:tc>
          <w:tcPr>
            <w:tcW w:w="4490" w:type="dxa"/>
            <w:noWrap w:val="0"/>
            <w:vAlign w:val="center"/>
          </w:tcPr>
          <w:p>
            <w:pPr>
              <w:keepNext w:val="0"/>
              <w:keepLines w:val="0"/>
              <w:pageBreakBefore w:val="0"/>
              <w:kinsoku/>
              <w:wordWrap/>
              <w:overflowPunct/>
              <w:topLinePunct w:val="0"/>
              <w:autoSpaceDE/>
              <w:autoSpaceDN/>
              <w:bidi w:val="0"/>
              <w:spacing w:line="300" w:lineRule="exact"/>
              <w:ind w:left="0" w:leftChars="0"/>
              <w:jc w:val="left"/>
              <w:textAlignment w:val="auto"/>
              <w:outlineLvl w:val="9"/>
              <w:rPr>
                <w:rFonts w:hint="eastAsia" w:ascii="仿宋_GB2312" w:hAnsi="仿宋_GB2312" w:eastAsia="仿宋_GB2312" w:cs="仿宋_GB2312"/>
                <w:color w:val="auto"/>
                <w:kern w:val="0"/>
                <w:sz w:val="21"/>
                <w:szCs w:val="21"/>
                <w:highlight w:val="none"/>
                <w:lang w:val="en-US" w:eastAsia="zh-CN"/>
              </w:rPr>
            </w:pPr>
            <w:bookmarkStart w:id="0" w:name="_GoBack"/>
            <w:r>
              <w:rPr>
                <w:rFonts w:hint="eastAsia" w:ascii="仿宋_GB2312" w:hAnsi="仿宋_GB2312" w:eastAsia="仿宋_GB2312" w:cs="仿宋_GB2312"/>
                <w:color w:val="auto"/>
                <w:kern w:val="0"/>
                <w:sz w:val="21"/>
                <w:szCs w:val="21"/>
                <w:highlight w:val="none"/>
                <w:lang w:val="en" w:eastAsia="zh-CN"/>
              </w:rPr>
              <w:t>民治街道组织开展</w:t>
            </w:r>
            <w:r>
              <w:rPr>
                <w:rFonts w:hint="eastAsia" w:ascii="仿宋_GB2312" w:hAnsi="仿宋_GB2312" w:eastAsia="仿宋_GB2312" w:cs="仿宋_GB2312"/>
                <w:color w:val="auto"/>
                <w:kern w:val="0"/>
                <w:sz w:val="21"/>
                <w:szCs w:val="21"/>
                <w:highlight w:val="none"/>
                <w:lang w:val="en-US" w:eastAsia="zh-CN"/>
              </w:rPr>
              <w:t>2023年社区民生微实事需求调研，通过线上+线下的方式，共收集调查问卷4662份，形成了街道民微需求清单；截至6月30日，街道共组织召开四批社区民生微实事项目评审会，共审核项目386个，审批金额约3070万元。</w:t>
            </w:r>
            <w:bookmarkEnd w:id="0"/>
          </w:p>
        </w:tc>
        <w:tc>
          <w:tcPr>
            <w:tcW w:w="1830" w:type="dxa"/>
            <w:noWrap w:val="0"/>
            <w:vAlign w:val="center"/>
          </w:tcPr>
          <w:p>
            <w:pPr>
              <w:keepNext w:val="0"/>
              <w:keepLines w:val="0"/>
              <w:pageBreakBefore w:val="0"/>
              <w:kinsoku/>
              <w:wordWrap/>
              <w:overflowPunct/>
              <w:topLinePunct w:val="0"/>
              <w:autoSpaceDE/>
              <w:autoSpaceDN/>
              <w:bidi w:val="0"/>
              <w:spacing w:line="300" w:lineRule="exact"/>
              <w:ind w:left="0" w:leftChars="0"/>
              <w:jc w:val="center"/>
              <w:textAlignment w:val="auto"/>
              <w:outlineLvl w:val="9"/>
              <w:rPr>
                <w:rFonts w:hint="eastAsia" w:ascii="仿宋_GB2312" w:hAnsi="仿宋_GB2312" w:eastAsia="仿宋_GB2312" w:cs="仿宋_GB2312"/>
                <w:color w:val="FF0000"/>
                <w:kern w:val="0"/>
                <w:sz w:val="21"/>
                <w:szCs w:val="21"/>
                <w:highlight w:val="none"/>
                <w:lang w:val="zh-CN" w:eastAsia="zh-CN"/>
              </w:rPr>
            </w:pPr>
            <w:r>
              <w:rPr>
                <w:rFonts w:hint="eastAsia" w:ascii="仿宋_GB2312" w:hAnsi="仿宋_GB2312" w:eastAsia="仿宋_GB2312" w:cs="仿宋_GB2312"/>
                <w:color w:val="auto"/>
                <w:kern w:val="0"/>
                <w:sz w:val="21"/>
                <w:szCs w:val="21"/>
                <w:highlight w:val="none"/>
                <w:lang w:val="zh-CN" w:eastAsia="zh-CN"/>
              </w:rPr>
              <w:t>下一步工作计划：将充分民微观察员的作用，加强项目实施过程的监督指导，确保项目达到实效。</w:t>
            </w:r>
          </w:p>
        </w:tc>
        <w:tc>
          <w:tcPr>
            <w:tcW w:w="1830" w:type="dxa"/>
            <w:noWrap w:val="0"/>
            <w:vAlign w:val="center"/>
          </w:tcPr>
          <w:p>
            <w:pPr>
              <w:keepNext w:val="0"/>
              <w:keepLines w:val="0"/>
              <w:pageBreakBefore w:val="0"/>
              <w:kinsoku/>
              <w:wordWrap/>
              <w:overflowPunct/>
              <w:topLinePunct w:val="0"/>
              <w:autoSpaceDE/>
              <w:autoSpaceDN/>
              <w:bidi w:val="0"/>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b w:val="0"/>
                <w:bCs w:val="0"/>
                <w:color w:val="92D050"/>
                <w:kern w:val="2"/>
                <w:sz w:val="72"/>
                <w:szCs w:val="72"/>
                <w:lang w:val="en-US" w:eastAsia="zh-CN" w:bidi="ar-SA"/>
              </w:rPr>
              <w:t>▋</w:t>
            </w:r>
          </w:p>
        </w:tc>
        <w:tc>
          <w:tcPr>
            <w:tcW w:w="1650" w:type="dxa"/>
            <w:noWrap w:val="0"/>
            <w:vAlign w:val="center"/>
          </w:tcPr>
          <w:p>
            <w:pPr>
              <w:keepNext w:val="0"/>
              <w:keepLines w:val="0"/>
              <w:pageBreakBefore w:val="0"/>
              <w:kinsoku/>
              <w:wordWrap/>
              <w:overflowPunct/>
              <w:topLinePunct w:val="0"/>
              <w:autoSpaceDE/>
              <w:autoSpaceDN/>
              <w:bidi w:val="0"/>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区委组织部、民政局、各街道</w:t>
            </w:r>
          </w:p>
        </w:tc>
        <w:tc>
          <w:tcPr>
            <w:tcW w:w="2102" w:type="dxa"/>
            <w:noWrap w:val="0"/>
            <w:vAlign w:val="center"/>
          </w:tcPr>
          <w:p>
            <w:pPr>
              <w:keepNext w:val="0"/>
              <w:keepLines w:val="0"/>
              <w:pageBreakBefore w:val="0"/>
              <w:kinsoku/>
              <w:wordWrap/>
              <w:overflowPunct/>
              <w:topLinePunct w:val="0"/>
              <w:autoSpaceDE/>
              <w:autoSpaceDN/>
              <w:bidi w:val="0"/>
              <w:spacing w:line="300" w:lineRule="exact"/>
              <w:ind w:left="0" w:leftChars="0"/>
              <w:jc w:val="center"/>
              <w:textAlignment w:val="auto"/>
              <w:outlineLvl w:val="9"/>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w:t>
            </w:r>
          </w:p>
        </w:tc>
      </w:tr>
    </w:tbl>
    <w:p>
      <w:pPr>
        <w:jc w:val="center"/>
        <w:rPr>
          <w:rFonts w:hint="eastAsia" w:ascii="方正小标宋简体" w:hAnsi="方正小标宋简体" w:eastAsia="方正小标宋简体" w:cs="方正小标宋简体"/>
          <w:sz w:val="44"/>
          <w:szCs w:val="44"/>
          <w:lang w:eastAsia="zh-CN"/>
        </w:rPr>
      </w:pPr>
    </w:p>
    <w:sectPr>
      <w:pgSz w:w="23811" w:h="16838" w:orient="landscape"/>
      <w:pgMar w:top="1587" w:right="2098" w:bottom="1474" w:left="1984"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86660B"/>
    <w:rsid w:val="00216C87"/>
    <w:rsid w:val="010E3B77"/>
    <w:rsid w:val="01A86AA1"/>
    <w:rsid w:val="055B5914"/>
    <w:rsid w:val="06C5668C"/>
    <w:rsid w:val="074166DB"/>
    <w:rsid w:val="07755903"/>
    <w:rsid w:val="09426554"/>
    <w:rsid w:val="0B3A1FAC"/>
    <w:rsid w:val="0F034E42"/>
    <w:rsid w:val="0F4E13D7"/>
    <w:rsid w:val="11FD01D6"/>
    <w:rsid w:val="12E05053"/>
    <w:rsid w:val="140E0001"/>
    <w:rsid w:val="14231F17"/>
    <w:rsid w:val="14D00ACE"/>
    <w:rsid w:val="1686660B"/>
    <w:rsid w:val="1CB57CA7"/>
    <w:rsid w:val="1D0E6F59"/>
    <w:rsid w:val="1E1E1521"/>
    <w:rsid w:val="1EB50E77"/>
    <w:rsid w:val="1FBD5447"/>
    <w:rsid w:val="21DC5407"/>
    <w:rsid w:val="21EA046F"/>
    <w:rsid w:val="22A801F3"/>
    <w:rsid w:val="2BCE30DF"/>
    <w:rsid w:val="2CBB252B"/>
    <w:rsid w:val="2F18285C"/>
    <w:rsid w:val="2F232786"/>
    <w:rsid w:val="300D4785"/>
    <w:rsid w:val="313B191E"/>
    <w:rsid w:val="318130C6"/>
    <w:rsid w:val="32704A5C"/>
    <w:rsid w:val="34200103"/>
    <w:rsid w:val="36D478BC"/>
    <w:rsid w:val="37307EBD"/>
    <w:rsid w:val="3B6861F2"/>
    <w:rsid w:val="3BEB401C"/>
    <w:rsid w:val="3C063779"/>
    <w:rsid w:val="406B713F"/>
    <w:rsid w:val="416E7EAF"/>
    <w:rsid w:val="438F6B09"/>
    <w:rsid w:val="44EA0359"/>
    <w:rsid w:val="49C033D5"/>
    <w:rsid w:val="4D762C88"/>
    <w:rsid w:val="4E550C2F"/>
    <w:rsid w:val="534F05FC"/>
    <w:rsid w:val="54F63BF9"/>
    <w:rsid w:val="55883B2B"/>
    <w:rsid w:val="593205CC"/>
    <w:rsid w:val="5A661334"/>
    <w:rsid w:val="5C12317F"/>
    <w:rsid w:val="5C223779"/>
    <w:rsid w:val="5C432AF7"/>
    <w:rsid w:val="5C5553D6"/>
    <w:rsid w:val="62B0556B"/>
    <w:rsid w:val="63754DB0"/>
    <w:rsid w:val="65431FCE"/>
    <w:rsid w:val="67CD0F5D"/>
    <w:rsid w:val="68B3692A"/>
    <w:rsid w:val="68F97C34"/>
    <w:rsid w:val="695B21F9"/>
    <w:rsid w:val="6C392E13"/>
    <w:rsid w:val="6CB03ED3"/>
    <w:rsid w:val="6D7D1E5D"/>
    <w:rsid w:val="70431101"/>
    <w:rsid w:val="73040A46"/>
    <w:rsid w:val="73C5284E"/>
    <w:rsid w:val="74176557"/>
    <w:rsid w:val="746E1360"/>
    <w:rsid w:val="74E651D7"/>
    <w:rsid w:val="76D2073F"/>
    <w:rsid w:val="77035D31"/>
    <w:rsid w:val="79FD7803"/>
    <w:rsid w:val="7A997A46"/>
    <w:rsid w:val="7B0F3A72"/>
    <w:rsid w:val="7D400130"/>
    <w:rsid w:val="7D616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rPr>
      <w:rFonts w:ascii="Times New Roman" w:hAnsi="Times New Roman" w:eastAsia="宋体" w:cs="Times New Roman"/>
      <w:szCs w:val="24"/>
    </w:rPr>
  </w:style>
  <w:style w:type="table" w:styleId="4">
    <w:name w:val="Table Grid"/>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2023-04-04T08:40:00Z</dcterms:created>
  <dc:creator>LM_酱</dc:creator>
  <cp:lastModifiedBy>民治街道督查室</cp:lastModifiedBy>
  <cp:lastPrinted>2023-04-10T09:40:00Z</cp:lastPrinted>
  <dcterms:modified xsi:type="dcterms:W3CDTF">2023-06-30T02:34:43Z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086672D0498941EBB60C91982E3E8890</vt:lpwstr>
  </property>
</Properties>
</file>