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仿宋_GB2312" w:hAnsi="宋体" w:eastAsia="仿宋_GB2312" w:cs="Times New Roman"/>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附件</w:t>
      </w:r>
    </w:p>
    <w:p>
      <w:pPr>
        <w:adjustRightInd w:val="0"/>
        <w:snapToGrid w:val="0"/>
        <w:spacing w:line="700" w:lineRule="exact"/>
        <w:ind w:firstLine="0" w:firstLineChars="0"/>
        <w:jc w:val="center"/>
        <w:rPr>
          <w:rFonts w:hint="eastAsia" w:ascii="宋体" w:hAnsi="宋体" w:eastAsia="宋体" w:cs="Arial"/>
          <w:b/>
          <w:bCs/>
          <w:color w:val="auto"/>
          <w:sz w:val="44"/>
          <w:szCs w:val="44"/>
          <w:highlight w:val="none"/>
          <w:u w:val="none"/>
        </w:rPr>
      </w:pPr>
    </w:p>
    <w:p>
      <w:pPr>
        <w:pStyle w:val="5"/>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52"/>
          <w:highlight w:val="none"/>
          <w:lang w:val="en" w:eastAsia="zh-CN"/>
        </w:rPr>
      </w:pPr>
      <w:r>
        <w:rPr>
          <w:rFonts w:hint="eastAsia" w:ascii="方正小标宋简体" w:hAnsi="方正小标宋简体" w:eastAsia="方正小标宋简体" w:cs="方正小标宋简体"/>
          <w:color w:val="auto"/>
          <w:sz w:val="44"/>
          <w:szCs w:val="52"/>
          <w:highlight w:val="none"/>
          <w:lang w:val="en-US" w:eastAsia="zh-CN"/>
        </w:rPr>
        <w:t>2025年</w:t>
      </w:r>
      <w:r>
        <w:rPr>
          <w:rFonts w:hint="eastAsia" w:ascii="方正小标宋简体" w:hAnsi="方正小标宋简体" w:eastAsia="方正小标宋简体" w:cs="方正小标宋简体"/>
          <w:color w:val="auto"/>
          <w:sz w:val="44"/>
          <w:szCs w:val="52"/>
          <w:highlight w:val="none"/>
          <w:lang w:val="en" w:eastAsia="zh-CN"/>
        </w:rPr>
        <w:t>“</w:t>
      </w:r>
      <w:r>
        <w:rPr>
          <w:rFonts w:hint="eastAsia" w:ascii="方正小标宋简体" w:hAnsi="方正小标宋简体" w:eastAsia="方正小标宋简体" w:cs="方正小标宋简体"/>
          <w:color w:val="auto"/>
          <w:sz w:val="44"/>
          <w:szCs w:val="52"/>
          <w:highlight w:val="none"/>
          <w:lang w:val="en-US" w:eastAsia="zh-CN"/>
        </w:rPr>
        <w:t>国际通</w:t>
      </w:r>
      <w:r>
        <w:rPr>
          <w:rFonts w:hint="eastAsia" w:ascii="方正小标宋简体" w:hAnsi="方正小标宋简体" w:eastAsia="方正小标宋简体" w:cs="方正小标宋简体"/>
          <w:color w:val="auto"/>
          <w:sz w:val="44"/>
          <w:szCs w:val="52"/>
          <w:highlight w:val="none"/>
          <w:lang w:val="en" w:eastAsia="zh-CN"/>
        </w:rPr>
        <w:t>”高端医疗器械</w:t>
      </w:r>
      <w:r>
        <w:rPr>
          <w:rFonts w:hint="default" w:ascii="方正小标宋简体" w:hAnsi="方正小标宋简体" w:eastAsia="方正小标宋简体" w:cs="方正小标宋简体"/>
          <w:color w:val="auto"/>
          <w:sz w:val="44"/>
          <w:szCs w:val="52"/>
          <w:highlight w:val="none"/>
          <w:lang w:val="en" w:eastAsia="zh-CN"/>
        </w:rPr>
        <w:t>和新能源</w:t>
      </w:r>
      <w:r>
        <w:rPr>
          <w:rFonts w:hint="eastAsia" w:ascii="方正小标宋简体" w:hAnsi="方正小标宋简体" w:eastAsia="方正小标宋简体" w:cs="方正小标宋简体"/>
          <w:color w:val="auto"/>
          <w:sz w:val="44"/>
          <w:szCs w:val="52"/>
          <w:highlight w:val="none"/>
          <w:lang w:val="en" w:eastAsia="zh-CN"/>
        </w:rPr>
        <w:t>产业集群路演活动专项工作项目</w:t>
      </w:r>
    </w:p>
    <w:p>
      <w:pPr>
        <w:adjustRightInd/>
        <w:snapToGrid/>
        <w:spacing w:line="360" w:lineRule="auto"/>
        <w:ind w:left="420" w:leftChars="200" w:firstLine="0" w:firstLineChars="0"/>
        <w:jc w:val="center"/>
        <w:rPr>
          <w:rFonts w:ascii="宋体" w:hAnsi="宋体" w:eastAsia="宋体" w:cs="Arial"/>
          <w:b/>
          <w:bCs/>
          <w:color w:val="auto"/>
          <w:sz w:val="44"/>
          <w:szCs w:val="44"/>
          <w:highlight w:val="none"/>
          <w:u w:val="none"/>
        </w:rPr>
      </w:pPr>
    </w:p>
    <w:p>
      <w:pPr>
        <w:adjustRightInd/>
        <w:snapToGrid/>
        <w:spacing w:line="360" w:lineRule="auto"/>
        <w:ind w:left="420" w:leftChars="200" w:firstLine="0" w:firstLineChars="0"/>
        <w:jc w:val="center"/>
        <w:rPr>
          <w:rFonts w:ascii="黑体" w:hAnsi="宋体" w:eastAsia="黑体" w:cs="Times New Roman"/>
          <w:b/>
          <w:bCs/>
          <w:color w:val="auto"/>
          <w:sz w:val="32"/>
          <w:szCs w:val="32"/>
          <w:highlight w:val="none"/>
          <w:u w:val="none"/>
        </w:rPr>
      </w:pPr>
    </w:p>
    <w:p>
      <w:pPr>
        <w:adjustRightInd/>
        <w:snapToGrid/>
        <w:spacing w:line="360" w:lineRule="auto"/>
        <w:jc w:val="both"/>
        <w:rPr>
          <w:rFonts w:ascii="黑体" w:hAnsi="宋体" w:eastAsia="黑体" w:cs="Times New Roman"/>
          <w:b/>
          <w:bCs/>
          <w:color w:val="auto"/>
          <w:sz w:val="32"/>
          <w:szCs w:val="32"/>
          <w:highlight w:val="none"/>
          <w:u w:val="none"/>
        </w:rPr>
      </w:pPr>
    </w:p>
    <w:p>
      <w:pPr>
        <w:adjustRightInd/>
        <w:snapToGrid/>
        <w:spacing w:line="360" w:lineRule="auto"/>
        <w:ind w:firstLine="0" w:firstLineChars="0"/>
        <w:jc w:val="center"/>
        <w:outlineLvl w:val="1"/>
        <w:rPr>
          <w:rFonts w:ascii="黑体" w:hAnsi="宋体" w:eastAsia="黑体" w:cs="Times New Roman"/>
          <w:b/>
          <w:bCs/>
          <w:color w:val="auto"/>
          <w:sz w:val="72"/>
          <w:szCs w:val="72"/>
          <w:highlight w:val="none"/>
          <w:u w:val="none"/>
        </w:rPr>
      </w:pPr>
      <w:r>
        <w:rPr>
          <w:rFonts w:hint="eastAsia" w:ascii="黑体" w:hAnsi="黑体" w:eastAsia="黑体" w:cs="Times New Roman"/>
          <w:b/>
          <w:bCs/>
          <w:color w:val="auto"/>
          <w:sz w:val="72"/>
          <w:szCs w:val="72"/>
          <w:highlight w:val="none"/>
          <w:u w:val="none"/>
        </w:rPr>
        <w:t>招</w:t>
      </w:r>
    </w:p>
    <w:p>
      <w:pPr>
        <w:adjustRightInd/>
        <w:snapToGrid/>
        <w:spacing w:line="360" w:lineRule="auto"/>
        <w:ind w:firstLine="0" w:firstLineChars="0"/>
        <w:jc w:val="center"/>
        <w:rPr>
          <w:rFonts w:ascii="黑体" w:hAnsi="宋体" w:eastAsia="黑体" w:cs="Times New Roman"/>
          <w:b/>
          <w:bCs/>
          <w:color w:val="auto"/>
          <w:sz w:val="72"/>
          <w:szCs w:val="72"/>
          <w:highlight w:val="none"/>
          <w:u w:val="none"/>
        </w:rPr>
      </w:pPr>
    </w:p>
    <w:p>
      <w:pPr>
        <w:adjustRightInd/>
        <w:snapToGrid/>
        <w:spacing w:line="360" w:lineRule="auto"/>
        <w:ind w:firstLine="0" w:firstLineChars="0"/>
        <w:jc w:val="center"/>
        <w:outlineLvl w:val="1"/>
        <w:rPr>
          <w:rFonts w:ascii="黑体" w:hAnsi="宋体" w:eastAsia="黑体" w:cs="Times New Roman"/>
          <w:b/>
          <w:bCs/>
          <w:color w:val="auto"/>
          <w:sz w:val="72"/>
          <w:szCs w:val="72"/>
          <w:highlight w:val="none"/>
          <w:u w:val="none"/>
        </w:rPr>
      </w:pPr>
      <w:r>
        <w:rPr>
          <w:rFonts w:hint="eastAsia" w:ascii="黑体" w:hAnsi="黑体" w:eastAsia="黑体" w:cs="Times New Roman"/>
          <w:b/>
          <w:bCs/>
          <w:color w:val="auto"/>
          <w:sz w:val="72"/>
          <w:szCs w:val="72"/>
          <w:highlight w:val="none"/>
          <w:u w:val="none"/>
        </w:rPr>
        <w:t>标</w:t>
      </w:r>
    </w:p>
    <w:p>
      <w:pPr>
        <w:adjustRightInd/>
        <w:snapToGrid/>
        <w:spacing w:line="360" w:lineRule="auto"/>
        <w:ind w:firstLine="0" w:firstLineChars="0"/>
        <w:jc w:val="center"/>
        <w:rPr>
          <w:rFonts w:ascii="黑体" w:hAnsi="宋体" w:eastAsia="黑体" w:cs="Times New Roman"/>
          <w:b/>
          <w:bCs/>
          <w:color w:val="auto"/>
          <w:sz w:val="48"/>
          <w:szCs w:val="48"/>
          <w:highlight w:val="none"/>
          <w:u w:val="none"/>
        </w:rPr>
      </w:pPr>
    </w:p>
    <w:p>
      <w:pPr>
        <w:adjustRightInd/>
        <w:snapToGrid/>
        <w:spacing w:line="360" w:lineRule="auto"/>
        <w:ind w:firstLine="0" w:firstLineChars="0"/>
        <w:jc w:val="center"/>
        <w:outlineLvl w:val="1"/>
        <w:rPr>
          <w:rFonts w:ascii="黑体" w:hAnsi="宋体" w:eastAsia="黑体" w:cs="Times New Roman"/>
          <w:b/>
          <w:bCs/>
          <w:color w:val="auto"/>
          <w:sz w:val="72"/>
          <w:szCs w:val="72"/>
          <w:highlight w:val="none"/>
          <w:u w:val="none"/>
        </w:rPr>
      </w:pPr>
      <w:r>
        <w:rPr>
          <w:rFonts w:hint="eastAsia" w:ascii="黑体" w:hAnsi="黑体" w:eastAsia="黑体" w:cs="Times New Roman"/>
          <w:b/>
          <w:bCs/>
          <w:color w:val="auto"/>
          <w:sz w:val="72"/>
          <w:szCs w:val="72"/>
          <w:highlight w:val="none"/>
          <w:u w:val="none"/>
        </w:rPr>
        <w:t>书</w:t>
      </w:r>
    </w:p>
    <w:p>
      <w:pPr>
        <w:adjustRightInd/>
        <w:snapToGrid/>
        <w:spacing w:line="360" w:lineRule="auto"/>
        <w:ind w:left="420" w:leftChars="200" w:firstLine="0" w:firstLineChars="0"/>
        <w:jc w:val="center"/>
        <w:rPr>
          <w:rFonts w:ascii="宋体" w:hAnsi="宋体" w:eastAsia="宋体" w:cs="Times New Roman"/>
          <w:color w:val="auto"/>
          <w:sz w:val="44"/>
          <w:szCs w:val="44"/>
          <w:highlight w:val="none"/>
          <w:u w:val="none"/>
        </w:rPr>
      </w:pPr>
    </w:p>
    <w:p>
      <w:pPr>
        <w:adjustRightInd/>
        <w:snapToGrid/>
        <w:spacing w:line="360" w:lineRule="auto"/>
        <w:ind w:firstLine="0" w:firstLineChars="0"/>
        <w:rPr>
          <w:rFonts w:ascii="方正小标宋简体" w:hAnsi="宋体" w:eastAsia="宋体" w:cs="Arial"/>
          <w:color w:val="auto"/>
          <w:sz w:val="48"/>
          <w:szCs w:val="48"/>
          <w:highlight w:val="none"/>
          <w:u w:val="none"/>
        </w:rPr>
      </w:pPr>
    </w:p>
    <w:p>
      <w:pPr>
        <w:adjustRightInd/>
        <w:snapToGrid/>
        <w:spacing w:line="600" w:lineRule="exact"/>
        <w:ind w:firstLine="0" w:firstLineChars="0"/>
        <w:jc w:val="center"/>
        <w:outlineLvl w:val="1"/>
        <w:rPr>
          <w:rFonts w:ascii="宋体" w:hAnsi="宋体" w:eastAsia="宋体" w:cs="Times New Roman"/>
          <w:b/>
          <w:bCs/>
          <w:color w:val="auto"/>
          <w:sz w:val="32"/>
          <w:szCs w:val="32"/>
          <w:highlight w:val="none"/>
          <w:u w:val="none"/>
        </w:rPr>
      </w:pPr>
      <w:r>
        <w:rPr>
          <w:rFonts w:hint="eastAsia" w:ascii="宋体" w:hAnsi="宋体" w:eastAsia="宋体" w:cs="Times New Roman"/>
          <w:b/>
          <w:bCs/>
          <w:color w:val="auto"/>
          <w:sz w:val="32"/>
          <w:szCs w:val="32"/>
          <w:highlight w:val="none"/>
          <w:u w:val="none"/>
        </w:rPr>
        <w:t>深圳市龙华区发展和改革局</w:t>
      </w:r>
    </w:p>
    <w:p>
      <w:pPr>
        <w:adjustRightInd/>
        <w:snapToGrid/>
        <w:spacing w:line="600" w:lineRule="exact"/>
        <w:ind w:firstLine="0" w:firstLineChars="0"/>
        <w:jc w:val="center"/>
        <w:outlineLvl w:val="1"/>
        <w:rPr>
          <w:rFonts w:ascii="宋体" w:hAnsi="宋体" w:eastAsia="宋体" w:cs="Times New Roman"/>
          <w:b/>
          <w:bCs/>
          <w:color w:val="auto"/>
          <w:sz w:val="32"/>
          <w:szCs w:val="32"/>
          <w:highlight w:val="none"/>
          <w:u w:val="none"/>
        </w:rPr>
      </w:pPr>
      <w:r>
        <w:rPr>
          <w:rFonts w:hint="default" w:ascii="宋体" w:hAnsi="宋体" w:eastAsia="宋体" w:cs="Times New Roman"/>
          <w:b/>
          <w:bCs/>
          <w:color w:val="auto"/>
          <w:sz w:val="32"/>
          <w:szCs w:val="32"/>
          <w:highlight w:val="none"/>
          <w:u w:val="none"/>
          <w:lang w:val="en-US" w:eastAsia="zh-CN"/>
        </w:rPr>
        <w:t>2025</w:t>
      </w:r>
      <w:r>
        <w:rPr>
          <w:rFonts w:hint="eastAsia" w:ascii="宋体" w:hAnsi="宋体" w:eastAsia="宋体" w:cs="Times New Roman"/>
          <w:b/>
          <w:bCs/>
          <w:color w:val="auto"/>
          <w:sz w:val="32"/>
          <w:szCs w:val="32"/>
          <w:highlight w:val="none"/>
          <w:u w:val="none"/>
        </w:rPr>
        <w:t>年</w:t>
      </w:r>
      <w:r>
        <w:rPr>
          <w:rFonts w:hint="default" w:ascii="宋体" w:hAnsi="宋体" w:eastAsia="宋体" w:cs="Times New Roman"/>
          <w:b/>
          <w:bCs/>
          <w:color w:val="auto"/>
          <w:sz w:val="32"/>
          <w:szCs w:val="32"/>
          <w:highlight w:val="none"/>
          <w:u w:val="none"/>
          <w:lang w:val="en-US" w:eastAsia="zh-CN"/>
        </w:rPr>
        <w:t>3</w:t>
      </w:r>
      <w:r>
        <w:rPr>
          <w:rFonts w:hint="eastAsia" w:ascii="宋体" w:hAnsi="宋体" w:eastAsia="宋体" w:cs="Times New Roman"/>
          <w:b/>
          <w:bCs/>
          <w:color w:val="auto"/>
          <w:sz w:val="32"/>
          <w:szCs w:val="32"/>
          <w:highlight w:val="none"/>
          <w:u w:val="none"/>
        </w:rPr>
        <w:t>月</w:t>
      </w:r>
    </w:p>
    <w:p>
      <w:pPr>
        <w:jc w:val="left"/>
        <w:rPr>
          <w:rFonts w:ascii="宋体" w:hAnsi="宋体" w:cs="宋体"/>
          <w:b/>
          <w:bCs/>
          <w:color w:val="auto"/>
          <w:sz w:val="44"/>
          <w:szCs w:val="44"/>
          <w:highlight w:val="none"/>
          <w:u w:val="none"/>
        </w:rPr>
        <w:sectPr>
          <w:footerReference r:id="rId3" w:type="default"/>
          <w:pgSz w:w="11906" w:h="16838"/>
          <w:pgMar w:top="1400" w:right="1797" w:bottom="1089" w:left="1797" w:header="720" w:footer="720" w:gutter="0"/>
          <w:pgNumType w:fmt="decimal"/>
          <w:cols w:space="720" w:num="1"/>
          <w:docGrid w:type="lines" w:linePitch="312" w:charSpace="0"/>
        </w:sectPr>
      </w:pPr>
    </w:p>
    <w:p>
      <w:pPr>
        <w:pStyle w:val="5"/>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52"/>
          <w:highlight w:val="none"/>
          <w:lang w:val="en-US" w:eastAsia="zh-CN"/>
        </w:rPr>
      </w:pPr>
      <w:r>
        <w:rPr>
          <w:rFonts w:hint="eastAsia" w:ascii="方正小标宋简体" w:hAnsi="方正小标宋简体" w:eastAsia="方正小标宋简体" w:cs="方正小标宋简体"/>
          <w:color w:val="auto"/>
          <w:sz w:val="44"/>
          <w:szCs w:val="52"/>
          <w:highlight w:val="none"/>
          <w:lang w:val="en-US" w:eastAsia="zh-CN"/>
        </w:rPr>
        <w:t>2025年</w:t>
      </w:r>
      <w:r>
        <w:rPr>
          <w:rFonts w:hint="eastAsia" w:ascii="方正小标宋简体" w:hAnsi="方正小标宋简体" w:eastAsia="方正小标宋简体" w:cs="方正小标宋简体"/>
          <w:color w:val="auto"/>
          <w:sz w:val="44"/>
          <w:szCs w:val="52"/>
          <w:highlight w:val="none"/>
          <w:lang w:val="en" w:eastAsia="zh-CN"/>
        </w:rPr>
        <w:t>“</w:t>
      </w:r>
      <w:r>
        <w:rPr>
          <w:rFonts w:hint="eastAsia" w:ascii="方正小标宋简体" w:hAnsi="方正小标宋简体" w:eastAsia="方正小标宋简体" w:cs="方正小标宋简体"/>
          <w:color w:val="auto"/>
          <w:sz w:val="44"/>
          <w:szCs w:val="52"/>
          <w:highlight w:val="none"/>
          <w:lang w:val="en-US" w:eastAsia="zh-CN"/>
        </w:rPr>
        <w:t>国际通</w:t>
      </w:r>
      <w:r>
        <w:rPr>
          <w:rFonts w:hint="eastAsia" w:ascii="方正小标宋简体" w:hAnsi="方正小标宋简体" w:eastAsia="方正小标宋简体" w:cs="方正小标宋简体"/>
          <w:color w:val="auto"/>
          <w:sz w:val="44"/>
          <w:szCs w:val="52"/>
          <w:highlight w:val="none"/>
          <w:lang w:val="en" w:eastAsia="zh-CN"/>
        </w:rPr>
        <w:t>”高端医疗器械</w:t>
      </w:r>
      <w:r>
        <w:rPr>
          <w:rFonts w:hint="default" w:ascii="方正小标宋简体" w:hAnsi="方正小标宋简体" w:eastAsia="方正小标宋简体" w:cs="方正小标宋简体"/>
          <w:color w:val="auto"/>
          <w:sz w:val="44"/>
          <w:szCs w:val="52"/>
          <w:highlight w:val="none"/>
          <w:lang w:val="en" w:eastAsia="zh-CN"/>
        </w:rPr>
        <w:t>和新能源</w:t>
      </w:r>
      <w:r>
        <w:rPr>
          <w:rFonts w:hint="eastAsia" w:ascii="方正小标宋简体" w:hAnsi="方正小标宋简体" w:eastAsia="方正小标宋简体" w:cs="方正小标宋简体"/>
          <w:color w:val="auto"/>
          <w:sz w:val="44"/>
          <w:szCs w:val="52"/>
          <w:highlight w:val="none"/>
          <w:lang w:val="en" w:eastAsia="zh-CN"/>
        </w:rPr>
        <w:t>产业集群路演活动专项工作项目招标书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Times New Roman"/>
          <w:b w:val="0"/>
          <w:bCs w:val="0"/>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Times New Roman"/>
          <w:b w:val="0"/>
          <w:bCs w:val="0"/>
          <w:color w:val="auto"/>
          <w:sz w:val="32"/>
          <w:szCs w:val="32"/>
          <w:highlight w:val="none"/>
          <w:u w:val="none"/>
        </w:rPr>
      </w:pPr>
      <w:r>
        <w:rPr>
          <w:rFonts w:hint="eastAsia" w:ascii="黑体" w:hAnsi="黑体" w:eastAsia="黑体" w:cs="Times New Roman"/>
          <w:b w:val="0"/>
          <w:bCs w:val="0"/>
          <w:color w:val="auto"/>
          <w:sz w:val="32"/>
          <w:szCs w:val="32"/>
          <w:highlight w:val="none"/>
          <w:u w:val="none"/>
        </w:rPr>
        <w:t>一、项目概况</w:t>
      </w:r>
    </w:p>
    <w:p>
      <w:pPr>
        <w:pStyle w:val="5"/>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_GB2312"/>
          <w:color w:val="auto"/>
          <w:kern w:val="2"/>
          <w:sz w:val="32"/>
          <w:szCs w:val="32"/>
          <w:highlight w:val="none"/>
          <w:u w:val="none"/>
          <w:lang w:val="en" w:eastAsia="zh-CN" w:bidi="ar-SA"/>
        </w:rPr>
      </w:pPr>
      <w:r>
        <w:rPr>
          <w:rFonts w:hint="eastAsia" w:ascii="仿宋_GB2312" w:hAnsi="仿宋" w:eastAsia="仿宋_GB2312" w:cs="仿宋_GB2312"/>
          <w:color w:val="auto"/>
          <w:sz w:val="32"/>
          <w:szCs w:val="32"/>
          <w:highlight w:val="none"/>
          <w:u w:val="none"/>
        </w:rPr>
        <w:t>项目名称：</w:t>
      </w:r>
      <w:r>
        <w:rPr>
          <w:rFonts w:hint="eastAsia" w:ascii="仿宋_GB2312" w:hAnsi="仿宋" w:eastAsia="仿宋_GB2312" w:cs="仿宋_GB2312"/>
          <w:color w:val="auto"/>
          <w:kern w:val="2"/>
          <w:sz w:val="32"/>
          <w:szCs w:val="32"/>
          <w:highlight w:val="none"/>
          <w:u w:val="none"/>
          <w:lang w:val="en-US" w:eastAsia="zh-CN" w:bidi="ar-SA"/>
        </w:rPr>
        <w:t>2025年</w:t>
      </w:r>
      <w:r>
        <w:rPr>
          <w:rFonts w:hint="eastAsia" w:ascii="仿宋_GB2312" w:hAnsi="仿宋" w:eastAsia="仿宋_GB2312" w:cs="仿宋_GB2312"/>
          <w:color w:val="auto"/>
          <w:kern w:val="2"/>
          <w:sz w:val="32"/>
          <w:szCs w:val="32"/>
          <w:highlight w:val="none"/>
          <w:u w:val="none"/>
          <w:lang w:val="en" w:eastAsia="zh-CN" w:bidi="ar-SA"/>
        </w:rPr>
        <w:t>“</w:t>
      </w:r>
      <w:r>
        <w:rPr>
          <w:rFonts w:hint="eastAsia" w:ascii="仿宋_GB2312" w:hAnsi="仿宋" w:eastAsia="仿宋_GB2312" w:cs="仿宋_GB2312"/>
          <w:color w:val="auto"/>
          <w:kern w:val="2"/>
          <w:sz w:val="32"/>
          <w:szCs w:val="32"/>
          <w:highlight w:val="none"/>
          <w:u w:val="none"/>
          <w:lang w:val="en-US" w:eastAsia="zh-CN" w:bidi="ar-SA"/>
        </w:rPr>
        <w:t>国际通</w:t>
      </w:r>
      <w:r>
        <w:rPr>
          <w:rFonts w:hint="eastAsia" w:ascii="仿宋_GB2312" w:hAnsi="仿宋" w:eastAsia="仿宋_GB2312" w:cs="仿宋_GB2312"/>
          <w:color w:val="auto"/>
          <w:kern w:val="2"/>
          <w:sz w:val="32"/>
          <w:szCs w:val="32"/>
          <w:highlight w:val="none"/>
          <w:u w:val="none"/>
          <w:lang w:val="en" w:eastAsia="zh-CN" w:bidi="ar-SA"/>
        </w:rPr>
        <w:t>”高端医疗器械</w:t>
      </w:r>
      <w:r>
        <w:rPr>
          <w:rFonts w:hint="default" w:ascii="仿宋_GB2312" w:hAnsi="仿宋" w:eastAsia="仿宋_GB2312" w:cs="仿宋_GB2312"/>
          <w:color w:val="auto"/>
          <w:kern w:val="2"/>
          <w:sz w:val="32"/>
          <w:szCs w:val="32"/>
          <w:highlight w:val="none"/>
          <w:u w:val="none"/>
          <w:lang w:val="en" w:eastAsia="zh-CN" w:bidi="ar-SA"/>
        </w:rPr>
        <w:t>和新能源</w:t>
      </w:r>
      <w:r>
        <w:rPr>
          <w:rFonts w:hint="eastAsia" w:ascii="仿宋_GB2312" w:hAnsi="仿宋" w:eastAsia="仿宋_GB2312" w:cs="仿宋_GB2312"/>
          <w:color w:val="auto"/>
          <w:kern w:val="2"/>
          <w:sz w:val="32"/>
          <w:szCs w:val="32"/>
          <w:highlight w:val="none"/>
          <w:u w:val="none"/>
          <w:lang w:val="en" w:eastAsia="zh-CN" w:bidi="ar-SA"/>
        </w:rPr>
        <w:t>产业</w:t>
      </w:r>
    </w:p>
    <w:p>
      <w:pPr>
        <w:pStyle w:val="5"/>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 w:eastAsia="仿宋_GB2312" w:cs="仿宋_GB2312"/>
          <w:color w:val="auto"/>
          <w:kern w:val="2"/>
          <w:sz w:val="32"/>
          <w:szCs w:val="32"/>
          <w:highlight w:val="none"/>
          <w:u w:val="none"/>
          <w:lang w:val="en" w:eastAsia="zh-CN" w:bidi="ar-SA"/>
        </w:rPr>
      </w:pPr>
      <w:r>
        <w:rPr>
          <w:rFonts w:hint="eastAsia" w:ascii="仿宋_GB2312" w:hAnsi="仿宋" w:eastAsia="仿宋_GB2312" w:cs="仿宋_GB2312"/>
          <w:color w:val="auto"/>
          <w:kern w:val="2"/>
          <w:sz w:val="32"/>
          <w:szCs w:val="32"/>
          <w:highlight w:val="none"/>
          <w:u w:val="none"/>
          <w:lang w:val="en" w:eastAsia="zh-CN" w:bidi="ar-SA"/>
        </w:rPr>
        <w:t>集群路演活动专项工作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服务期限：自合同签订之日起</w:t>
      </w:r>
      <w:r>
        <w:rPr>
          <w:rFonts w:hint="eastAsia" w:ascii="仿宋_GB2312" w:hAnsi="仿宋" w:eastAsia="仿宋_GB2312" w:cs="仿宋_GB2312"/>
          <w:color w:val="auto"/>
          <w:sz w:val="32"/>
          <w:szCs w:val="32"/>
          <w:highlight w:val="none"/>
          <w:u w:val="none"/>
          <w:lang w:val="en-US" w:eastAsia="zh-CN"/>
        </w:rPr>
        <w:t>8</w:t>
      </w:r>
      <w:r>
        <w:rPr>
          <w:rFonts w:hint="eastAsia" w:ascii="仿宋_GB2312" w:hAnsi="仿宋" w:eastAsia="仿宋_GB2312" w:cs="仿宋_GB2312"/>
          <w:color w:val="auto"/>
          <w:sz w:val="32"/>
          <w:szCs w:val="32"/>
          <w:highlight w:val="none"/>
          <w:u w:val="none"/>
        </w:rPr>
        <w:t>个月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项目预算：预算金额不超过</w:t>
      </w:r>
      <w:r>
        <w:rPr>
          <w:rFonts w:hint="eastAsia" w:ascii="仿宋_GB2312" w:hAnsi="仿宋" w:eastAsia="仿宋_GB2312" w:cs="仿宋_GB2312"/>
          <w:color w:val="auto"/>
          <w:sz w:val="32"/>
          <w:szCs w:val="32"/>
          <w:highlight w:val="none"/>
          <w:u w:val="none"/>
          <w:lang w:val="en-US" w:eastAsia="zh-CN"/>
        </w:rPr>
        <w:t>99</w:t>
      </w:r>
      <w:r>
        <w:rPr>
          <w:rFonts w:hint="eastAsia" w:ascii="仿宋_GB2312" w:hAnsi="仿宋" w:eastAsia="仿宋_GB2312" w:cs="仿宋_GB2312"/>
          <w:color w:val="auto"/>
          <w:sz w:val="32"/>
          <w:szCs w:val="32"/>
          <w:highlight w:val="none"/>
          <w:u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Times New Roman"/>
          <w:b w:val="0"/>
          <w:bCs w:val="0"/>
          <w:color w:val="auto"/>
          <w:sz w:val="32"/>
          <w:szCs w:val="32"/>
          <w:highlight w:val="none"/>
          <w:u w:val="none"/>
        </w:rPr>
      </w:pPr>
      <w:r>
        <w:rPr>
          <w:rFonts w:hint="eastAsia" w:ascii="黑体" w:hAnsi="黑体" w:eastAsia="黑体" w:cs="Times New Roman"/>
          <w:b w:val="0"/>
          <w:bCs w:val="0"/>
          <w:color w:val="auto"/>
          <w:sz w:val="32"/>
          <w:szCs w:val="32"/>
          <w:highlight w:val="none"/>
          <w:u w:val="none"/>
        </w:rPr>
        <w:t>二、项目内容</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（一）构建产业创新生态</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链接高端医疗器械、新能源生态资源，推动科研成果端到产品端全链条转化，对接高端医疗器械、新能源产业的各类行业学会、知名高校、孵化平台和产业园区，围绕领域前沿技术、创新理念展开交流，加速技术成果转化进程，筛选并吸引优质项目来龙华合作落地。</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（二）依托“国际通”站点拓宽项目资源渠道</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2025年“国际通”与已建站点常态对接，同时探索建设新站点，进一步完善“国际通”全球资源网络，实现项目资源的高效整合与配置，网罗海内外优质项目资源。</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2" w:firstLineChars="200"/>
        <w:jc w:val="left"/>
        <w:textAlignment w:val="auto"/>
        <w:rPr>
          <w:rFonts w:hint="default"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一是</w:t>
      </w:r>
      <w:r>
        <w:rPr>
          <w:rFonts w:hint="eastAsia" w:ascii="仿宋_GB2312" w:hAnsi="仿宋_GB2312" w:eastAsia="仿宋_GB2312" w:cs="仿宋_GB2312"/>
          <w:b w:val="0"/>
          <w:bCs w:val="0"/>
          <w:color w:val="auto"/>
          <w:sz w:val="32"/>
          <w:szCs w:val="40"/>
          <w:highlight w:val="none"/>
          <w:lang w:val="en-US" w:eastAsia="zh-CN"/>
        </w:rPr>
        <w:t>拟搭建一批新建站点。整合全球网络合作伙伴、高校资源，搭建海外项目产融对接机制，为我区定向推送海外项目资源；联合开展技术需求对接，寻找技术合作解决方案，推动技术成果快速转移转化。</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2" w:firstLineChars="200"/>
        <w:jc w:val="left"/>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二是</w:t>
      </w:r>
      <w:r>
        <w:rPr>
          <w:rFonts w:hint="eastAsia" w:ascii="仿宋_GB2312" w:hAnsi="仿宋_GB2312" w:eastAsia="仿宋_GB2312" w:cs="仿宋_GB2312"/>
          <w:b w:val="0"/>
          <w:bCs w:val="0"/>
          <w:color w:val="auto"/>
          <w:sz w:val="32"/>
          <w:szCs w:val="40"/>
          <w:highlight w:val="none"/>
          <w:lang w:val="en-US" w:eastAsia="zh-CN"/>
        </w:rPr>
        <w:t>深挖已建站点资源。挖掘医疗器械、新能源产业创新成果，以我区产业基础、市场体量等优势为牵引，吸引优质项目赴龙华发展。</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（三）专项路演</w:t>
      </w:r>
    </w:p>
    <w:p>
      <w:pPr>
        <w:keepNext w:val="0"/>
        <w:keepLines w:val="0"/>
        <w:pageBreakBefore w:val="0"/>
        <w:widowControl w:val="0"/>
        <w:numPr>
          <w:ilvl w:val="0"/>
          <w:numId w:val="0"/>
        </w:numPr>
        <w:kinsoku/>
        <w:wordWrap/>
        <w:overflowPunct/>
        <w:topLinePunct w:val="0"/>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优质项目渠道挖掘。</w:t>
      </w:r>
      <w:r>
        <w:rPr>
          <w:rFonts w:hint="eastAsia" w:ascii="仿宋_GB2312" w:hAnsi="仿宋_GB2312" w:eastAsia="仿宋_GB2312" w:cs="仿宋_GB2312"/>
          <w:color w:val="auto"/>
          <w:sz w:val="32"/>
          <w:szCs w:val="32"/>
          <w:highlight w:val="none"/>
          <w:lang w:val="en-US" w:eastAsia="zh-CN"/>
        </w:rPr>
        <w:t>通过“国际通”丰富项目资源渠道，围绕高端医疗器械和新能源产业布局，重点关注</w:t>
      </w:r>
      <w:r>
        <w:rPr>
          <w:rFonts w:hint="eastAsia" w:ascii="仿宋_GB2312" w:hAnsi="仿宋_GB2312" w:eastAsia="仿宋_GB2312" w:cs="仿宋_GB2312"/>
          <w:b w:val="0"/>
          <w:bCs w:val="0"/>
          <w:color w:val="auto"/>
          <w:sz w:val="32"/>
          <w:szCs w:val="32"/>
          <w:highlight w:val="none"/>
          <w:u w:val="none" w:color="auto"/>
          <w:lang w:val="en-US" w:eastAsia="zh-CN"/>
        </w:rPr>
        <w:t>龙华重点发展的动物医疗、植介入、高端医学影像、体外诊断、生命监护和生命支持、医用耗材、</w:t>
      </w:r>
      <w:r>
        <w:rPr>
          <w:rFonts w:hint="eastAsia" w:ascii="仿宋_GB2312" w:hAnsi="仿宋_GB2312" w:eastAsia="仿宋_GB2312" w:cs="仿宋_GB2312"/>
          <w:b w:val="0"/>
          <w:bCs w:val="0"/>
          <w:color w:val="auto"/>
          <w:kern w:val="0"/>
          <w:sz w:val="31"/>
          <w:szCs w:val="31"/>
          <w:lang w:val="en-US" w:eastAsia="zh-CN" w:bidi="ar"/>
        </w:rPr>
        <w:t>放疗设备、</w:t>
      </w:r>
      <w:r>
        <w:rPr>
          <w:rFonts w:hint="eastAsia" w:ascii="仿宋_GB2312" w:hAnsi="仿宋_GB2312" w:eastAsia="仿宋_GB2312" w:cs="仿宋_GB2312"/>
          <w:b w:val="0"/>
          <w:bCs w:val="0"/>
          <w:color w:val="auto"/>
          <w:sz w:val="32"/>
          <w:szCs w:val="32"/>
          <w:highlight w:val="none"/>
          <w:u w:val="none" w:color="auto"/>
          <w:lang w:val="en-US" w:eastAsia="zh-CN"/>
        </w:rPr>
        <w:t>康复养老器械、智慧医疗及手术机器人等高端医疗器械领域及</w:t>
      </w:r>
      <w:r>
        <w:rPr>
          <w:rFonts w:hint="eastAsia" w:ascii="仿宋_GB2312" w:hAnsi="仿宋_GB2312" w:eastAsia="仿宋_GB2312" w:cs="仿宋_GB2312"/>
          <w:color w:val="auto"/>
          <w:sz w:val="32"/>
          <w:szCs w:val="32"/>
        </w:rPr>
        <w:t>智能电动汽车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能源互联网、智能光伏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新型储能、氢能</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新能源</w:t>
      </w:r>
      <w:r>
        <w:rPr>
          <w:rFonts w:hint="eastAsia" w:ascii="仿宋_GB2312" w:hAnsi="仿宋_GB2312" w:eastAsia="仿宋_GB2312" w:cs="仿宋_GB2312"/>
          <w:color w:val="auto"/>
          <w:sz w:val="32"/>
          <w:szCs w:val="32"/>
        </w:rPr>
        <w:t>领域</w:t>
      </w:r>
      <w:r>
        <w:rPr>
          <w:rFonts w:hint="eastAsia" w:ascii="仿宋_GB2312" w:hAnsi="仿宋_GB2312" w:eastAsia="仿宋_GB2312" w:cs="仿宋_GB2312"/>
          <w:color w:val="auto"/>
          <w:sz w:val="32"/>
          <w:szCs w:val="32"/>
          <w:highlight w:val="none"/>
          <w:u w:val="none" w:color="auto"/>
          <w:lang w:val="en-US" w:eastAsia="zh-CN"/>
        </w:rPr>
        <w:t>。</w:t>
      </w:r>
      <w:r>
        <w:rPr>
          <w:rFonts w:hint="eastAsia" w:ascii="仿宋_GB2312" w:hAnsi="仿宋_GB2312" w:eastAsia="仿宋_GB2312" w:cs="仿宋_GB2312"/>
          <w:color w:val="auto"/>
          <w:sz w:val="32"/>
          <w:szCs w:val="32"/>
          <w:highlight w:val="none"/>
          <w:lang w:val="en-US" w:eastAsia="zh-CN"/>
        </w:rPr>
        <w:t>整合优秀产业资源</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招募70个优质项目，以线上线下相结合的方式，举办</w:t>
      </w:r>
      <w:r>
        <w:rPr>
          <w:rFonts w:hint="eastAsia" w:ascii="仿宋_GB2312" w:hAnsi="仿宋_GB2312" w:eastAsia="仿宋_GB2312" w:cs="仿宋_GB2312"/>
          <w:color w:val="auto"/>
          <w:sz w:val="32"/>
          <w:szCs w:val="32"/>
          <w:highlight w:val="none"/>
          <w:u w:val="none"/>
          <w:lang w:val="en-US" w:eastAsia="zh-CN"/>
        </w:rPr>
        <w:t>5场项目</w:t>
      </w:r>
      <w:r>
        <w:rPr>
          <w:rFonts w:hint="eastAsia" w:ascii="仿宋_GB2312" w:hAnsi="仿宋_GB2312" w:eastAsia="仿宋_GB2312" w:cs="仿宋_GB2312"/>
          <w:color w:val="auto"/>
          <w:sz w:val="32"/>
          <w:szCs w:val="32"/>
          <w:highlight w:val="none"/>
          <w:lang w:val="en-US" w:eastAsia="zh-CN"/>
        </w:rPr>
        <w:t>路演活动。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项目的招募和筛选。联</w:t>
      </w:r>
      <w:r>
        <w:rPr>
          <w:rFonts w:hint="eastAsia" w:ascii="仿宋_GB2312" w:hAnsi="仿宋_GB2312" w:eastAsia="仿宋_GB2312" w:cs="仿宋_GB2312"/>
          <w:color w:val="auto"/>
          <w:sz w:val="32"/>
          <w:szCs w:val="32"/>
          <w:highlight w:val="none"/>
          <w:lang w:val="en-US" w:eastAsia="zh-CN"/>
        </w:rPr>
        <w:t>合专业投资人，根据项目</w:t>
      </w:r>
      <w:r>
        <w:rPr>
          <w:rFonts w:hint="eastAsia" w:ascii="仿宋_GB2312" w:hAnsi="仿宋_GB2312" w:eastAsia="仿宋_GB2312" w:cs="仿宋_GB2312"/>
          <w:color w:val="auto"/>
          <w:sz w:val="32"/>
          <w:szCs w:val="32"/>
          <w:highlight w:val="none"/>
          <w:u w:val="none"/>
          <w:lang w:val="en-US" w:eastAsia="zh-CN"/>
        </w:rPr>
        <w:t>产品化能力、商业模式（可行性、可持续性）、运营能力、市场竞争力、核心团队等多维度进行评分</w:t>
      </w:r>
      <w:r>
        <w:rPr>
          <w:rFonts w:hint="eastAsia" w:ascii="仿宋_GB2312" w:hAnsi="仿宋_GB2312" w:eastAsia="仿宋_GB2312" w:cs="仿宋_GB2312"/>
          <w:color w:val="auto"/>
          <w:sz w:val="32"/>
          <w:szCs w:val="32"/>
          <w:highlight w:val="none"/>
          <w:lang w:val="en-US" w:eastAsia="zh-CN"/>
        </w:rPr>
        <w:t>，筛选出优质项目进行路演</w:t>
      </w:r>
      <w:r>
        <w:rPr>
          <w:rFonts w:hint="default"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嘉宾邀约。</w:t>
      </w:r>
      <w:r>
        <w:rPr>
          <w:rFonts w:hint="eastAsia" w:ascii="仿宋_GB2312" w:hAnsi="仿宋_GB2312" w:eastAsia="仿宋_GB2312" w:cs="仿宋_GB2312"/>
          <w:color w:val="auto"/>
          <w:sz w:val="32"/>
          <w:szCs w:val="32"/>
          <w:highlight w:val="none"/>
          <w:lang w:val="en-US" w:eastAsia="zh-CN"/>
        </w:rPr>
        <w:t>每场路演活动将联合区内相关部门邀请区内高端医疗器械和新能源行业优秀企业、孵化器</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上线观看</w:t>
      </w:r>
      <w:r>
        <w:rPr>
          <w:rFonts w:hint="eastAsia" w:ascii="仿宋_GB2312" w:hAnsi="仿宋_GB2312" w:eastAsia="仿宋_GB2312" w:cs="仿宋_GB2312"/>
          <w:color w:val="auto"/>
          <w:sz w:val="32"/>
          <w:szCs w:val="32"/>
          <w:highlight w:val="none"/>
        </w:rPr>
        <w:t>点评</w:t>
      </w:r>
      <w:r>
        <w:rPr>
          <w:rFonts w:hint="eastAsia" w:ascii="仿宋_GB2312" w:hAnsi="仿宋_GB2312" w:eastAsia="仿宋_GB2312" w:cs="仿宋_GB2312"/>
          <w:color w:val="auto"/>
          <w:sz w:val="32"/>
          <w:szCs w:val="32"/>
          <w:highlight w:val="none"/>
          <w:lang w:val="en-US" w:eastAsia="zh-CN"/>
        </w:rPr>
        <w:t>。同时</w:t>
      </w:r>
      <w:r>
        <w:rPr>
          <w:rFonts w:hint="eastAsia" w:ascii="仿宋_GB2312" w:hAnsi="仿宋_GB2312" w:eastAsia="仿宋_GB2312" w:cs="仿宋_GB2312"/>
          <w:color w:val="auto"/>
          <w:sz w:val="32"/>
          <w:szCs w:val="32"/>
          <w:highlight w:val="none"/>
        </w:rPr>
        <w:t>邀请</w:t>
      </w:r>
      <w:r>
        <w:rPr>
          <w:rFonts w:hint="eastAsia" w:ascii="仿宋_GB2312" w:hAnsi="仿宋_GB2312" w:eastAsia="仿宋_GB2312" w:cs="仿宋_GB2312"/>
          <w:color w:val="auto"/>
          <w:sz w:val="32"/>
          <w:szCs w:val="32"/>
          <w:highlight w:val="none"/>
          <w:lang w:val="en-US" w:eastAsia="zh-CN"/>
        </w:rPr>
        <w:t>相关产业</w:t>
      </w:r>
      <w:r>
        <w:rPr>
          <w:rFonts w:hint="eastAsia" w:ascii="仿宋_GB2312" w:hAnsi="仿宋_GB2312" w:eastAsia="仿宋_GB2312" w:cs="仿宋_GB2312"/>
          <w:color w:val="auto"/>
          <w:sz w:val="32"/>
          <w:szCs w:val="32"/>
          <w:highlight w:val="none"/>
        </w:rPr>
        <w:t>投资机构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科研机构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合作伙伴</w:t>
      </w:r>
      <w:r>
        <w:rPr>
          <w:rFonts w:hint="eastAsia" w:ascii="仿宋_GB2312" w:hAnsi="仿宋_GB2312" w:eastAsia="仿宋_GB2312" w:cs="仿宋_GB2312"/>
          <w:color w:val="auto"/>
          <w:sz w:val="32"/>
          <w:szCs w:val="32"/>
          <w:highlight w:val="none"/>
          <w:lang w:eastAsia="zh-CN"/>
        </w:rPr>
        <w:t>代表嘉宾</w:t>
      </w:r>
      <w:r>
        <w:rPr>
          <w:rFonts w:hint="eastAsia" w:ascii="仿宋_GB2312" w:hAnsi="仿宋_GB2312" w:eastAsia="仿宋_GB2312" w:cs="仿宋_GB2312"/>
          <w:color w:val="auto"/>
          <w:sz w:val="32"/>
          <w:szCs w:val="32"/>
          <w:highlight w:val="none"/>
          <w:lang w:val="en-US" w:eastAsia="zh-CN"/>
        </w:rPr>
        <w:t>莅临线下，共同交流点评项目。</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3" w:leftChars="0" w:firstLine="643" w:firstLineChars="0"/>
        <w:jc w:val="both"/>
        <w:textAlignment w:val="auto"/>
        <w:rPr>
          <w:rFonts w:hint="default" w:ascii="仿宋_GB2312" w:eastAsia="仿宋_GB2312" w:cs="Times New Roman"/>
          <w:b w:val="0"/>
          <w:bCs w:val="0"/>
          <w:sz w:val="32"/>
          <w:szCs w:val="32"/>
          <w:highlight w:val="yellow"/>
          <w:lang w:val="en-US" w:eastAsia="zh-CN"/>
        </w:rPr>
      </w:pP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b w:val="0"/>
          <w:bCs w:val="0"/>
          <w:color w:val="auto"/>
          <w:sz w:val="32"/>
          <w:szCs w:val="32"/>
          <w:highlight w:val="none"/>
          <w:lang w:val="en-US" w:eastAsia="zh-CN"/>
        </w:rPr>
        <w:t>项目持续跟进。</w:t>
      </w:r>
      <w:r>
        <w:rPr>
          <w:rFonts w:hint="eastAsia" w:ascii="仿宋_GB2312" w:hAnsi="仿宋_GB2312" w:eastAsia="仿宋_GB2312" w:cs="仿宋_GB2312"/>
          <w:color w:val="auto"/>
          <w:spacing w:val="0"/>
          <w:w w:val="100"/>
          <w:sz w:val="32"/>
          <w:highlight w:val="none"/>
          <w:lang w:val="en-US" w:eastAsia="zh-CN"/>
        </w:rPr>
        <w:t>加强</w:t>
      </w:r>
      <w:r>
        <w:rPr>
          <w:rFonts w:hint="eastAsia" w:ascii="仿宋_GB2312" w:hAnsi="仿宋_GB2312" w:eastAsia="仿宋_GB2312" w:cs="仿宋_GB2312"/>
          <w:color w:val="auto"/>
          <w:spacing w:val="0"/>
          <w:w w:val="100"/>
          <w:sz w:val="32"/>
          <w:highlight w:val="none"/>
        </w:rPr>
        <w:t>对“国际通”</w:t>
      </w:r>
      <w:r>
        <w:rPr>
          <w:rFonts w:hint="eastAsia" w:ascii="仿宋_GB2312" w:hAnsi="仿宋_GB2312" w:eastAsia="仿宋_GB2312" w:cs="仿宋_GB2312"/>
          <w:color w:val="auto"/>
          <w:spacing w:val="0"/>
          <w:w w:val="100"/>
          <w:sz w:val="32"/>
          <w:highlight w:val="none"/>
          <w:lang w:val="en-US" w:eastAsia="zh-CN"/>
        </w:rPr>
        <w:t>招引</w:t>
      </w:r>
      <w:r>
        <w:rPr>
          <w:rFonts w:hint="eastAsia" w:ascii="仿宋_GB2312" w:hAnsi="仿宋_GB2312" w:eastAsia="仿宋_GB2312" w:cs="仿宋_GB2312"/>
          <w:color w:val="auto"/>
          <w:spacing w:val="0"/>
          <w:w w:val="100"/>
          <w:sz w:val="32"/>
          <w:highlight w:val="none"/>
        </w:rPr>
        <w:t>项目后续服务能力</w:t>
      </w:r>
      <w:r>
        <w:rPr>
          <w:rFonts w:hint="eastAsia" w:ascii="仿宋_GB2312" w:hAnsi="仿宋_GB2312" w:eastAsia="仿宋_GB2312" w:cs="仿宋_GB2312"/>
          <w:color w:val="auto"/>
          <w:spacing w:val="0"/>
          <w:w w:val="100"/>
          <w:sz w:val="32"/>
          <w:highlight w:val="none"/>
          <w:lang w:eastAsia="zh-CN"/>
        </w:rPr>
        <w:t>，</w:t>
      </w:r>
      <w:r>
        <w:rPr>
          <w:rFonts w:hint="eastAsia" w:ascii="仿宋_GB2312" w:hAnsi="仿宋_GB2312" w:eastAsia="仿宋_GB2312" w:cs="仿宋_GB2312"/>
          <w:color w:val="auto"/>
          <w:spacing w:val="0"/>
          <w:w w:val="100"/>
          <w:sz w:val="32"/>
          <w:szCs w:val="32"/>
          <w:highlight w:val="none"/>
        </w:rPr>
        <w:t>构建项目服务机制</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eastAsia="仿宋_GB2312" w:cs="Times New Roman"/>
          <w:b w:val="0"/>
          <w:bCs w:val="0"/>
          <w:sz w:val="32"/>
          <w:szCs w:val="32"/>
          <w:lang w:val="en-US" w:eastAsia="zh-CN"/>
        </w:rPr>
        <w:t>建立“国际通”项目服务跟进台账，</w:t>
      </w:r>
      <w:r>
        <w:rPr>
          <w:rFonts w:hint="eastAsia" w:ascii="仿宋_GB2312" w:hAnsi="仿宋_GB2312" w:eastAsia="仿宋_GB2312" w:cs="仿宋_GB2312"/>
          <w:b w:val="0"/>
          <w:bCs w:val="0"/>
          <w:color w:val="auto"/>
          <w:sz w:val="32"/>
          <w:szCs w:val="32"/>
          <w:highlight w:val="none"/>
          <w:lang w:val="en-US" w:eastAsia="zh-CN"/>
        </w:rPr>
        <w:t>对有意落地项目进行持续跟进。</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eastAsia="仿宋_GB2312" w:cs="仿宋_GB2312"/>
          <w:b w:val="0"/>
          <w:bCs w:val="0"/>
          <w:color w:val="auto"/>
          <w:sz w:val="32"/>
          <w:szCs w:val="32"/>
          <w:highlight w:val="none"/>
          <w:lang w:val="en-US" w:eastAsia="zh-CN"/>
        </w:rPr>
        <w:t>活动</w:t>
      </w:r>
      <w:r>
        <w:rPr>
          <w:rFonts w:hint="eastAsia" w:ascii="仿宋_GB2312" w:hAnsi="仿宋_GB2312" w:eastAsia="仿宋_GB2312" w:cs="仿宋_GB2312"/>
          <w:b w:val="0"/>
          <w:bCs w:val="0"/>
          <w:color w:val="auto"/>
          <w:sz w:val="32"/>
          <w:szCs w:val="32"/>
          <w:highlight w:val="none"/>
        </w:rPr>
        <w:t>宣传</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为了</w:t>
      </w:r>
      <w:r>
        <w:rPr>
          <w:rFonts w:hint="eastAsia" w:ascii="仿宋_GB2312" w:hAnsi="仿宋_GB2312" w:eastAsia="仿宋_GB2312" w:cs="仿宋_GB2312"/>
          <w:color w:val="auto"/>
          <w:sz w:val="32"/>
          <w:szCs w:val="32"/>
          <w:highlight w:val="none"/>
          <w:lang w:val="en-US" w:eastAsia="zh-CN"/>
        </w:rPr>
        <w:t>提升</w:t>
      </w:r>
      <w:r>
        <w:rPr>
          <w:rFonts w:hint="eastAsia" w:ascii="仿宋_GB2312" w:hAnsi="仿宋_GB2312" w:eastAsia="仿宋_GB2312" w:cs="仿宋_GB2312"/>
          <w:color w:val="auto"/>
          <w:sz w:val="32"/>
          <w:szCs w:val="32"/>
          <w:highlight w:val="none"/>
        </w:rPr>
        <w:t>“国际通”</w:t>
      </w:r>
      <w:r>
        <w:rPr>
          <w:rFonts w:hint="eastAsia" w:ascii="仿宋_GB2312" w:hAnsi="仿宋_GB2312" w:eastAsia="仿宋_GB2312" w:cs="仿宋_GB2312"/>
          <w:color w:val="auto"/>
          <w:sz w:val="32"/>
          <w:szCs w:val="32"/>
          <w:highlight w:val="none"/>
          <w:lang w:val="en-US" w:eastAsia="zh-CN"/>
        </w:rPr>
        <w:t>及龙华高端医疗器械和新能源产业优势</w:t>
      </w:r>
      <w:r>
        <w:rPr>
          <w:rFonts w:hint="eastAsia" w:ascii="仿宋_GB2312" w:hAnsi="仿宋_GB2312" w:eastAsia="仿宋_GB2312" w:cs="仿宋_GB2312"/>
          <w:color w:val="auto"/>
          <w:sz w:val="32"/>
          <w:szCs w:val="32"/>
          <w:highlight w:val="none"/>
        </w:rPr>
        <w:t>，建立“国际通”的对外</w:t>
      </w:r>
      <w:r>
        <w:rPr>
          <w:rFonts w:hint="eastAsia" w:ascii="仿宋_GB2312" w:hAnsi="仿宋_GB2312" w:eastAsia="仿宋_GB2312" w:cs="仿宋_GB2312"/>
          <w:color w:val="auto"/>
          <w:sz w:val="32"/>
          <w:szCs w:val="32"/>
          <w:highlight w:val="none"/>
          <w:lang w:val="en-US" w:eastAsia="zh-CN"/>
        </w:rPr>
        <w:t>宣传</w:t>
      </w:r>
      <w:r>
        <w:rPr>
          <w:rFonts w:hint="eastAsia" w:ascii="仿宋_GB2312" w:hAnsi="仿宋_GB2312" w:eastAsia="仿宋_GB2312" w:cs="仿宋_GB2312"/>
          <w:color w:val="auto"/>
          <w:sz w:val="32"/>
          <w:szCs w:val="32"/>
          <w:highlight w:val="none"/>
        </w:rPr>
        <w:t>窗口，增强新闻覆盖面和传播穿透力。</w:t>
      </w:r>
      <w:r>
        <w:rPr>
          <w:rFonts w:hint="eastAsia" w:ascii="仿宋_GB2312" w:hAnsi="仿宋_GB2312" w:eastAsia="仿宋_GB2312" w:cs="仿宋_GB2312"/>
          <w:b w:val="0"/>
          <w:bCs w:val="0"/>
          <w:color w:val="auto"/>
          <w:sz w:val="32"/>
          <w:szCs w:val="32"/>
          <w:highlight w:val="none"/>
          <w:lang w:val="en-US" w:eastAsia="zh-CN"/>
        </w:rPr>
        <w:t>每场路演活动将通过播放宣传视频，线上交流等方式对龙华进行宣传，并在路演结束后通过媒体矩阵多渠道进行宣传</w:t>
      </w:r>
      <w:r>
        <w:rPr>
          <w:rFonts w:hint="eastAsia" w:ascii="仿宋_GB2312" w:hAnsi="仿宋_GB2312" w:eastAsia="仿宋_GB2312" w:cs="仿宋_GB2312"/>
          <w:b/>
          <w:bCs/>
          <w:color w:val="auto"/>
          <w:sz w:val="32"/>
          <w:szCs w:val="32"/>
          <w:highlight w:val="none"/>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（四）科技产业交流活动</w:t>
      </w:r>
    </w:p>
    <w:p>
      <w:pPr>
        <w:pStyle w:val="19"/>
        <w:keepNext w:val="0"/>
        <w:keepLines w:val="0"/>
        <w:pageBreakBefore w:val="0"/>
        <w:kinsoku/>
        <w:wordWrap/>
        <w:overflowPunct/>
        <w:topLinePunct w:val="0"/>
        <w:autoSpaceDE/>
        <w:autoSpaceDN/>
        <w:bidi w:val="0"/>
        <w:adjustRightInd w:val="0"/>
        <w:snapToGrid w:val="0"/>
        <w:spacing w:line="560" w:lineRule="exact"/>
        <w:ind w:right="0" w:rightChars="0"/>
        <w:textAlignment w:val="auto"/>
        <w:rPr>
          <w:rFonts w:hint="eastAsia" w:ascii="仿宋_GB2312" w:hAnsi="仿宋_GB2312" w:eastAsia="仿宋_GB2312" w:cs="仿宋_GB2312"/>
          <w:color w:val="auto"/>
          <w:spacing w:val="0"/>
          <w:w w:val="100"/>
          <w:kern w:val="2"/>
          <w:sz w:val="32"/>
          <w:szCs w:val="28"/>
          <w:highlight w:val="none"/>
          <w:lang w:val="en-US" w:eastAsia="zh-CN" w:bidi="ar-SA"/>
        </w:rPr>
      </w:pPr>
      <w:r>
        <w:rPr>
          <w:rFonts w:hint="eastAsia" w:ascii="仿宋_GB2312" w:hAnsi="仿宋_GB2312" w:eastAsia="仿宋_GB2312" w:cs="仿宋_GB2312"/>
          <w:color w:val="auto"/>
          <w:spacing w:val="0"/>
          <w:w w:val="100"/>
          <w:sz w:val="32"/>
          <w:szCs w:val="32"/>
          <w:highlight w:val="none"/>
          <w:lang w:val="en-US" w:eastAsia="zh-CN"/>
        </w:rPr>
        <w:t>为积极构建互利合作新共识，推进“双招双引”工作，将筹划通过实地考察调研、来访推介等形式组织 2 次科技产业交流活动</w:t>
      </w:r>
      <w:r>
        <w:rPr>
          <w:rFonts w:hint="eastAsia" w:ascii="仿宋_GB2312" w:hAnsi="仿宋_GB2312" w:eastAsia="仿宋_GB2312" w:cs="仿宋_GB2312"/>
          <w:color w:val="auto"/>
          <w:spacing w:val="0"/>
          <w:w w:val="100"/>
          <w:sz w:val="32"/>
          <w:highlight w:val="none"/>
          <w:lang w:val="en-US" w:eastAsia="zh-CN"/>
        </w:rPr>
        <w:t>，</w:t>
      </w:r>
      <w:r>
        <w:rPr>
          <w:rFonts w:hint="eastAsia" w:ascii="仿宋_GB2312" w:hAnsi="仿宋_GB2312" w:eastAsia="仿宋_GB2312" w:cs="仿宋_GB2312"/>
          <w:color w:val="auto"/>
          <w:sz w:val="32"/>
          <w:szCs w:val="32"/>
          <w:highlight w:val="none"/>
          <w:u w:val="none"/>
          <w:lang w:eastAsia="zh-CN"/>
        </w:rPr>
        <w:t>深入对接企业、高校、协会等资源，</w:t>
      </w:r>
      <w:r>
        <w:rPr>
          <w:rFonts w:hint="eastAsia" w:ascii="仿宋_GB2312" w:hAnsi="仿宋_GB2312" w:eastAsia="仿宋_GB2312" w:cs="仿宋_GB2312"/>
          <w:color w:val="auto"/>
          <w:sz w:val="32"/>
          <w:szCs w:val="32"/>
          <w:highlight w:val="none"/>
          <w:u w:val="none"/>
        </w:rPr>
        <w:t>学习医学装备技术创新、</w:t>
      </w:r>
      <w:r>
        <w:rPr>
          <w:rFonts w:hint="eastAsia" w:ascii="仿宋_GB2312" w:hAnsi="仿宋_GB2312" w:eastAsia="仿宋_GB2312" w:cs="仿宋_GB2312"/>
          <w:color w:val="auto"/>
          <w:sz w:val="32"/>
          <w:szCs w:val="32"/>
          <w:highlight w:val="none"/>
          <w:u w:val="none"/>
          <w:lang w:eastAsia="zh-CN"/>
        </w:rPr>
        <w:t>高端医疗器械</w:t>
      </w:r>
      <w:r>
        <w:rPr>
          <w:rFonts w:hint="eastAsia" w:ascii="仿宋_GB2312" w:hAnsi="仿宋_GB2312" w:eastAsia="仿宋_GB2312" w:cs="仿宋_GB2312"/>
          <w:color w:val="auto"/>
          <w:sz w:val="32"/>
          <w:szCs w:val="32"/>
          <w:highlight w:val="none"/>
          <w:lang w:val="en-US" w:eastAsia="zh-CN"/>
        </w:rPr>
        <w:t>和新能源</w:t>
      </w:r>
      <w:r>
        <w:rPr>
          <w:rFonts w:hint="eastAsia" w:ascii="仿宋_GB2312" w:hAnsi="仿宋_GB2312" w:eastAsia="仿宋_GB2312" w:cs="仿宋_GB2312"/>
          <w:color w:val="auto"/>
          <w:sz w:val="32"/>
          <w:szCs w:val="32"/>
          <w:highlight w:val="none"/>
          <w:u w:val="none"/>
        </w:rPr>
        <w:t>产业发展</w:t>
      </w:r>
      <w:r>
        <w:rPr>
          <w:rFonts w:hint="eastAsia" w:ascii="仿宋_GB2312" w:hAnsi="仿宋_GB2312" w:eastAsia="仿宋_GB2312" w:cs="仿宋_GB2312"/>
          <w:color w:val="auto"/>
          <w:sz w:val="32"/>
          <w:szCs w:val="32"/>
          <w:highlight w:val="none"/>
          <w:u w:val="none"/>
          <w:lang w:eastAsia="zh-CN"/>
        </w:rPr>
        <w:t>、医工融合转化</w:t>
      </w:r>
      <w:r>
        <w:rPr>
          <w:rFonts w:hint="eastAsia" w:ascii="仿宋_GB2312" w:hAnsi="仿宋_GB2312" w:eastAsia="仿宋_GB2312" w:cs="仿宋_GB2312"/>
          <w:color w:val="auto"/>
          <w:sz w:val="32"/>
          <w:szCs w:val="32"/>
          <w:highlight w:val="none"/>
          <w:u w:val="none"/>
        </w:rPr>
        <w:t>等先进经验</w:t>
      </w:r>
      <w:r>
        <w:rPr>
          <w:rFonts w:hint="eastAsia" w:ascii="仿宋_GB2312" w:hAnsi="仿宋_GB2312" w:eastAsia="仿宋_GB2312" w:cs="仿宋_GB2312"/>
          <w:color w:val="auto"/>
          <w:sz w:val="32"/>
          <w:szCs w:val="32"/>
          <w:highlight w:val="none"/>
          <w:u w:val="none"/>
          <w:lang w:eastAsia="zh-CN"/>
        </w:rPr>
        <w:t>，扩大合作共赢“朋友圈”，</w:t>
      </w:r>
      <w:r>
        <w:rPr>
          <w:rFonts w:hint="eastAsia" w:ascii="仿宋_GB2312" w:hAnsi="仿宋_GB2312" w:eastAsia="仿宋_GB2312" w:cs="仿宋_GB2312"/>
          <w:color w:val="auto"/>
          <w:sz w:val="32"/>
          <w:szCs w:val="32"/>
          <w:highlight w:val="none"/>
          <w:u w:val="none"/>
          <w:lang w:val="en-US" w:eastAsia="zh-CN"/>
        </w:rPr>
        <w:t>推广龙华</w:t>
      </w:r>
      <w:r>
        <w:rPr>
          <w:rFonts w:hint="eastAsia" w:ascii="仿宋_GB2312" w:hAnsi="仿宋_GB2312" w:eastAsia="仿宋_GB2312" w:cs="仿宋_GB2312"/>
          <w:color w:val="auto"/>
          <w:sz w:val="32"/>
          <w:szCs w:val="32"/>
          <w:highlight w:val="none"/>
          <w:u w:val="none"/>
          <w:lang w:eastAsia="zh-CN"/>
        </w:rPr>
        <w:t>高端医疗器械</w:t>
      </w:r>
      <w:r>
        <w:rPr>
          <w:rFonts w:hint="eastAsia" w:ascii="仿宋_GB2312" w:hAnsi="仿宋_GB2312" w:eastAsia="仿宋_GB2312" w:cs="仿宋_GB2312"/>
          <w:color w:val="auto"/>
          <w:sz w:val="32"/>
          <w:szCs w:val="32"/>
          <w:highlight w:val="none"/>
          <w:lang w:val="en-US" w:eastAsia="zh-CN"/>
        </w:rPr>
        <w:t>和新能源</w:t>
      </w:r>
      <w:r>
        <w:rPr>
          <w:rFonts w:hint="eastAsia" w:ascii="仿宋_GB2312" w:hAnsi="仿宋_GB2312" w:eastAsia="仿宋_GB2312" w:cs="仿宋_GB2312"/>
          <w:color w:val="auto"/>
          <w:sz w:val="32"/>
          <w:szCs w:val="32"/>
          <w:highlight w:val="none"/>
          <w:u w:val="none"/>
          <w:lang w:eastAsia="zh-CN"/>
        </w:rPr>
        <w:t>产业发展优势</w:t>
      </w:r>
      <w:r>
        <w:rPr>
          <w:rFonts w:hint="eastAsia" w:ascii="仿宋_GB2312" w:hAnsi="仿宋_GB2312" w:eastAsia="仿宋_GB2312" w:cs="仿宋_GB2312"/>
          <w:color w:val="auto"/>
          <w:sz w:val="32"/>
          <w:szCs w:val="32"/>
          <w:highlight w:val="none"/>
          <w:u w:val="none"/>
          <w:lang w:val="en-US" w:eastAsia="zh-CN"/>
        </w:rPr>
        <w:t>及</w:t>
      </w:r>
      <w:r>
        <w:rPr>
          <w:rFonts w:hint="eastAsia" w:ascii="仿宋_GB2312" w:hAnsi="仿宋_GB2312" w:eastAsia="仿宋_GB2312" w:cs="仿宋_GB2312"/>
          <w:color w:val="auto"/>
          <w:sz w:val="32"/>
          <w:szCs w:val="32"/>
          <w:highlight w:val="none"/>
          <w:u w:val="none"/>
          <w:lang w:eastAsia="zh-CN"/>
        </w:rPr>
        <w:t>打造深圳国际医疗器械城</w:t>
      </w:r>
      <w:r>
        <w:rPr>
          <w:rFonts w:hint="eastAsia" w:ascii="仿宋_GB2312" w:hAnsi="仿宋_GB2312" w:eastAsia="仿宋_GB2312" w:cs="仿宋_GB2312"/>
          <w:color w:val="auto"/>
          <w:sz w:val="32"/>
          <w:szCs w:val="32"/>
          <w:highlight w:val="none"/>
          <w:lang w:eastAsia="zh-CN"/>
        </w:rPr>
        <w:t>和能源科技城</w:t>
      </w:r>
      <w:r>
        <w:rPr>
          <w:rFonts w:hint="eastAsia" w:ascii="仿宋_GB2312" w:hAnsi="仿宋_GB2312" w:eastAsia="仿宋_GB2312" w:cs="仿宋_GB2312"/>
          <w:color w:val="auto"/>
          <w:sz w:val="32"/>
          <w:szCs w:val="32"/>
          <w:highlight w:val="none"/>
          <w:u w:val="none"/>
          <w:lang w:eastAsia="zh-CN"/>
        </w:rPr>
        <w:t>的战略布局及产业生态，</w:t>
      </w:r>
      <w:r>
        <w:rPr>
          <w:rFonts w:hint="eastAsia" w:ascii="仿宋_GB2312" w:hAnsi="仿宋_GB2312" w:eastAsia="仿宋_GB2312" w:cs="仿宋_GB2312"/>
          <w:color w:val="auto"/>
          <w:sz w:val="32"/>
          <w:szCs w:val="32"/>
          <w:highlight w:val="none"/>
          <w:u w:val="none"/>
          <w:lang w:val="en-US" w:eastAsia="zh-CN"/>
        </w:rPr>
        <w:t>促成更多产业合作，吸引优质企业落地。</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b w:val="0"/>
          <w:bCs w:val="0"/>
          <w:color w:val="auto"/>
          <w:sz w:val="32"/>
          <w:szCs w:val="40"/>
          <w:highlight w:val="none"/>
          <w:lang w:val="en-US" w:eastAsia="zh-CN"/>
        </w:rPr>
      </w:pPr>
      <w:r>
        <w:rPr>
          <w:rFonts w:hint="eastAsia" w:ascii="楷体_GB2312" w:hAnsi="楷体_GB2312" w:eastAsia="楷体_GB2312" w:cs="楷体_GB2312"/>
          <w:b w:val="0"/>
          <w:bCs w:val="0"/>
          <w:color w:val="auto"/>
          <w:sz w:val="32"/>
          <w:szCs w:val="40"/>
          <w:highlight w:val="none"/>
          <w:lang w:val="en-US" w:eastAsia="zh-CN"/>
        </w:rPr>
        <w:t>（五）优质项目招引落地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0" w:right="0" w:rightChars="0" w:firstLine="640" w:firstLineChars="200"/>
        <w:jc w:val="both"/>
        <w:textAlignment w:val="auto"/>
        <w:rPr>
          <w:rFonts w:hint="eastAsia" w:ascii="黑体" w:hAnsi="黑体" w:eastAsia="黑体" w:cs="黑体"/>
          <w:color w:val="auto"/>
          <w:sz w:val="32"/>
          <w:szCs w:val="32"/>
          <w:highlight w:val="none"/>
          <w:lang w:eastAsia="zh-CN"/>
        </w:rPr>
      </w:pPr>
      <w:r>
        <w:rPr>
          <w:rFonts w:hint="eastAsia" w:ascii="仿宋_GB2312" w:hAnsi="仿宋_GB2312" w:eastAsia="仿宋_GB2312" w:cs="仿宋_GB2312"/>
          <w:color w:val="auto"/>
          <w:spacing w:val="0"/>
          <w:w w:val="100"/>
          <w:sz w:val="32"/>
          <w:szCs w:val="32"/>
          <w:highlight w:val="none"/>
          <w:lang w:val="en-US" w:eastAsia="zh-CN"/>
        </w:rPr>
        <w:t>围绕</w:t>
      </w:r>
      <w:r>
        <w:rPr>
          <w:rFonts w:hint="eastAsia" w:ascii="仿宋_GB2312" w:hAnsi="仿宋_GB2312" w:eastAsia="仿宋_GB2312" w:cs="仿宋_GB2312"/>
          <w:color w:val="auto"/>
          <w:sz w:val="32"/>
          <w:szCs w:val="32"/>
          <w:highlight w:val="none"/>
        </w:rPr>
        <w:t>“1+2+3”现代产业体系</w:t>
      </w:r>
      <w:r>
        <w:rPr>
          <w:rFonts w:hint="eastAsia" w:ascii="仿宋_GB2312" w:hAnsi="仿宋_GB2312" w:eastAsia="仿宋_GB2312" w:cs="仿宋_GB2312"/>
          <w:color w:val="auto"/>
          <w:spacing w:val="0"/>
          <w:w w:val="100"/>
          <w:sz w:val="32"/>
          <w:szCs w:val="32"/>
          <w:highlight w:val="none"/>
          <w:lang w:val="en-US" w:eastAsia="zh-CN"/>
        </w:rPr>
        <w:t>方向，挖掘一批具备核心竞争力的优质项目，</w:t>
      </w:r>
      <w:r>
        <w:rPr>
          <w:rFonts w:hint="eastAsia" w:ascii="仿宋_GB2312" w:hAnsi="仿宋_GB2312" w:eastAsia="仿宋_GB2312" w:cs="仿宋_GB2312"/>
          <w:b w:val="0"/>
          <w:bCs w:val="0"/>
          <w:color w:val="auto"/>
          <w:sz w:val="32"/>
          <w:szCs w:val="32"/>
          <w:highlight w:val="none"/>
          <w:u w:val="none" w:color="auto"/>
          <w:lang w:val="en-US" w:eastAsia="zh-CN"/>
        </w:rPr>
        <w:t>引进优质科技创新项目(在中基协备案的市场化股权投资基金投资的项目、教授或院士创业项目及经双方认可的社会组织、研究院等创新生态机构及资源平台) 2 个</w:t>
      </w:r>
      <w:r>
        <w:rPr>
          <w:rFonts w:hint="eastAsia" w:ascii="仿宋_GB2312" w:hAnsi="仿宋_GB2312" w:eastAsia="仿宋_GB2312" w:cs="仿宋_GB2312"/>
          <w:color w:val="auto"/>
          <w:spacing w:val="0"/>
          <w:w w:val="100"/>
          <w:sz w:val="32"/>
          <w:szCs w:val="32"/>
          <w:highlight w:val="none"/>
          <w:lang w:val="en-US" w:eastAsia="zh-CN"/>
        </w:rPr>
        <w:t>，促成招商引资项目落地，为龙华经济社会高质量发展提供更加稳固的基础、更加充沛的动力。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Times New Roman"/>
          <w:b w:val="0"/>
          <w:bCs w:val="0"/>
          <w:color w:val="auto"/>
          <w:sz w:val="32"/>
          <w:szCs w:val="32"/>
          <w:highlight w:val="none"/>
          <w:u w:val="none"/>
          <w:lang w:eastAsia="zh-CN"/>
        </w:rPr>
      </w:pPr>
      <w:r>
        <w:rPr>
          <w:rFonts w:hint="eastAsia" w:ascii="黑体" w:hAnsi="黑体" w:eastAsia="黑体" w:cs="Times New Roman"/>
          <w:b w:val="0"/>
          <w:bCs w:val="0"/>
          <w:color w:val="auto"/>
          <w:sz w:val="32"/>
          <w:szCs w:val="32"/>
          <w:highlight w:val="none"/>
          <w:u w:val="none"/>
          <w:lang w:eastAsia="zh-CN"/>
        </w:rPr>
        <w:t>三</w:t>
      </w:r>
      <w:r>
        <w:rPr>
          <w:rFonts w:hint="eastAsia" w:ascii="黑体" w:hAnsi="黑体" w:eastAsia="黑体" w:cs="Times New Roman"/>
          <w:b w:val="0"/>
          <w:bCs w:val="0"/>
          <w:color w:val="auto"/>
          <w:sz w:val="32"/>
          <w:szCs w:val="32"/>
          <w:highlight w:val="none"/>
          <w:u w:val="none"/>
        </w:rPr>
        <w:t>、项目</w:t>
      </w:r>
      <w:r>
        <w:rPr>
          <w:rFonts w:hint="eastAsia" w:ascii="黑体" w:hAnsi="黑体" w:eastAsia="黑体" w:cs="Times New Roman"/>
          <w:b w:val="0"/>
          <w:bCs w:val="0"/>
          <w:color w:val="auto"/>
          <w:sz w:val="32"/>
          <w:szCs w:val="32"/>
          <w:highlight w:val="none"/>
          <w:u w:val="none"/>
          <w:lang w:eastAsia="zh-CN"/>
        </w:rPr>
        <w:t>成果交付要求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b w:val="0"/>
          <w:bCs w:val="0"/>
          <w:color w:val="auto"/>
          <w:spacing w:val="0"/>
          <w:w w:val="100"/>
          <w:sz w:val="32"/>
          <w:highlight w:val="none"/>
          <w:lang w:val="en-US" w:eastAsia="zh-CN"/>
        </w:rPr>
      </w:pPr>
      <w:r>
        <w:rPr>
          <w:rFonts w:hint="eastAsia" w:ascii="楷体_GB2312" w:hAnsi="楷体_GB2312" w:eastAsia="楷体_GB2312" w:cs="楷体_GB2312"/>
          <w:b w:val="0"/>
          <w:bCs w:val="0"/>
          <w:color w:val="auto"/>
          <w:spacing w:val="0"/>
          <w:w w:val="100"/>
          <w:sz w:val="32"/>
          <w:highlight w:val="none"/>
          <w:lang w:val="en-US" w:eastAsia="zh-CN"/>
        </w:rPr>
        <w:t>（一）招募70个优质项目</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lang w:val="en-US" w:eastAsia="zh-CN"/>
        </w:rPr>
        <w:t>主要</w:t>
      </w:r>
      <w:r>
        <w:rPr>
          <w:rFonts w:hint="eastAsia" w:ascii="仿宋_GB2312" w:hAnsi="仿宋_GB2312" w:eastAsia="仿宋_GB2312" w:cs="仿宋_GB2312"/>
          <w:color w:val="auto"/>
          <w:sz w:val="32"/>
          <w:szCs w:val="32"/>
          <w:highlight w:val="none"/>
          <w:u w:val="none" w:color="auto"/>
          <w:lang w:val="en-US" w:eastAsia="zh-CN"/>
        </w:rPr>
        <w:t>聚焦龙华重点发展的动物医疗、植介入、高端医学影像、体外诊断、生命监护和生命支持、医用耗材、</w:t>
      </w:r>
      <w:r>
        <w:rPr>
          <w:rFonts w:hint="eastAsia" w:ascii="仿宋_GB2312" w:hAnsi="仿宋_GB2312" w:eastAsia="仿宋_GB2312" w:cs="仿宋_GB2312"/>
          <w:color w:val="auto"/>
          <w:kern w:val="0"/>
          <w:sz w:val="31"/>
          <w:szCs w:val="31"/>
          <w:highlight w:val="none"/>
          <w:lang w:val="en-US" w:eastAsia="zh-CN" w:bidi="ar"/>
        </w:rPr>
        <w:t>放疗设备、</w:t>
      </w:r>
      <w:r>
        <w:rPr>
          <w:rFonts w:hint="eastAsia" w:ascii="仿宋_GB2312" w:hAnsi="仿宋_GB2312" w:eastAsia="仿宋_GB2312" w:cs="仿宋_GB2312"/>
          <w:color w:val="auto"/>
          <w:sz w:val="32"/>
          <w:szCs w:val="32"/>
          <w:highlight w:val="none"/>
          <w:u w:val="none" w:color="auto"/>
          <w:lang w:val="en-US" w:eastAsia="zh-CN"/>
        </w:rPr>
        <w:t>康复养老器械、智慧医疗以及手术机器人等领域和以</w:t>
      </w:r>
      <w:r>
        <w:rPr>
          <w:rFonts w:hint="eastAsia" w:ascii="仿宋_GB2312" w:hAnsi="仿宋_GB2312" w:eastAsia="仿宋_GB2312" w:cs="仿宋_GB2312"/>
          <w:color w:val="auto"/>
          <w:sz w:val="32"/>
          <w:szCs w:val="32"/>
        </w:rPr>
        <w:t>智能电动汽车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能源互联网、智能光伏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新型储能、氢能</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领域</w:t>
      </w:r>
      <w:r>
        <w:rPr>
          <w:rFonts w:hint="eastAsia" w:ascii="仿宋_GB2312" w:hAnsi="仿宋_GB2312" w:eastAsia="仿宋_GB2312" w:cs="仿宋_GB2312"/>
          <w:color w:val="auto"/>
          <w:sz w:val="32"/>
          <w:szCs w:val="32"/>
          <w:highlight w:val="none"/>
          <w:u w:val="none" w:color="auto"/>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b w:val="0"/>
          <w:bCs w:val="0"/>
          <w:color w:val="auto"/>
          <w:spacing w:val="0"/>
          <w:w w:val="100"/>
          <w:sz w:val="32"/>
          <w:highlight w:val="none"/>
          <w:lang w:val="en-US" w:eastAsia="zh-CN"/>
        </w:rPr>
      </w:pPr>
      <w:r>
        <w:rPr>
          <w:rFonts w:hint="eastAsia" w:ascii="楷体_GB2312" w:hAnsi="楷体_GB2312" w:eastAsia="楷体_GB2312" w:cs="楷体_GB2312"/>
          <w:b w:val="0"/>
          <w:bCs w:val="0"/>
          <w:color w:val="auto"/>
          <w:spacing w:val="0"/>
          <w:w w:val="100"/>
          <w:sz w:val="32"/>
          <w:highlight w:val="none"/>
          <w:lang w:val="en-US" w:eastAsia="zh-CN"/>
        </w:rPr>
        <w:t>（二）举办5场专项路演活动</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等线" w:eastAsia="仿宋_GB2312" w:cs="仿宋_GB2312"/>
          <w:color w:val="auto"/>
          <w:sz w:val="32"/>
          <w:szCs w:val="32"/>
          <w:highlight w:val="none"/>
          <w:lang w:eastAsia="zh-CN"/>
        </w:rPr>
      </w:pPr>
      <w:r>
        <w:rPr>
          <w:rFonts w:hint="eastAsia" w:ascii="仿宋_GB2312" w:hAnsi="等线" w:eastAsia="仿宋_GB2312" w:cs="仿宋_GB2312"/>
          <w:color w:val="auto"/>
          <w:sz w:val="32"/>
          <w:szCs w:val="32"/>
          <w:highlight w:val="none"/>
          <w:lang w:eastAsia="zh-CN"/>
        </w:rPr>
        <w:t>围绕龙华区战略性新兴产业及未来产业集群部署，筛选一批具有成长性的企业项目。</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b w:val="0"/>
          <w:bCs w:val="0"/>
          <w:color w:val="auto"/>
          <w:spacing w:val="0"/>
          <w:w w:val="100"/>
          <w:sz w:val="32"/>
          <w:highlight w:val="none"/>
          <w:lang w:val="en-US" w:eastAsia="zh-CN"/>
        </w:rPr>
      </w:pPr>
      <w:r>
        <w:rPr>
          <w:rFonts w:hint="eastAsia" w:ascii="楷体_GB2312" w:hAnsi="楷体_GB2312" w:eastAsia="楷体_GB2312" w:cs="楷体_GB2312"/>
          <w:b w:val="0"/>
          <w:bCs w:val="0"/>
          <w:color w:val="auto"/>
          <w:spacing w:val="0"/>
          <w:w w:val="100"/>
          <w:sz w:val="32"/>
          <w:highlight w:val="none"/>
          <w:lang w:val="en-US" w:eastAsia="zh-CN"/>
        </w:rPr>
        <w:t>（三）</w:t>
      </w:r>
      <w:r>
        <w:rPr>
          <w:rFonts w:hint="eastAsia" w:ascii="楷体_GB2312" w:hAnsi="楷体_GB2312" w:eastAsia="楷体_GB2312" w:cs="楷体_GB2312"/>
          <w:b w:val="0"/>
          <w:bCs w:val="0"/>
          <w:color w:val="auto"/>
          <w:spacing w:val="0"/>
          <w:w w:val="100"/>
          <w:kern w:val="2"/>
          <w:sz w:val="32"/>
          <w:szCs w:val="24"/>
          <w:highlight w:val="none"/>
          <w:lang w:val="en-US" w:eastAsia="zh-CN" w:bidi="ar-SA"/>
        </w:rPr>
        <w:t>开展2场科技产业交流活动</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等线" w:eastAsia="仿宋_GB2312" w:cs="仿宋_GB2312"/>
          <w:color w:val="auto"/>
          <w:sz w:val="32"/>
          <w:szCs w:val="32"/>
          <w:highlight w:val="none"/>
          <w:lang w:val="en-US" w:eastAsia="zh-CN"/>
        </w:rPr>
      </w:pPr>
      <w:r>
        <w:rPr>
          <w:rFonts w:hint="eastAsia" w:ascii="仿宋_GB2312" w:hAnsi="等线" w:eastAsia="仿宋_GB2312" w:cs="仿宋_GB2312"/>
          <w:color w:val="auto"/>
          <w:sz w:val="32"/>
          <w:szCs w:val="32"/>
          <w:highlight w:val="none"/>
          <w:lang w:val="en-US" w:eastAsia="zh-CN"/>
        </w:rPr>
        <w:t>开展 2 场科技产业交流活动。开展高端医疗器械和新能源产业集群调研考察工作或来访推介工作。深入对接京津冀城市群、长三角城市群和成渝城市群及周围城市资源，促成更多产业合作，吸引优质企业落地。</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b w:val="0"/>
          <w:bCs w:val="0"/>
          <w:color w:val="auto"/>
          <w:spacing w:val="0"/>
          <w:w w:val="100"/>
          <w:kern w:val="2"/>
          <w:sz w:val="32"/>
          <w:szCs w:val="24"/>
          <w:highlight w:val="none"/>
          <w:lang w:val="en-US" w:eastAsia="zh-CN" w:bidi="ar-SA"/>
        </w:rPr>
      </w:pPr>
      <w:r>
        <w:rPr>
          <w:rFonts w:hint="eastAsia" w:ascii="楷体_GB2312" w:hAnsi="楷体_GB2312" w:eastAsia="楷体_GB2312" w:cs="楷体_GB2312"/>
          <w:b w:val="0"/>
          <w:bCs w:val="0"/>
          <w:color w:val="auto"/>
          <w:spacing w:val="0"/>
          <w:w w:val="100"/>
          <w:kern w:val="2"/>
          <w:sz w:val="32"/>
          <w:szCs w:val="24"/>
          <w:highlight w:val="none"/>
          <w:lang w:val="en-US" w:eastAsia="zh-CN" w:bidi="ar-SA"/>
        </w:rPr>
        <w:t>（四）引进2个重大项目在龙华落地</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等线" w:eastAsia="仿宋_GB2312" w:cs="仿宋_GB2312"/>
          <w:color w:val="auto"/>
          <w:sz w:val="32"/>
          <w:szCs w:val="32"/>
          <w:highlight w:val="none"/>
          <w:lang w:val="en-US" w:eastAsia="zh-CN"/>
        </w:rPr>
      </w:pPr>
      <w:r>
        <w:rPr>
          <w:rFonts w:hint="eastAsia" w:ascii="仿宋_GB2312" w:hAnsi="等线" w:eastAsia="仿宋_GB2312" w:cs="仿宋_GB2312"/>
          <w:color w:val="auto"/>
          <w:sz w:val="32"/>
          <w:szCs w:val="32"/>
          <w:highlight w:val="none"/>
          <w:lang w:eastAsia="zh-CN"/>
        </w:rPr>
        <w:t>要求在中基协备案的市场化股权投资基金投资的项目、教授或院士创业项目及经双方认可的社会组织、研究院等创新生态机构及资源平台</w:t>
      </w:r>
      <w:r>
        <w:rPr>
          <w:rFonts w:hint="eastAsia" w:ascii="仿宋_GB2312" w:hAnsi="等线"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b w:val="0"/>
          <w:bCs w:val="0"/>
          <w:color w:val="auto"/>
          <w:sz w:val="32"/>
          <w:szCs w:val="32"/>
          <w:highlight w:val="none"/>
          <w:u w:val="none" w:color="auto"/>
          <w:lang w:val="en-US" w:eastAsia="zh-CN"/>
        </w:rPr>
      </w:pPr>
      <w:r>
        <w:rPr>
          <w:rFonts w:hint="eastAsia" w:ascii="楷体_GB2312" w:hAnsi="楷体_GB2312" w:eastAsia="楷体_GB2312" w:cs="楷体_GB2312"/>
          <w:b w:val="0"/>
          <w:bCs w:val="0"/>
          <w:color w:val="auto"/>
          <w:spacing w:val="0"/>
          <w:w w:val="100"/>
          <w:kern w:val="2"/>
          <w:sz w:val="32"/>
          <w:szCs w:val="24"/>
          <w:highlight w:val="none"/>
          <w:lang w:val="en-US" w:eastAsia="zh-CN" w:bidi="ar-SA"/>
        </w:rPr>
        <w:t>（五）形成 1 份年度媒体矩阵宣传清单</w:t>
      </w:r>
    </w:p>
    <w:p>
      <w:pPr>
        <w:pStyle w:val="3"/>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_GB2312" w:eastAsia="仿宋_GB2312" w:cs="仿宋_GB2312"/>
          <w:b w:val="0"/>
          <w:bCs w:val="0"/>
          <w:color w:val="auto"/>
          <w:spacing w:val="0"/>
          <w:w w:val="100"/>
          <w:kern w:val="2"/>
          <w:sz w:val="32"/>
          <w:szCs w:val="24"/>
          <w:highlight w:val="none"/>
          <w:lang w:val="en-US" w:eastAsia="zh-CN" w:bidi="ar-SA"/>
        </w:rPr>
      </w:pPr>
      <w:r>
        <w:rPr>
          <w:rFonts w:hint="eastAsia" w:ascii="仿宋_GB2312" w:hAnsi="仿宋_GB2312" w:eastAsia="仿宋_GB2312" w:cs="仿宋_GB2312"/>
          <w:b w:val="0"/>
          <w:bCs w:val="0"/>
          <w:color w:val="auto"/>
          <w:spacing w:val="0"/>
          <w:w w:val="100"/>
          <w:kern w:val="2"/>
          <w:sz w:val="32"/>
          <w:szCs w:val="24"/>
          <w:highlight w:val="none"/>
          <w:lang w:val="en-US" w:eastAsia="zh-CN" w:bidi="ar-SA"/>
        </w:rPr>
        <w:t>建立“国际通”的对外宣传窗口，增强新闻覆盖面和传播穿透力，通过媒体矩阵多渠道对龙华进行宣传进行宣传。</w:t>
      </w:r>
    </w:p>
    <w:p>
      <w:pPr>
        <w:pStyle w:val="3"/>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rPr>
          <w:rFonts w:hint="eastAsia" w:ascii="楷体_GB2312" w:hAnsi="楷体_GB2312" w:eastAsia="楷体_GB2312" w:cs="楷体_GB2312"/>
          <w:b w:val="0"/>
          <w:bCs w:val="0"/>
          <w:color w:val="auto"/>
          <w:spacing w:val="0"/>
          <w:w w:val="100"/>
          <w:kern w:val="2"/>
          <w:sz w:val="32"/>
          <w:szCs w:val="24"/>
          <w:highlight w:val="none"/>
          <w:lang w:val="en-US" w:eastAsia="zh-CN" w:bidi="ar-SA"/>
        </w:rPr>
      </w:pPr>
      <w:r>
        <w:rPr>
          <w:rFonts w:hint="eastAsia" w:ascii="楷体_GB2312" w:hAnsi="楷体_GB2312" w:eastAsia="楷体_GB2312" w:cs="楷体_GB2312"/>
          <w:b w:val="0"/>
          <w:bCs w:val="0"/>
          <w:color w:val="auto"/>
          <w:spacing w:val="0"/>
          <w:w w:val="100"/>
          <w:kern w:val="2"/>
          <w:sz w:val="32"/>
          <w:szCs w:val="24"/>
          <w:highlight w:val="none"/>
          <w:lang w:val="en-US" w:eastAsia="zh-CN" w:bidi="ar-SA"/>
        </w:rPr>
        <w:t>（六）形成 1 份“国际通”项目服务跟进台账</w:t>
      </w:r>
    </w:p>
    <w:p>
      <w:pPr>
        <w:pStyle w:val="3"/>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rPr>
          <w:rFonts w:hint="eastAsia"/>
          <w:lang w:eastAsia="zh-CN"/>
        </w:rPr>
      </w:pPr>
      <w:r>
        <w:rPr>
          <w:rFonts w:hint="eastAsia" w:ascii="仿宋_GB2312" w:eastAsia="仿宋_GB2312" w:cs="Times New Roman"/>
          <w:b w:val="0"/>
          <w:bCs w:val="0"/>
          <w:sz w:val="32"/>
          <w:szCs w:val="32"/>
          <w:lang w:val="en-US" w:eastAsia="zh-CN"/>
        </w:rPr>
        <w:t>构建项目服务机制，对有意落地项目进行持续跟进，形成项目服务跟进台账，定期回访，提升项目落地机会，应每半月更新一次。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Times New Roman"/>
          <w:b w:val="0"/>
          <w:bCs w:val="0"/>
          <w:color w:val="auto"/>
          <w:sz w:val="32"/>
          <w:szCs w:val="32"/>
          <w:highlight w:val="none"/>
          <w:u w:val="none"/>
        </w:rPr>
      </w:pPr>
      <w:r>
        <w:rPr>
          <w:rFonts w:hint="eastAsia" w:ascii="黑体" w:hAnsi="黑体" w:eastAsia="黑体" w:cs="Times New Roman"/>
          <w:b w:val="0"/>
          <w:bCs w:val="0"/>
          <w:color w:val="auto"/>
          <w:sz w:val="32"/>
          <w:szCs w:val="32"/>
          <w:highlight w:val="none"/>
          <w:u w:val="none"/>
          <w:lang w:eastAsia="zh-CN"/>
        </w:rPr>
        <w:t>四</w:t>
      </w:r>
      <w:r>
        <w:rPr>
          <w:rFonts w:hint="eastAsia" w:ascii="黑体" w:hAnsi="黑体" w:eastAsia="黑体" w:cs="Times New Roman"/>
          <w:b w:val="0"/>
          <w:bCs w:val="0"/>
          <w:color w:val="auto"/>
          <w:sz w:val="32"/>
          <w:szCs w:val="32"/>
          <w:highlight w:val="none"/>
          <w:u w:val="none"/>
        </w:rPr>
        <w:t>、项目保密要求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中标人应当对其在项目开展过程中所知悉的国家秘密、商业秘密和技术秘密负有保密责任，建立并实施相应的保密措施，具体保密要求如下：</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val="0"/>
          <w:bCs/>
          <w:color w:val="auto"/>
          <w:kern w:val="2"/>
          <w:sz w:val="32"/>
          <w:szCs w:val="32"/>
          <w:highlight w:val="none"/>
          <w:u w:val="none"/>
          <w:lang w:val="en-US" w:eastAsia="zh-CN" w:bidi="ar-SA"/>
        </w:rPr>
      </w:pPr>
      <w:r>
        <w:rPr>
          <w:rFonts w:hint="eastAsia" w:ascii="仿宋_GB2312" w:hAnsi="Times New Roman" w:eastAsia="仿宋_GB2312" w:cs="Times New Roman"/>
          <w:b w:val="0"/>
          <w:bCs/>
          <w:color w:val="auto"/>
          <w:kern w:val="2"/>
          <w:sz w:val="32"/>
          <w:szCs w:val="32"/>
          <w:highlight w:val="none"/>
          <w:u w:val="none"/>
          <w:lang w:val="en-US" w:eastAsia="zh-CN" w:bidi="ar-SA"/>
        </w:rPr>
        <w:t>（一）中标人不得利用所获取、掌握的采购人及其他政府部门的任何保密内容从事采购人及其他政府部门授权工作以外的任何事情，不得披露、允许第三方使用。</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auto"/>
          <w:kern w:val="2"/>
          <w:sz w:val="32"/>
          <w:szCs w:val="32"/>
          <w:highlight w:val="none"/>
          <w:u w:val="none"/>
          <w:lang w:val="en-US" w:eastAsia="zh-CN" w:bidi="ar-SA"/>
        </w:rPr>
      </w:pPr>
      <w:r>
        <w:rPr>
          <w:rFonts w:hint="eastAsia" w:ascii="仿宋_GB2312" w:hAnsi="Times New Roman" w:eastAsia="仿宋_GB2312" w:cs="Times New Roman"/>
          <w:b w:val="0"/>
          <w:bCs/>
          <w:color w:val="auto"/>
          <w:kern w:val="2"/>
          <w:sz w:val="32"/>
          <w:szCs w:val="32"/>
          <w:highlight w:val="none"/>
          <w:u w:val="none"/>
          <w:lang w:val="en-US" w:eastAsia="zh-CN" w:bidi="ar-SA"/>
        </w:rPr>
        <w:t>（二）中标人按照采购人要求完成项目后，须立即将项目成果提交采购人存档，未经采购人许可，不得向第三方披露。</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auto"/>
          <w:kern w:val="2"/>
          <w:sz w:val="32"/>
          <w:szCs w:val="32"/>
          <w:highlight w:val="none"/>
          <w:u w:val="none"/>
          <w:lang w:val="en-US" w:eastAsia="zh-CN" w:bidi="ar-SA"/>
        </w:rPr>
      </w:pPr>
      <w:r>
        <w:rPr>
          <w:rFonts w:hint="eastAsia" w:ascii="仿宋_GB2312" w:hAnsi="Times New Roman" w:eastAsia="仿宋_GB2312" w:cs="Times New Roman"/>
          <w:b w:val="0"/>
          <w:bCs/>
          <w:color w:val="auto"/>
          <w:kern w:val="2"/>
          <w:sz w:val="32"/>
          <w:szCs w:val="32"/>
          <w:highlight w:val="none"/>
          <w:u w:val="none"/>
          <w:lang w:val="en-US" w:eastAsia="zh-CN" w:bidi="ar-SA"/>
        </w:rPr>
        <w:t>（三）中标人应建立相应的保密制度，明确项目开展过程中各环节的保密性要求，确保相关资料和信息的保密性。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Times New Roman"/>
          <w:b w:val="0"/>
          <w:bCs w:val="0"/>
          <w:color w:val="auto"/>
          <w:sz w:val="32"/>
          <w:szCs w:val="32"/>
          <w:highlight w:val="none"/>
          <w:u w:val="none"/>
        </w:rPr>
      </w:pPr>
      <w:r>
        <w:rPr>
          <w:rFonts w:hint="eastAsia" w:ascii="黑体" w:hAnsi="黑体" w:eastAsia="黑体" w:cs="Times New Roman"/>
          <w:b w:val="0"/>
          <w:bCs w:val="0"/>
          <w:color w:val="auto"/>
          <w:sz w:val="32"/>
          <w:szCs w:val="32"/>
          <w:highlight w:val="none"/>
          <w:u w:val="none"/>
          <w:lang w:eastAsia="zh-CN"/>
        </w:rPr>
        <w:t>五</w:t>
      </w:r>
      <w:r>
        <w:rPr>
          <w:rFonts w:hint="eastAsia" w:ascii="黑体" w:hAnsi="黑体" w:eastAsia="黑体" w:cs="Times New Roman"/>
          <w:b w:val="0"/>
          <w:bCs w:val="0"/>
          <w:color w:val="auto"/>
          <w:sz w:val="32"/>
          <w:szCs w:val="32"/>
          <w:highlight w:val="none"/>
          <w:u w:val="none"/>
        </w:rPr>
        <w:t>、投标资格要求</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auto"/>
          <w:kern w:val="2"/>
          <w:sz w:val="32"/>
          <w:szCs w:val="32"/>
          <w:highlight w:val="none"/>
          <w:u w:val="none"/>
          <w:lang w:val="en-US" w:eastAsia="zh-CN" w:bidi="ar-SA"/>
        </w:rPr>
      </w:pPr>
      <w:r>
        <w:rPr>
          <w:rFonts w:hint="eastAsia" w:ascii="仿宋_GB2312" w:hAnsi="Times New Roman" w:eastAsia="仿宋_GB2312" w:cs="Times New Roman"/>
          <w:b w:val="0"/>
          <w:bCs/>
          <w:color w:val="auto"/>
          <w:kern w:val="2"/>
          <w:sz w:val="32"/>
          <w:szCs w:val="32"/>
          <w:highlight w:val="none"/>
          <w:u w:val="none"/>
          <w:lang w:val="en-US" w:eastAsia="zh-CN" w:bidi="ar-SA"/>
        </w:rPr>
        <w:t>（一）具有独立承担民事责任能力的在中华人民共和国境内注册的法人。</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auto"/>
          <w:kern w:val="2"/>
          <w:sz w:val="32"/>
          <w:szCs w:val="32"/>
          <w:highlight w:val="none"/>
          <w:u w:val="none"/>
          <w:lang w:val="en-US" w:eastAsia="zh-CN" w:bidi="ar-SA"/>
        </w:rPr>
      </w:pPr>
      <w:r>
        <w:rPr>
          <w:rFonts w:hint="eastAsia" w:ascii="仿宋_GB2312" w:hAnsi="Times New Roman" w:eastAsia="仿宋_GB2312" w:cs="Times New Roman"/>
          <w:b w:val="0"/>
          <w:bCs/>
          <w:color w:val="auto"/>
          <w:kern w:val="2"/>
          <w:sz w:val="32"/>
          <w:szCs w:val="32"/>
          <w:highlight w:val="none"/>
          <w:u w:val="none"/>
          <w:lang w:val="en-US" w:eastAsia="zh-CN" w:bidi="ar-SA"/>
        </w:rPr>
        <w:t>（二）参加本次政府采购活动前</w:t>
      </w:r>
      <w:r>
        <w:rPr>
          <w:rFonts w:ascii="仿宋_GB2312" w:hAnsi="Times New Roman" w:eastAsia="仿宋_GB2312" w:cs="Times New Roman"/>
          <w:b w:val="0"/>
          <w:bCs/>
          <w:color w:val="auto"/>
          <w:kern w:val="2"/>
          <w:sz w:val="32"/>
          <w:szCs w:val="32"/>
          <w:highlight w:val="none"/>
          <w:u w:val="none"/>
          <w:lang w:val="en-US" w:eastAsia="zh-CN" w:bidi="ar-SA"/>
        </w:rPr>
        <w:t>3年内在经营活动中没有重大违法记录（提供声明函，格式自拟）。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Times New Roman"/>
          <w:b w:val="0"/>
          <w:bCs w:val="0"/>
          <w:color w:val="auto"/>
          <w:sz w:val="32"/>
          <w:szCs w:val="32"/>
          <w:highlight w:val="none"/>
          <w:u w:val="none"/>
        </w:rPr>
      </w:pPr>
      <w:r>
        <w:rPr>
          <w:rFonts w:hint="eastAsia" w:ascii="黑体" w:hAnsi="黑体" w:eastAsia="黑体" w:cs="Times New Roman"/>
          <w:b w:val="0"/>
          <w:bCs w:val="0"/>
          <w:color w:val="auto"/>
          <w:sz w:val="32"/>
          <w:szCs w:val="32"/>
          <w:highlight w:val="none"/>
          <w:u w:val="none"/>
          <w:lang w:eastAsia="zh-CN"/>
        </w:rPr>
        <w:t>六</w:t>
      </w:r>
      <w:r>
        <w:rPr>
          <w:rFonts w:hint="eastAsia" w:ascii="黑体" w:hAnsi="黑体" w:eastAsia="黑体" w:cs="Times New Roman"/>
          <w:b w:val="0"/>
          <w:bCs w:val="0"/>
          <w:color w:val="auto"/>
          <w:sz w:val="32"/>
          <w:szCs w:val="32"/>
          <w:highlight w:val="none"/>
          <w:u w:val="none"/>
        </w:rPr>
        <w:t>、投标时间、地点及联系人</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auto"/>
          <w:kern w:val="2"/>
          <w:sz w:val="32"/>
          <w:szCs w:val="32"/>
          <w:highlight w:val="none"/>
          <w:u w:val="none"/>
          <w:lang w:val="en-US" w:eastAsia="zh-CN" w:bidi="ar-SA"/>
        </w:rPr>
      </w:pPr>
      <w:r>
        <w:rPr>
          <w:rFonts w:hint="eastAsia" w:ascii="仿宋_GB2312" w:hAnsi="Times New Roman" w:eastAsia="仿宋_GB2312" w:cs="Times New Roman"/>
          <w:b w:val="0"/>
          <w:bCs/>
          <w:color w:val="auto"/>
          <w:kern w:val="2"/>
          <w:sz w:val="32"/>
          <w:szCs w:val="32"/>
          <w:highlight w:val="none"/>
          <w:u w:val="none"/>
          <w:lang w:val="en-US" w:eastAsia="zh-CN" w:bidi="ar-SA"/>
        </w:rPr>
        <w:t>（一）投标时间：</w:t>
      </w:r>
      <w:r>
        <w:rPr>
          <w:rFonts w:ascii="仿宋_GB2312" w:hAnsi="Times New Roman" w:eastAsia="仿宋_GB2312" w:cs="Times New Roman"/>
          <w:b w:val="0"/>
          <w:bCs/>
          <w:color w:val="auto"/>
          <w:kern w:val="2"/>
          <w:sz w:val="32"/>
          <w:szCs w:val="32"/>
          <w:highlight w:val="none"/>
          <w:u w:val="none"/>
          <w:lang w:val="en-US" w:eastAsia="zh-CN" w:bidi="ar-SA"/>
        </w:rPr>
        <w:t>202</w:t>
      </w:r>
      <w:r>
        <w:rPr>
          <w:rFonts w:hint="eastAsia" w:ascii="仿宋_GB2312" w:hAnsi="Times New Roman" w:eastAsia="仿宋_GB2312" w:cs="Times New Roman"/>
          <w:b w:val="0"/>
          <w:bCs/>
          <w:color w:val="auto"/>
          <w:kern w:val="2"/>
          <w:sz w:val="32"/>
          <w:szCs w:val="32"/>
          <w:highlight w:val="none"/>
          <w:u w:val="none"/>
          <w:lang w:val="en-US" w:eastAsia="zh-CN" w:bidi="ar-SA"/>
        </w:rPr>
        <w:t>5年</w:t>
      </w:r>
      <w:r>
        <w:rPr>
          <w:rFonts w:hint="default" w:ascii="仿宋_GB2312" w:hAnsi="Times New Roman" w:eastAsia="仿宋_GB2312" w:cs="Times New Roman"/>
          <w:b w:val="0"/>
          <w:bCs/>
          <w:color w:val="auto"/>
          <w:kern w:val="2"/>
          <w:sz w:val="32"/>
          <w:szCs w:val="32"/>
          <w:highlight w:val="none"/>
          <w:u w:val="none"/>
          <w:lang w:val="en-US" w:eastAsia="zh-CN" w:bidi="ar-SA"/>
        </w:rPr>
        <w:t>3</w:t>
      </w:r>
      <w:r>
        <w:rPr>
          <w:rFonts w:hint="eastAsia" w:ascii="仿宋_GB2312" w:hAnsi="Times New Roman" w:eastAsia="仿宋_GB2312" w:cs="Times New Roman"/>
          <w:b w:val="0"/>
          <w:bCs/>
          <w:color w:val="auto"/>
          <w:kern w:val="2"/>
          <w:sz w:val="32"/>
          <w:szCs w:val="32"/>
          <w:highlight w:val="none"/>
          <w:u w:val="none"/>
          <w:lang w:val="en-US" w:eastAsia="zh-CN" w:bidi="ar-SA"/>
        </w:rPr>
        <w:t>月</w:t>
      </w:r>
      <w:r>
        <w:rPr>
          <w:rFonts w:hint="default" w:ascii="仿宋_GB2312" w:hAnsi="Times New Roman" w:eastAsia="仿宋_GB2312" w:cs="Times New Roman"/>
          <w:b w:val="0"/>
          <w:bCs/>
          <w:color w:val="auto"/>
          <w:kern w:val="2"/>
          <w:sz w:val="32"/>
          <w:szCs w:val="32"/>
          <w:highlight w:val="none"/>
          <w:u w:val="none"/>
          <w:lang w:val="en-US" w:eastAsia="zh-CN" w:bidi="ar-SA"/>
        </w:rPr>
        <w:t>28</w:t>
      </w:r>
      <w:r>
        <w:rPr>
          <w:rFonts w:hint="eastAsia" w:ascii="仿宋_GB2312" w:hAnsi="Times New Roman" w:eastAsia="仿宋_GB2312" w:cs="Times New Roman"/>
          <w:b w:val="0"/>
          <w:bCs/>
          <w:color w:val="auto"/>
          <w:kern w:val="2"/>
          <w:sz w:val="32"/>
          <w:szCs w:val="32"/>
          <w:highlight w:val="none"/>
          <w:u w:val="none"/>
          <w:lang w:val="en-US" w:eastAsia="zh-CN" w:bidi="ar-SA"/>
        </w:rPr>
        <w:t>日至</w:t>
      </w:r>
      <w:r>
        <w:rPr>
          <w:rFonts w:ascii="仿宋_GB2312" w:hAnsi="Times New Roman" w:eastAsia="仿宋_GB2312" w:cs="Times New Roman"/>
          <w:b w:val="0"/>
          <w:bCs/>
          <w:color w:val="auto"/>
          <w:kern w:val="2"/>
          <w:sz w:val="32"/>
          <w:szCs w:val="32"/>
          <w:highlight w:val="none"/>
          <w:u w:val="none"/>
          <w:lang w:val="en-US" w:eastAsia="zh-CN" w:bidi="ar-SA"/>
        </w:rPr>
        <w:t>202</w:t>
      </w:r>
      <w:r>
        <w:rPr>
          <w:rFonts w:hint="eastAsia" w:ascii="仿宋_GB2312" w:hAnsi="Times New Roman" w:eastAsia="仿宋_GB2312" w:cs="Times New Roman"/>
          <w:b w:val="0"/>
          <w:bCs/>
          <w:color w:val="auto"/>
          <w:kern w:val="2"/>
          <w:sz w:val="32"/>
          <w:szCs w:val="32"/>
          <w:highlight w:val="none"/>
          <w:u w:val="none"/>
          <w:lang w:val="en-US" w:eastAsia="zh-CN" w:bidi="ar-SA"/>
        </w:rPr>
        <w:t>5年</w:t>
      </w:r>
      <w:r>
        <w:rPr>
          <w:rFonts w:hint="default" w:ascii="仿宋_GB2312" w:hAnsi="Times New Roman" w:eastAsia="仿宋_GB2312" w:cs="Times New Roman"/>
          <w:b w:val="0"/>
          <w:bCs/>
          <w:color w:val="auto"/>
          <w:kern w:val="2"/>
          <w:sz w:val="32"/>
          <w:szCs w:val="32"/>
          <w:highlight w:val="none"/>
          <w:u w:val="none"/>
          <w:lang w:val="en-US" w:eastAsia="zh-CN" w:bidi="ar-SA"/>
        </w:rPr>
        <w:t>4</w:t>
      </w:r>
      <w:r>
        <w:rPr>
          <w:rFonts w:hint="eastAsia" w:ascii="仿宋_GB2312" w:hAnsi="Times New Roman" w:eastAsia="仿宋_GB2312" w:cs="Times New Roman"/>
          <w:b w:val="0"/>
          <w:bCs/>
          <w:color w:val="auto"/>
          <w:kern w:val="2"/>
          <w:sz w:val="32"/>
          <w:szCs w:val="32"/>
          <w:highlight w:val="none"/>
          <w:u w:val="none"/>
          <w:lang w:val="en-US" w:eastAsia="zh-CN" w:bidi="ar-SA"/>
        </w:rPr>
        <w:t>月</w:t>
      </w:r>
      <w:r>
        <w:rPr>
          <w:rFonts w:hint="default" w:ascii="仿宋_GB2312" w:hAnsi="Times New Roman" w:eastAsia="仿宋_GB2312" w:cs="Times New Roman"/>
          <w:b w:val="0"/>
          <w:bCs/>
          <w:color w:val="auto"/>
          <w:kern w:val="2"/>
          <w:sz w:val="32"/>
          <w:szCs w:val="32"/>
          <w:highlight w:val="none"/>
          <w:u w:val="none"/>
          <w:lang w:val="en-US" w:eastAsia="zh-CN" w:bidi="ar-SA"/>
        </w:rPr>
        <w:t>1</w:t>
      </w:r>
      <w:r>
        <w:rPr>
          <w:rFonts w:hint="eastAsia" w:ascii="仿宋_GB2312" w:hAnsi="Times New Roman" w:eastAsia="仿宋_GB2312" w:cs="Times New Roman"/>
          <w:b w:val="0"/>
          <w:bCs/>
          <w:color w:val="auto"/>
          <w:kern w:val="2"/>
          <w:sz w:val="32"/>
          <w:szCs w:val="32"/>
          <w:highlight w:val="none"/>
          <w:u w:val="none"/>
          <w:lang w:val="en-US" w:eastAsia="zh-CN" w:bidi="ar-SA"/>
        </w:rPr>
        <w:t>日（以正式发布为准），每日上午</w:t>
      </w:r>
      <w:r>
        <w:rPr>
          <w:rFonts w:ascii="仿宋_GB2312" w:hAnsi="Times New Roman" w:eastAsia="仿宋_GB2312" w:cs="Times New Roman"/>
          <w:b w:val="0"/>
          <w:bCs/>
          <w:color w:val="auto"/>
          <w:kern w:val="2"/>
          <w:sz w:val="32"/>
          <w:szCs w:val="32"/>
          <w:highlight w:val="none"/>
          <w:u w:val="none"/>
          <w:lang w:val="en-US" w:eastAsia="zh-CN" w:bidi="ar-SA"/>
        </w:rPr>
        <w:t>9:00-12:00，下午2:00-</w:t>
      </w:r>
      <w:r>
        <w:rPr>
          <w:rFonts w:hint="eastAsia" w:ascii="仿宋_GB2312" w:hAnsi="Times New Roman" w:eastAsia="仿宋_GB2312" w:cs="Times New Roman"/>
          <w:b w:val="0"/>
          <w:bCs/>
          <w:color w:val="auto"/>
          <w:kern w:val="2"/>
          <w:sz w:val="32"/>
          <w:szCs w:val="32"/>
          <w:highlight w:val="none"/>
          <w:u w:val="none"/>
          <w:lang w:val="en-US" w:eastAsia="zh-CN" w:bidi="ar-SA"/>
        </w:rPr>
        <w:t>6：00</w:t>
      </w:r>
      <w:r>
        <w:rPr>
          <w:rFonts w:ascii="仿宋_GB2312" w:hAnsi="Times New Roman" w:eastAsia="仿宋_GB2312" w:cs="Times New Roman"/>
          <w:b w:val="0"/>
          <w:bCs/>
          <w:color w:val="auto"/>
          <w:kern w:val="2"/>
          <w:sz w:val="32"/>
          <w:szCs w:val="32"/>
          <w:highlight w:val="none"/>
          <w:u w:val="none"/>
          <w:lang w:val="en-US" w:eastAsia="zh-CN" w:bidi="ar-SA"/>
        </w:rPr>
        <w:t>（节假日除外）。逾期未投标将不再受理。</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ascii="仿宋_GB2312" w:hAnsi="Times New Roman" w:eastAsia="仿宋_GB2312" w:cs="Times New Roman"/>
          <w:b/>
          <w:bCs/>
          <w:color w:val="auto"/>
          <w:kern w:val="2"/>
          <w:sz w:val="32"/>
          <w:szCs w:val="32"/>
          <w:highlight w:val="none"/>
          <w:u w:val="none"/>
          <w:lang w:val="en-US" w:eastAsia="zh-CN" w:bidi="ar-SA"/>
        </w:rPr>
      </w:pPr>
      <w:r>
        <w:rPr>
          <w:rFonts w:hint="eastAsia" w:ascii="仿宋_GB2312" w:hAnsi="Times New Roman" w:eastAsia="仿宋_GB2312" w:cs="Times New Roman"/>
          <w:b w:val="0"/>
          <w:bCs/>
          <w:color w:val="auto"/>
          <w:kern w:val="2"/>
          <w:sz w:val="32"/>
          <w:szCs w:val="32"/>
          <w:highlight w:val="none"/>
          <w:u w:val="none"/>
          <w:lang w:val="en-US" w:eastAsia="zh-CN" w:bidi="ar-SA"/>
        </w:rPr>
        <w:t>（二）投标地点：深圳市龙华区龙华街道清泉路7号富康行政服务办公区19楼A1902，深圳市龙华区发展和改革局办公室</w:t>
      </w:r>
      <w:r>
        <w:rPr>
          <w:rFonts w:ascii="仿宋_GB2312" w:hAnsi="Times New Roman" w:eastAsia="仿宋_GB2312" w:cs="Times New Roman"/>
          <w:b w:val="0"/>
          <w:bCs/>
          <w:color w:val="auto"/>
          <w:kern w:val="2"/>
          <w:sz w:val="32"/>
          <w:szCs w:val="32"/>
          <w:highlight w:val="none"/>
          <w:u w:val="none"/>
          <w:lang w:val="en-US" w:eastAsia="zh-CN" w:bidi="ar-SA"/>
        </w:rPr>
        <w:t>（可邮寄，以送达日期为投标日期）。</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9"/>
        <w:rPr>
          <w:rFonts w:hint="default" w:ascii="仿宋_GB2312" w:hAnsi="Times New Roman" w:eastAsia="仿宋_GB2312" w:cs="Times New Roman"/>
          <w:b/>
          <w:bCs/>
          <w:color w:val="auto"/>
          <w:kern w:val="2"/>
          <w:sz w:val="32"/>
          <w:szCs w:val="32"/>
          <w:highlight w:val="none"/>
          <w:u w:val="none"/>
          <w:lang w:val="en-US" w:eastAsia="zh-CN" w:bidi="ar-SA"/>
        </w:rPr>
      </w:pPr>
      <w:r>
        <w:rPr>
          <w:rFonts w:hint="eastAsia" w:ascii="仿宋_GB2312" w:hAnsi="Times New Roman" w:eastAsia="仿宋_GB2312" w:cs="Times New Roman"/>
          <w:b w:val="0"/>
          <w:bCs/>
          <w:color w:val="auto"/>
          <w:kern w:val="2"/>
          <w:sz w:val="32"/>
          <w:szCs w:val="32"/>
          <w:highlight w:val="none"/>
          <w:u w:val="none"/>
          <w:lang w:val="en-US" w:eastAsia="zh-CN" w:bidi="ar-SA"/>
        </w:rPr>
        <w:t>（三）联系电话：0755-23338519</w:t>
      </w:r>
    </w:p>
    <w:p>
      <w:pPr>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outlineLvl w:val="0"/>
        <w:rPr>
          <w:rFonts w:ascii="黑体" w:hAnsi="黑体" w:eastAsia="黑体" w:cs="Times New Roman"/>
          <w:b w:val="0"/>
          <w:bCs w:val="0"/>
          <w:color w:val="auto"/>
          <w:kern w:val="2"/>
          <w:sz w:val="32"/>
          <w:szCs w:val="32"/>
          <w:highlight w:val="none"/>
          <w:u w:val="none"/>
          <w:lang w:val="en-US" w:eastAsia="zh-CN" w:bidi="ar-SA"/>
        </w:rPr>
      </w:pPr>
      <w:r>
        <w:rPr>
          <w:rFonts w:hint="eastAsia" w:ascii="黑体" w:hAnsi="黑体" w:eastAsia="黑体" w:cs="Times New Roman"/>
          <w:b w:val="0"/>
          <w:bCs w:val="0"/>
          <w:color w:val="auto"/>
          <w:kern w:val="2"/>
          <w:sz w:val="32"/>
          <w:szCs w:val="32"/>
          <w:highlight w:val="none"/>
          <w:u w:val="none"/>
          <w:lang w:val="en-US" w:eastAsia="zh-CN" w:bidi="ar-SA"/>
        </w:rPr>
        <w:t>七、投标文件递交内容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（一）投标单位简介、投标人营业执照及相关证照（提供加盖公章的复印件，原件备查）。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（二）法定代表人证明书及授权委托书（原件加盖公章）。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（三）法定代表人及受委托人身份证复印件（复印件加盖公章）。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（四）项目方案及报价单（原件加盖公章）。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（五）投标人相关领域/项目经验证明材料（复印件加盖公章）。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（六）投标人无重大违法记录声明函（原件加盖公章，格式自拟）。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（七）投标及履约承诺函原件（格式见附件</w:t>
      </w:r>
      <w:r>
        <w:rPr>
          <w:rFonts w:hint="default" w:ascii="仿宋_GB2312" w:hAnsi="仿宋" w:eastAsia="仿宋_GB2312" w:cs="仿宋_GB2312"/>
          <w:color w:val="auto"/>
          <w:sz w:val="32"/>
          <w:szCs w:val="32"/>
          <w:highlight w:val="none"/>
          <w:u w:val="none"/>
          <w:lang w:val="en-US"/>
        </w:rPr>
        <w:t>1</w:t>
      </w:r>
      <w:r>
        <w:rPr>
          <w:rFonts w:hint="eastAsia" w:ascii="仿宋_GB2312" w:hAnsi="仿宋"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 w:eastAsia="仿宋_GB2312" w:cs="仿宋_GB2312"/>
          <w:color w:val="auto"/>
          <w:sz w:val="32"/>
          <w:szCs w:val="32"/>
          <w:highlight w:val="none"/>
          <w:u w:val="none"/>
          <w:lang w:val="en-US" w:eastAsia="zh-CN"/>
        </w:rPr>
      </w:pPr>
      <w:r>
        <w:rPr>
          <w:rFonts w:hint="eastAsia" w:ascii="仿宋_GB2312" w:hAnsi="仿宋" w:eastAsia="仿宋_GB2312" w:cs="仿宋_GB2312"/>
          <w:color w:val="auto"/>
          <w:sz w:val="32"/>
          <w:szCs w:val="32"/>
          <w:highlight w:val="none"/>
          <w:u w:val="none"/>
        </w:rPr>
        <w:t>（八）</w:t>
      </w:r>
      <w:r>
        <w:rPr>
          <w:rFonts w:hint="eastAsia" w:ascii="仿宋_GB2312" w:hAnsi="仿宋" w:eastAsia="仿宋_GB2312" w:cs="仿宋_GB2312"/>
          <w:color w:val="auto"/>
          <w:sz w:val="32"/>
          <w:szCs w:val="32"/>
          <w:highlight w:val="none"/>
          <w:u w:val="none"/>
          <w:lang w:eastAsia="zh-CN"/>
        </w:rPr>
        <w:t>供应商基本情况表</w:t>
      </w:r>
      <w:r>
        <w:rPr>
          <w:rFonts w:hint="eastAsia" w:ascii="仿宋_GB2312" w:hAnsi="仿宋" w:eastAsia="仿宋_GB2312" w:cs="仿宋_GB2312"/>
          <w:color w:val="auto"/>
          <w:sz w:val="32"/>
          <w:szCs w:val="32"/>
          <w:highlight w:val="none"/>
          <w:u w:val="none"/>
        </w:rPr>
        <w:t>（格式见附件</w:t>
      </w:r>
      <w:r>
        <w:rPr>
          <w:rFonts w:hint="eastAsia" w:ascii="仿宋_GB2312" w:hAnsi="仿宋" w:eastAsia="仿宋_GB2312" w:cs="仿宋_GB2312"/>
          <w:color w:val="auto"/>
          <w:sz w:val="32"/>
          <w:szCs w:val="32"/>
          <w:highlight w:val="none"/>
          <w:u w:val="none"/>
          <w:lang w:val="en-US" w:eastAsia="zh-CN"/>
        </w:rPr>
        <w:t>2</w:t>
      </w:r>
      <w:r>
        <w:rPr>
          <w:rFonts w:hint="eastAsia" w:ascii="仿宋_GB2312" w:hAnsi="仿宋"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w:t>
      </w:r>
      <w:r>
        <w:rPr>
          <w:rFonts w:hint="eastAsia" w:ascii="仿宋_GB2312" w:hAnsi="仿宋" w:eastAsia="仿宋_GB2312" w:cs="仿宋_GB2312"/>
          <w:color w:val="auto"/>
          <w:sz w:val="32"/>
          <w:szCs w:val="32"/>
          <w:highlight w:val="none"/>
          <w:u w:val="none"/>
          <w:lang w:eastAsia="zh-CN"/>
        </w:rPr>
        <w:t>九</w:t>
      </w:r>
      <w:r>
        <w:rPr>
          <w:rFonts w:hint="eastAsia" w:ascii="仿宋_GB2312" w:hAnsi="仿宋" w:eastAsia="仿宋_GB2312" w:cs="仿宋_GB2312"/>
          <w:color w:val="auto"/>
          <w:sz w:val="32"/>
          <w:szCs w:val="32"/>
          <w:highlight w:val="none"/>
          <w:u w:val="none"/>
        </w:rPr>
        <w:t>）投标人认为有必要提供的其它材料。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 w:hAnsi="仿宋" w:eastAsia="仿宋"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投标文件一式</w:t>
      </w:r>
      <w:r>
        <w:rPr>
          <w:rFonts w:hint="eastAsia" w:ascii="仿宋_GB2312" w:hAnsi="仿宋" w:eastAsia="仿宋_GB2312" w:cs="仿宋_GB2312"/>
          <w:color w:val="auto"/>
          <w:sz w:val="32"/>
          <w:szCs w:val="32"/>
          <w:highlight w:val="none"/>
          <w:u w:val="none"/>
          <w:lang w:eastAsia="zh-CN"/>
        </w:rPr>
        <w:t>五</w:t>
      </w:r>
      <w:r>
        <w:rPr>
          <w:rFonts w:hint="eastAsia" w:ascii="仿宋_GB2312" w:hAnsi="仿宋" w:eastAsia="仿宋_GB2312" w:cs="仿宋_GB2312"/>
          <w:color w:val="auto"/>
          <w:sz w:val="32"/>
          <w:szCs w:val="32"/>
          <w:highlight w:val="none"/>
          <w:u w:val="none"/>
        </w:rPr>
        <w:t>份，整套</w:t>
      </w:r>
      <w:r>
        <w:rPr>
          <w:rFonts w:hint="eastAsia" w:ascii="仿宋_GB2312" w:hAnsi="仿宋" w:eastAsia="仿宋_GB2312" w:cs="仿宋_GB2312"/>
          <w:color w:val="auto"/>
          <w:sz w:val="32"/>
          <w:szCs w:val="32"/>
          <w:highlight w:val="none"/>
          <w:u w:val="none"/>
          <w:lang w:eastAsia="zh-CN"/>
        </w:rPr>
        <w:t>纸质</w:t>
      </w:r>
      <w:r>
        <w:rPr>
          <w:rFonts w:hint="eastAsia" w:ascii="仿宋_GB2312" w:hAnsi="仿宋" w:eastAsia="仿宋_GB2312" w:cs="仿宋_GB2312"/>
          <w:color w:val="auto"/>
          <w:sz w:val="32"/>
          <w:szCs w:val="32"/>
          <w:highlight w:val="none"/>
          <w:u w:val="none"/>
        </w:rPr>
        <w:t>材料密封并加盖骑缝章，封面注明</w:t>
      </w:r>
      <w:r>
        <w:rPr>
          <w:rFonts w:hint="eastAsia" w:ascii="仿宋_GB2312" w:hAnsi="仿宋" w:eastAsia="仿宋_GB2312" w:cs="仿宋_GB2312"/>
          <w:color w:val="auto"/>
          <w:sz w:val="32"/>
          <w:szCs w:val="32"/>
          <w:highlight w:val="none"/>
          <w:u w:val="none"/>
          <w:lang w:eastAsia="zh-CN"/>
        </w:rPr>
        <w:t>招标项目名称；</w:t>
      </w:r>
      <w:r>
        <w:rPr>
          <w:rFonts w:hint="eastAsia" w:ascii="仿宋_GB2312" w:hAnsi="仿宋" w:eastAsia="仿宋_GB2312" w:cs="仿宋_GB2312"/>
          <w:color w:val="auto"/>
          <w:sz w:val="32"/>
          <w:szCs w:val="32"/>
          <w:highlight w:val="none"/>
          <w:u w:val="none"/>
        </w:rPr>
        <w:t>投标人的名称、地址、联系人及手机号码。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cs="Times New Roman"/>
          <w:b w:val="0"/>
          <w:bCs w:val="0"/>
          <w:color w:val="auto"/>
          <w:sz w:val="32"/>
          <w:szCs w:val="32"/>
          <w:highlight w:val="none"/>
          <w:u w:val="none"/>
        </w:rPr>
      </w:pPr>
      <w:r>
        <w:rPr>
          <w:rFonts w:hint="eastAsia" w:ascii="黑体" w:hAnsi="黑体" w:eastAsia="黑体" w:cs="Times New Roman"/>
          <w:b w:val="0"/>
          <w:bCs w:val="0"/>
          <w:color w:val="auto"/>
          <w:sz w:val="32"/>
          <w:szCs w:val="32"/>
          <w:highlight w:val="none"/>
          <w:u w:val="none"/>
          <w:lang w:eastAsia="zh-CN"/>
        </w:rPr>
        <w:t>八</w:t>
      </w:r>
      <w:r>
        <w:rPr>
          <w:rFonts w:hint="eastAsia" w:ascii="黑体" w:hAnsi="黑体" w:eastAsia="黑体" w:cs="Times New Roman"/>
          <w:b w:val="0"/>
          <w:bCs w:val="0"/>
          <w:color w:val="auto"/>
          <w:sz w:val="32"/>
          <w:szCs w:val="32"/>
          <w:highlight w:val="none"/>
          <w:u w:val="none"/>
        </w:rPr>
        <w:t>、重要提示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投标单位有下列情况之一的，其投标将被拒绝或作无效投标处理：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（一）未在规定时间内将投标文件送达规定地点的。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（二）投标人不具备投标资格要求，或未提交相应资格证明材料。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（三）投标文件未按规定密封、签字、盖章。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（四）投标文件无法定代表人签字或无法定代表人有效授权委托的。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（五）分项报价或投标总价高于预算金额（最高投标限价）的。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（六）同一项目出现两个及以上报价，且按规定无法确定哪个是有效报价。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（八）所投服务在质量、技术、方案等方面没有实质性满足招标文件要求。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s="仿宋_GB2312"/>
          <w:color w:val="auto"/>
          <w:sz w:val="32"/>
          <w:szCs w:val="32"/>
          <w:highlight w:val="none"/>
          <w:u w:val="none"/>
        </w:rPr>
      </w:pPr>
      <w:r>
        <w:rPr>
          <w:rFonts w:hint="eastAsia" w:ascii="仿宋_GB2312" w:hAnsi="仿宋" w:eastAsia="仿宋_GB2312" w:cs="仿宋_GB2312"/>
          <w:color w:val="auto"/>
          <w:sz w:val="32"/>
          <w:szCs w:val="32"/>
          <w:highlight w:val="none"/>
          <w:u w:val="none"/>
        </w:rPr>
        <w:t>（九）法律、法规规定的其他情形。</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楷体" w:hAnsi="楷体" w:eastAsia="楷体" w:cs="楷体"/>
          <w:bCs/>
          <w:color w:val="auto"/>
          <w:sz w:val="32"/>
          <w:szCs w:val="32"/>
          <w:highlight w:val="none"/>
        </w:rPr>
      </w:pPr>
      <w:r>
        <w:rPr>
          <w:rFonts w:hint="eastAsia" w:ascii="黑体" w:hAnsi="黑体" w:eastAsia="黑体" w:cs="黑体"/>
          <w:color w:val="auto"/>
          <w:sz w:val="32"/>
          <w:szCs w:val="32"/>
          <w:highlight w:val="none"/>
          <w:lang w:eastAsia="zh-CN"/>
        </w:rPr>
        <w:t>九、</w:t>
      </w:r>
      <w:r>
        <w:rPr>
          <w:rFonts w:hint="eastAsia" w:ascii="黑体" w:hAnsi="黑体" w:eastAsia="黑体" w:cs="黑体"/>
          <w:color w:val="auto"/>
          <w:sz w:val="32"/>
          <w:szCs w:val="32"/>
          <w:highlight w:val="none"/>
        </w:rPr>
        <w:t>评分</w:t>
      </w:r>
      <w:r>
        <w:rPr>
          <w:rFonts w:hint="eastAsia" w:ascii="黑体" w:hAnsi="黑体" w:eastAsia="黑体" w:cs="黑体"/>
          <w:color w:val="auto"/>
          <w:sz w:val="32"/>
          <w:szCs w:val="32"/>
          <w:highlight w:val="none"/>
          <w:lang w:eastAsia="zh-CN"/>
        </w:rPr>
        <w:t>方法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1"/>
        <w:rPr>
          <w:rFonts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（一）评分规则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auto"/>
          <w:sz w:val="32"/>
          <w:szCs w:val="32"/>
          <w:highlight w:val="none"/>
          <w:lang w:eastAsia="zh-CN"/>
        </w:rPr>
      </w:pPr>
      <w:r>
        <w:rPr>
          <w:rFonts w:hint="eastAsia" w:ascii="仿宋_GB2312" w:eastAsia="仿宋_GB2312"/>
          <w:color w:val="auto"/>
          <w:sz w:val="32"/>
          <w:szCs w:val="32"/>
          <w:highlight w:val="none"/>
        </w:rPr>
        <w:t>采取综合评分标准，平均分最高的</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auto"/>
          <w:sz w:val="32"/>
          <w:szCs w:val="32"/>
          <w:highlight w:val="none"/>
        </w:rPr>
        <w:t>人为本项目中标人。</w:t>
      </w:r>
      <w:r>
        <w:rPr>
          <w:rFonts w:hint="eastAsia" w:ascii="仿宋_GB2312" w:eastAsia="仿宋_GB2312"/>
          <w:color w:val="auto"/>
          <w:sz w:val="32"/>
          <w:szCs w:val="32"/>
          <w:highlight w:val="none"/>
          <w:lang w:eastAsia="zh-CN"/>
        </w:rPr>
        <w:t>得分相同的，按投标报价由低到高顺序排列。得分且投标报价相同的，按技术或服务方案优劣顺序排列。</w:t>
      </w:r>
    </w:p>
    <w:p>
      <w:pPr>
        <w:keepNext w:val="0"/>
        <w:keepLines w:val="0"/>
        <w:pageBreakBefore w:val="0"/>
        <w:widowControl w:val="0"/>
        <w:numPr>
          <w:ilvl w:val="-1"/>
          <w:numId w:val="0"/>
        </w:numPr>
        <w:kinsoku/>
        <w:wordWrap/>
        <w:overflowPunct/>
        <w:topLinePunct w:val="0"/>
        <w:autoSpaceDE/>
        <w:autoSpaceDN/>
        <w:bidi w:val="0"/>
        <w:spacing w:beforeLines="0" w:line="560" w:lineRule="exact"/>
        <w:ind w:firstLine="640" w:firstLineChars="200"/>
        <w:jc w:val="left"/>
        <w:textAlignment w:val="auto"/>
        <w:rPr>
          <w:rFonts w:hint="eastAsia" w:ascii="楷体" w:hAnsi="楷体" w:eastAsia="楷体" w:cs="楷体"/>
          <w:b w:val="0"/>
          <w:bCs/>
          <w:color w:val="auto"/>
          <w:kern w:val="2"/>
          <w:sz w:val="32"/>
          <w:szCs w:val="32"/>
          <w:highlight w:val="none"/>
          <w:lang w:val="en-US" w:eastAsia="zh-CN" w:bidi="ar-SA"/>
        </w:rPr>
      </w:pPr>
      <w:r>
        <w:rPr>
          <w:rFonts w:hint="eastAsia" w:ascii="楷体" w:hAnsi="楷体" w:eastAsia="楷体" w:cs="楷体"/>
          <w:bCs/>
          <w:color w:val="auto"/>
          <w:sz w:val="32"/>
          <w:szCs w:val="32"/>
          <w:highlight w:val="none"/>
          <w:lang w:eastAsia="zh-CN"/>
        </w:rPr>
        <w:t>（二）</w:t>
      </w:r>
      <w:r>
        <w:rPr>
          <w:rFonts w:hint="eastAsia" w:ascii="楷体" w:hAnsi="楷体" w:eastAsia="楷体" w:cs="楷体"/>
          <w:b w:val="0"/>
          <w:bCs/>
          <w:color w:val="auto"/>
          <w:kern w:val="2"/>
          <w:sz w:val="32"/>
          <w:szCs w:val="32"/>
          <w:highlight w:val="none"/>
          <w:lang w:val="en-US" w:eastAsia="zh-CN" w:bidi="ar-SA"/>
        </w:rPr>
        <w:t>评分权重</w:t>
      </w:r>
    </w:p>
    <w:tbl>
      <w:tblPr>
        <w:tblStyle w:val="15"/>
        <w:tblW w:w="8342"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757"/>
        <w:gridCol w:w="1736"/>
        <w:gridCol w:w="1693"/>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评分内容</w:t>
            </w:r>
          </w:p>
        </w:tc>
        <w:tc>
          <w:tcPr>
            <w:tcW w:w="17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商务能力</w:t>
            </w:r>
          </w:p>
        </w:tc>
        <w:tc>
          <w:tcPr>
            <w:tcW w:w="17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技术能力</w:t>
            </w:r>
          </w:p>
        </w:tc>
        <w:tc>
          <w:tcPr>
            <w:tcW w:w="169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人员配备</w:t>
            </w:r>
          </w:p>
        </w:tc>
        <w:tc>
          <w:tcPr>
            <w:tcW w:w="16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分值</w:t>
            </w:r>
          </w:p>
        </w:tc>
        <w:tc>
          <w:tcPr>
            <w:tcW w:w="17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default" w:ascii="仿宋_GB2312" w:hAnsi="仿宋_GB2312" w:eastAsia="仿宋_GB2312" w:cs="仿宋_GB2312"/>
                <w:b w:val="0"/>
                <w:bCs/>
                <w:color w:val="auto"/>
                <w:kern w:val="2"/>
                <w:sz w:val="24"/>
                <w:szCs w:val="24"/>
                <w:highlight w:val="none"/>
                <w:lang w:val="en" w:eastAsia="zh-CN" w:bidi="ar-SA"/>
              </w:rPr>
              <w:t>3</w:t>
            </w:r>
            <w:r>
              <w:rPr>
                <w:rFonts w:hint="eastAsia" w:ascii="仿宋_GB2312" w:hAnsi="仿宋_GB2312" w:eastAsia="仿宋_GB2312" w:cs="仿宋_GB2312"/>
                <w:b w:val="0"/>
                <w:bCs/>
                <w:color w:val="auto"/>
                <w:kern w:val="2"/>
                <w:sz w:val="24"/>
                <w:szCs w:val="24"/>
                <w:highlight w:val="none"/>
                <w:lang w:val="en-US" w:eastAsia="zh-CN" w:bidi="ar-SA"/>
              </w:rPr>
              <w:t>0分</w:t>
            </w:r>
          </w:p>
        </w:tc>
        <w:tc>
          <w:tcPr>
            <w:tcW w:w="17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40分</w:t>
            </w:r>
          </w:p>
        </w:tc>
        <w:tc>
          <w:tcPr>
            <w:tcW w:w="169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1</w:t>
            </w:r>
            <w:r>
              <w:rPr>
                <w:rFonts w:hint="default" w:ascii="仿宋_GB2312" w:hAnsi="仿宋_GB2312" w:eastAsia="仿宋_GB2312" w:cs="仿宋_GB2312"/>
                <w:b w:val="0"/>
                <w:bCs/>
                <w:color w:val="auto"/>
                <w:kern w:val="2"/>
                <w:sz w:val="24"/>
                <w:szCs w:val="24"/>
                <w:highlight w:val="none"/>
                <w:lang w:val="en" w:eastAsia="zh-CN" w:bidi="ar-SA"/>
              </w:rPr>
              <w:t>0</w:t>
            </w:r>
            <w:r>
              <w:rPr>
                <w:rFonts w:hint="eastAsia" w:ascii="仿宋_GB2312" w:hAnsi="仿宋_GB2312" w:eastAsia="仿宋_GB2312" w:cs="仿宋_GB2312"/>
                <w:b w:val="0"/>
                <w:bCs/>
                <w:color w:val="auto"/>
                <w:kern w:val="2"/>
                <w:sz w:val="24"/>
                <w:szCs w:val="24"/>
                <w:highlight w:val="none"/>
                <w:lang w:val="en-US" w:eastAsia="zh-CN" w:bidi="ar-SA"/>
              </w:rPr>
              <w:t>分</w:t>
            </w:r>
          </w:p>
        </w:tc>
        <w:tc>
          <w:tcPr>
            <w:tcW w:w="16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2</w:t>
            </w:r>
            <w:r>
              <w:rPr>
                <w:rFonts w:hint="default" w:ascii="仿宋_GB2312" w:hAnsi="仿宋_GB2312" w:eastAsia="仿宋_GB2312" w:cs="仿宋_GB2312"/>
                <w:b w:val="0"/>
                <w:bCs/>
                <w:color w:val="auto"/>
                <w:kern w:val="2"/>
                <w:sz w:val="24"/>
                <w:szCs w:val="24"/>
                <w:highlight w:val="none"/>
                <w:lang w:val="en" w:eastAsia="zh-CN" w:bidi="ar-SA"/>
              </w:rPr>
              <w:t>0</w:t>
            </w:r>
            <w:r>
              <w:rPr>
                <w:rFonts w:hint="eastAsia" w:ascii="仿宋_GB2312" w:hAnsi="仿宋_GB2312" w:eastAsia="仿宋_GB2312" w:cs="仿宋_GB2312"/>
                <w:b w:val="0"/>
                <w:bCs/>
                <w:color w:val="auto"/>
                <w:kern w:val="2"/>
                <w:sz w:val="24"/>
                <w:szCs w:val="24"/>
                <w:highlight w:val="none"/>
                <w:lang w:val="en-US" w:eastAsia="zh-CN" w:bidi="ar-SA"/>
              </w:rPr>
              <w:t>分</w:t>
            </w:r>
          </w:p>
        </w:tc>
      </w:tr>
    </w:tbl>
    <w:p>
      <w:pPr>
        <w:keepNext w:val="0"/>
        <w:keepLines w:val="0"/>
        <w:pageBreakBefore w:val="0"/>
        <w:widowControl w:val="0"/>
        <w:kinsoku/>
        <w:wordWrap/>
        <w:overflowPunct/>
        <w:topLinePunct w:val="0"/>
        <w:autoSpaceDE/>
        <w:autoSpaceDN/>
        <w:bidi w:val="0"/>
        <w:spacing w:beforeLines="0" w:line="56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楷体" w:hAnsi="楷体" w:eastAsia="楷体" w:cs="楷体"/>
          <w:b w:val="0"/>
          <w:bCs/>
          <w:color w:val="auto"/>
          <w:kern w:val="2"/>
          <w:sz w:val="32"/>
          <w:szCs w:val="32"/>
          <w:highlight w:val="none"/>
          <w:lang w:val="en-US" w:eastAsia="zh-CN" w:bidi="ar-SA"/>
        </w:rPr>
        <w:t>（三）评分标准</w:t>
      </w:r>
    </w:p>
    <w:p>
      <w:pPr>
        <w:keepNext w:val="0"/>
        <w:keepLines w:val="0"/>
        <w:pageBreakBefore w:val="0"/>
        <w:kinsoku/>
        <w:wordWrap/>
        <w:overflowPunct/>
        <w:topLinePunct w:val="0"/>
        <w:autoSpaceDE/>
        <w:autoSpaceDN/>
        <w:bidi w:val="0"/>
        <w:spacing w:beforeLines="0" w:line="56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1.商务能力</w:t>
      </w:r>
    </w:p>
    <w:tbl>
      <w:tblPr>
        <w:tblStyle w:val="14"/>
        <w:tblW w:w="875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91"/>
        <w:gridCol w:w="5371"/>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81" w:type="dxa"/>
            <w:gridSpan w:val="3"/>
            <w:noWrap w:val="0"/>
            <w:vAlign w:val="center"/>
          </w:tcPr>
          <w:p>
            <w:pPr>
              <w:keepNext w:val="0"/>
              <w:keepLines w:val="0"/>
              <w:pageBreakBefore w:val="0"/>
              <w:widowControl/>
              <w:kinsoku/>
              <w:wordWrap/>
              <w:overflowPunct/>
              <w:topLinePunct w:val="0"/>
              <w:autoSpaceDE/>
              <w:autoSpaceDN/>
              <w:bidi w:val="0"/>
              <w:adjustRightInd/>
              <w:snapToGrid/>
              <w:spacing w:beforeLines="0"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1670" w:type="dxa"/>
            <w:noWrap w:val="0"/>
            <w:vAlign w:val="center"/>
          </w:tcPr>
          <w:p>
            <w:pPr>
              <w:keepNext w:val="0"/>
              <w:keepLines w:val="0"/>
              <w:pageBreakBefore w:val="0"/>
              <w:widowControl/>
              <w:kinsoku/>
              <w:wordWrap/>
              <w:overflowPunct/>
              <w:topLinePunct w:val="0"/>
              <w:autoSpaceDE/>
              <w:autoSpaceDN/>
              <w:bidi w:val="0"/>
              <w:adjustRightInd/>
              <w:snapToGrid/>
              <w:spacing w:beforeLines="0"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19" w:type="dxa"/>
            <w:vMerge w:val="restart"/>
            <w:noWrap w:val="0"/>
            <w:vAlign w:val="center"/>
          </w:tcPr>
          <w:p>
            <w:pPr>
              <w:keepNext w:val="0"/>
              <w:keepLines w:val="0"/>
              <w:pageBreakBefore w:val="0"/>
              <w:kinsoku/>
              <w:wordWrap/>
              <w:overflowPunct/>
              <w:topLinePunct w:val="0"/>
              <w:autoSpaceDE/>
              <w:autoSpaceDN/>
              <w:bidi w:val="0"/>
              <w:adjustRightInd/>
              <w:snapToGrid/>
              <w:spacing w:beforeLines="0" w:line="56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商务</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val="en-US" w:eastAsia="zh-CN"/>
              </w:rPr>
              <w:t>30</w:t>
            </w:r>
            <w:r>
              <w:rPr>
                <w:rFonts w:hint="eastAsia" w:ascii="仿宋_GB2312" w:hAnsi="仿宋_GB2312" w:eastAsia="仿宋_GB2312" w:cs="仿宋_GB2312"/>
                <w:b w:val="0"/>
                <w:bCs/>
                <w:color w:val="auto"/>
                <w:sz w:val="24"/>
                <w:szCs w:val="24"/>
                <w:highlight w:val="none"/>
              </w:rPr>
              <w:t>分</w:t>
            </w:r>
          </w:p>
        </w:tc>
        <w:tc>
          <w:tcPr>
            <w:tcW w:w="1191" w:type="dxa"/>
            <w:noWrap w:val="0"/>
            <w:vAlign w:val="center"/>
          </w:tcPr>
          <w:p>
            <w:pPr>
              <w:keepNext w:val="0"/>
              <w:keepLines w:val="0"/>
              <w:pageBreakBefore w:val="0"/>
              <w:kinsoku/>
              <w:wordWrap/>
              <w:overflowPunct/>
              <w:topLinePunct w:val="0"/>
              <w:autoSpaceDE/>
              <w:autoSpaceDN/>
              <w:bidi w:val="0"/>
              <w:adjustRightInd/>
              <w:snapToGrid/>
              <w:spacing w:beforeLines="0"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资质</w:t>
            </w:r>
          </w:p>
          <w:p>
            <w:pPr>
              <w:keepNext w:val="0"/>
              <w:keepLines w:val="0"/>
              <w:pageBreakBefore w:val="0"/>
              <w:kinsoku/>
              <w:wordWrap/>
              <w:overflowPunct/>
              <w:topLinePunct w:val="0"/>
              <w:autoSpaceDE/>
              <w:autoSpaceDN/>
              <w:bidi w:val="0"/>
              <w:adjustRightInd/>
              <w:snapToGrid/>
              <w:spacing w:beforeLines="0"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default" w:ascii="仿宋_GB2312" w:hAnsi="仿宋_GB2312" w:eastAsia="仿宋_GB2312" w:cs="仿宋_GB2312"/>
                <w:b w:val="0"/>
                <w:bCs/>
                <w:color w:val="auto"/>
                <w:sz w:val="24"/>
                <w:szCs w:val="24"/>
                <w:highlight w:val="none"/>
                <w:lang w:val="en-US" w:eastAsia="zh-CN"/>
              </w:rPr>
              <w:t>7</w:t>
            </w:r>
            <w:r>
              <w:rPr>
                <w:rFonts w:hint="eastAsia" w:ascii="仿宋_GB2312" w:hAnsi="仿宋_GB2312" w:eastAsia="仿宋_GB2312" w:cs="仿宋_GB2312"/>
                <w:b w:val="0"/>
                <w:bCs/>
                <w:color w:val="auto"/>
                <w:sz w:val="24"/>
                <w:szCs w:val="24"/>
                <w:highlight w:val="none"/>
              </w:rPr>
              <w:t>分）</w:t>
            </w:r>
          </w:p>
        </w:tc>
        <w:tc>
          <w:tcPr>
            <w:tcW w:w="5371" w:type="dxa"/>
            <w:noWrap w:val="0"/>
            <w:vAlign w:val="center"/>
          </w:tcPr>
          <w:p>
            <w:pPr>
              <w:keepNext w:val="0"/>
              <w:keepLines w:val="0"/>
              <w:pageBreakBefore w:val="0"/>
              <w:kinsoku/>
              <w:wordWrap/>
              <w:overflowPunct/>
              <w:topLinePunct w:val="0"/>
              <w:autoSpaceDE/>
              <w:autoSpaceDN/>
              <w:bidi w:val="0"/>
              <w:adjustRightInd/>
              <w:snapToGrid/>
              <w:spacing w:beforeLines="0" w:line="56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具有相关部门颁发的与招商引资及企业服务相关资质或授牌，提供证明得</w:t>
            </w:r>
            <w:r>
              <w:rPr>
                <w:rFonts w:hint="default" w:ascii="仿宋_GB2312" w:hAnsi="仿宋_GB2312" w:eastAsia="仿宋_GB2312" w:cs="仿宋_GB2312"/>
                <w:b w:val="0"/>
                <w:bCs/>
                <w:color w:val="auto"/>
                <w:sz w:val="24"/>
                <w:szCs w:val="24"/>
                <w:highlight w:val="none"/>
                <w:lang w:val="en-US" w:eastAsia="zh-CN"/>
              </w:rPr>
              <w:t>4</w:t>
            </w:r>
            <w:r>
              <w:rPr>
                <w:rFonts w:hint="eastAsia" w:ascii="仿宋_GB2312" w:hAnsi="仿宋_GB2312" w:eastAsia="仿宋_GB2312" w:cs="仿宋_GB2312"/>
                <w:b w:val="0"/>
                <w:bCs/>
                <w:color w:val="auto"/>
                <w:sz w:val="24"/>
                <w:szCs w:val="24"/>
                <w:highlight w:val="none"/>
                <w:lang w:val="en-US" w:eastAsia="zh-CN"/>
              </w:rPr>
              <w:t>分。</w:t>
            </w:r>
          </w:p>
          <w:p>
            <w:pPr>
              <w:keepNext w:val="0"/>
              <w:keepLines w:val="0"/>
              <w:pageBreakBefore w:val="0"/>
              <w:kinsoku/>
              <w:wordWrap/>
              <w:overflowPunct/>
              <w:topLinePunct w:val="0"/>
              <w:autoSpaceDE/>
              <w:autoSpaceDN/>
              <w:bidi w:val="0"/>
              <w:spacing w:beforeLines="0" w:line="560" w:lineRule="exact"/>
              <w:jc w:val="left"/>
              <w:textAlignment w:val="auto"/>
              <w:rPr>
                <w:rFonts w:hint="eastAsia"/>
                <w:color w:val="auto"/>
                <w:highlight w:val="none"/>
              </w:rPr>
            </w:pPr>
            <w:r>
              <w:rPr>
                <w:rFonts w:hint="eastAsia" w:ascii="仿宋_GB2312" w:hAnsi="仿宋_GB2312" w:eastAsia="仿宋_GB2312" w:cs="仿宋_GB2312"/>
                <w:b w:val="0"/>
                <w:bCs/>
                <w:color w:val="auto"/>
                <w:sz w:val="24"/>
                <w:szCs w:val="24"/>
                <w:highlight w:val="none"/>
                <w:lang w:val="en-US" w:eastAsia="zh-CN"/>
              </w:rPr>
              <w:t>投标方为社会组织的，获社会组织评估4A级以上可加3分；投标方为企业的，获国家高新技术企业认证的可加3分。</w:t>
            </w: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提供证明复印件</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并加盖公章</w:t>
            </w:r>
            <w:r>
              <w:rPr>
                <w:rFonts w:hint="eastAsia" w:ascii="仿宋_GB2312" w:hAnsi="仿宋_GB2312" w:eastAsia="仿宋_GB2312" w:cs="仿宋_GB2312"/>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beforeLines="0"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91" w:type="dxa"/>
            <w:noWrap w:val="0"/>
            <w:vAlign w:val="center"/>
          </w:tcPr>
          <w:p>
            <w:pPr>
              <w:keepNext w:val="0"/>
              <w:keepLines w:val="0"/>
              <w:pageBreakBefore w:val="0"/>
              <w:kinsoku/>
              <w:wordWrap/>
              <w:overflowPunct/>
              <w:topLinePunct w:val="0"/>
              <w:autoSpaceDE/>
              <w:autoSpaceDN/>
              <w:bidi w:val="0"/>
              <w:adjustRightInd/>
              <w:snapToGrid/>
              <w:spacing w:beforeLines="0"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经验</w:t>
            </w:r>
          </w:p>
          <w:p>
            <w:pPr>
              <w:keepNext w:val="0"/>
              <w:keepLines w:val="0"/>
              <w:pageBreakBefore w:val="0"/>
              <w:kinsoku/>
              <w:wordWrap/>
              <w:overflowPunct/>
              <w:topLinePunct w:val="0"/>
              <w:autoSpaceDE/>
              <w:autoSpaceDN/>
              <w:bidi w:val="0"/>
              <w:adjustRightInd/>
              <w:snapToGrid/>
              <w:spacing w:beforeLines="0"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w:t>
            </w:r>
            <w:r>
              <w:rPr>
                <w:rFonts w:hint="default" w:ascii="仿宋_GB2312" w:hAnsi="仿宋_GB2312" w:eastAsia="仿宋_GB2312" w:cs="仿宋_GB2312"/>
                <w:b w:val="0"/>
                <w:bCs/>
                <w:color w:val="auto"/>
                <w:sz w:val="24"/>
                <w:szCs w:val="24"/>
                <w:highlight w:val="none"/>
                <w:lang w:val="en-US" w:eastAsia="zh-CN"/>
              </w:rPr>
              <w:t>8</w:t>
            </w:r>
            <w:r>
              <w:rPr>
                <w:rFonts w:hint="eastAsia" w:ascii="仿宋_GB2312" w:hAnsi="仿宋_GB2312" w:eastAsia="仿宋_GB2312" w:cs="仿宋_GB2312"/>
                <w:b w:val="0"/>
                <w:bCs/>
                <w:color w:val="auto"/>
                <w:sz w:val="24"/>
                <w:szCs w:val="24"/>
                <w:highlight w:val="none"/>
              </w:rPr>
              <w:t>分）</w:t>
            </w:r>
          </w:p>
        </w:tc>
        <w:tc>
          <w:tcPr>
            <w:tcW w:w="5371" w:type="dxa"/>
            <w:noWrap w:val="0"/>
            <w:vAlign w:val="center"/>
          </w:tcPr>
          <w:p>
            <w:pPr>
              <w:keepNext w:val="0"/>
              <w:keepLines w:val="0"/>
              <w:pageBreakBefore w:val="0"/>
              <w:kinsoku/>
              <w:wordWrap/>
              <w:overflowPunct/>
              <w:topLinePunct w:val="0"/>
              <w:autoSpaceDE/>
              <w:autoSpaceDN/>
              <w:bidi w:val="0"/>
              <w:adjustRightInd/>
              <w:snapToGrid/>
              <w:spacing w:beforeLines="0"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具有国家、省、市、区级活动（论坛、展会）等承办经验，举办国家级活动一项得</w:t>
            </w:r>
            <w:r>
              <w:rPr>
                <w:rFonts w:hint="default" w:ascii="仿宋_GB2312" w:hAnsi="仿宋_GB2312" w:eastAsia="仿宋_GB2312" w:cs="仿宋_GB2312"/>
                <w:b w:val="0"/>
                <w:bCs/>
                <w:color w:val="auto"/>
                <w:sz w:val="24"/>
                <w:szCs w:val="24"/>
                <w:highlight w:val="none"/>
                <w:lang w:val="en-US" w:eastAsia="zh-CN"/>
              </w:rPr>
              <w:t>2</w:t>
            </w:r>
            <w:r>
              <w:rPr>
                <w:rFonts w:hint="eastAsia" w:ascii="仿宋_GB2312" w:hAnsi="仿宋_GB2312" w:eastAsia="仿宋_GB2312" w:cs="仿宋_GB2312"/>
                <w:b w:val="0"/>
                <w:bCs/>
                <w:color w:val="auto"/>
                <w:sz w:val="24"/>
                <w:szCs w:val="24"/>
                <w:highlight w:val="none"/>
                <w:lang w:val="en-US" w:eastAsia="zh-CN"/>
              </w:rPr>
              <w:t>分，累计最高</w:t>
            </w:r>
            <w:r>
              <w:rPr>
                <w:rFonts w:hint="default" w:ascii="仿宋_GB2312" w:hAnsi="仿宋_GB2312" w:eastAsia="仿宋_GB2312" w:cs="仿宋_GB2312"/>
                <w:b w:val="0"/>
                <w:bCs/>
                <w:color w:val="auto"/>
                <w:sz w:val="24"/>
                <w:szCs w:val="24"/>
                <w:highlight w:val="none"/>
                <w:lang w:val="en-US" w:eastAsia="zh-CN"/>
              </w:rPr>
              <w:t>8</w:t>
            </w:r>
            <w:r>
              <w:rPr>
                <w:rFonts w:hint="eastAsia" w:ascii="仿宋_GB2312" w:hAnsi="仿宋_GB2312" w:eastAsia="仿宋_GB2312" w:cs="仿宋_GB2312"/>
                <w:b w:val="0"/>
                <w:bCs/>
                <w:color w:val="auto"/>
                <w:sz w:val="24"/>
                <w:szCs w:val="24"/>
                <w:highlight w:val="none"/>
                <w:lang w:val="en-US" w:eastAsia="zh-CN"/>
              </w:rPr>
              <w:t>分；举办省市级活动一项得1分，累计最高</w:t>
            </w:r>
            <w:r>
              <w:rPr>
                <w:rFonts w:hint="default"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lang w:val="en-US" w:eastAsia="zh-CN"/>
              </w:rPr>
              <w:t>分；举办区级活动一项得</w:t>
            </w:r>
            <w:r>
              <w:rPr>
                <w:rFonts w:hint="default" w:ascii="仿宋_GB2312" w:hAnsi="仿宋_GB2312" w:eastAsia="仿宋_GB2312" w:cs="仿宋_GB2312"/>
                <w:b w:val="0"/>
                <w:bCs/>
                <w:color w:val="auto"/>
                <w:sz w:val="24"/>
                <w:szCs w:val="24"/>
                <w:highlight w:val="none"/>
                <w:lang w:val="en-US" w:eastAsia="zh-CN"/>
              </w:rPr>
              <w:t>0.5</w:t>
            </w:r>
            <w:r>
              <w:rPr>
                <w:rFonts w:hint="eastAsia" w:ascii="仿宋_GB2312" w:hAnsi="仿宋_GB2312" w:eastAsia="仿宋_GB2312" w:cs="仿宋_GB2312"/>
                <w:b w:val="0"/>
                <w:bCs/>
                <w:color w:val="auto"/>
                <w:sz w:val="24"/>
                <w:szCs w:val="24"/>
                <w:highlight w:val="none"/>
                <w:lang w:val="en-US" w:eastAsia="zh-CN"/>
              </w:rPr>
              <w:t>分，累计最高</w:t>
            </w:r>
            <w:r>
              <w:rPr>
                <w:rFonts w:hint="default"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lang w:val="en-US" w:eastAsia="zh-CN"/>
              </w:rPr>
              <w:t>分。本项最高得分为1</w:t>
            </w:r>
            <w:r>
              <w:rPr>
                <w:rFonts w:hint="default" w:ascii="仿宋_GB2312" w:hAnsi="仿宋_GB2312" w:eastAsia="仿宋_GB2312" w:cs="仿宋_GB2312"/>
                <w:b w:val="0"/>
                <w:bCs/>
                <w:color w:val="auto"/>
                <w:sz w:val="24"/>
                <w:szCs w:val="24"/>
                <w:highlight w:val="none"/>
                <w:lang w:val="en-US" w:eastAsia="zh-CN"/>
              </w:rPr>
              <w:t>8</w:t>
            </w:r>
            <w:r>
              <w:rPr>
                <w:rFonts w:hint="eastAsia" w:ascii="仿宋_GB2312" w:hAnsi="仿宋_GB2312" w:eastAsia="仿宋_GB2312" w:cs="仿宋_GB2312"/>
                <w:b w:val="0"/>
                <w:bCs/>
                <w:color w:val="auto"/>
                <w:sz w:val="24"/>
                <w:szCs w:val="24"/>
                <w:highlight w:val="none"/>
                <w:lang w:val="en-US" w:eastAsia="zh-CN"/>
              </w:rPr>
              <w:t>分。</w:t>
            </w:r>
          </w:p>
        </w:tc>
        <w:tc>
          <w:tcPr>
            <w:tcW w:w="1670" w:type="dxa"/>
            <w:noWrap w:val="0"/>
            <w:vAlign w:val="center"/>
          </w:tcPr>
          <w:p>
            <w:pPr>
              <w:keepNext w:val="0"/>
              <w:keepLines w:val="0"/>
              <w:pageBreakBefore w:val="0"/>
              <w:kinsoku/>
              <w:wordWrap/>
              <w:overflowPunct/>
              <w:topLinePunct w:val="0"/>
              <w:autoSpaceDE/>
              <w:autoSpaceDN/>
              <w:bidi w:val="0"/>
              <w:adjustRightInd/>
              <w:snapToGrid/>
              <w:spacing w:beforeLines="0"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须提供</w:t>
            </w:r>
            <w:r>
              <w:rPr>
                <w:rFonts w:hint="eastAsia" w:ascii="仿宋_GB2312" w:hAnsi="仿宋_GB2312" w:eastAsia="仿宋_GB2312" w:cs="仿宋_GB2312"/>
                <w:b w:val="0"/>
                <w:bCs/>
                <w:color w:val="auto"/>
                <w:sz w:val="24"/>
                <w:szCs w:val="24"/>
                <w:highlight w:val="none"/>
                <w:lang w:eastAsia="zh-CN"/>
              </w:rPr>
              <w:t>相关</w:t>
            </w:r>
            <w:r>
              <w:rPr>
                <w:rFonts w:hint="eastAsia" w:ascii="仿宋_GB2312" w:hAnsi="仿宋_GB2312" w:eastAsia="仿宋_GB2312" w:cs="仿宋_GB2312"/>
                <w:b w:val="0"/>
                <w:bCs/>
                <w:color w:val="auto"/>
                <w:sz w:val="24"/>
                <w:szCs w:val="24"/>
                <w:highlight w:val="none"/>
                <w:lang w:val="en-US" w:eastAsia="zh-CN"/>
              </w:rPr>
              <w:t>合作协议、活动照片、活动签到表等</w:t>
            </w:r>
            <w:r>
              <w:rPr>
                <w:rFonts w:hint="eastAsia" w:ascii="仿宋_GB2312" w:hAnsi="仿宋_GB2312" w:eastAsia="仿宋_GB2312" w:cs="仿宋_GB2312"/>
                <w:b w:val="0"/>
                <w:bCs/>
                <w:color w:val="auto"/>
                <w:sz w:val="24"/>
                <w:szCs w:val="24"/>
                <w:highlight w:val="none"/>
                <w:lang w:eastAsia="zh-CN"/>
              </w:rPr>
              <w:t>佐证材料</w:t>
            </w:r>
            <w:r>
              <w:rPr>
                <w:rFonts w:hint="eastAsia" w:ascii="仿宋_GB2312" w:hAnsi="仿宋_GB2312" w:eastAsia="仿宋_GB2312" w:cs="仿宋_GB2312"/>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beforeLines="0"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91" w:type="dxa"/>
            <w:noWrap w:val="0"/>
            <w:vAlign w:val="center"/>
          </w:tcPr>
          <w:p>
            <w:pPr>
              <w:keepNext w:val="0"/>
              <w:keepLines w:val="0"/>
              <w:pageBreakBefore w:val="0"/>
              <w:kinsoku/>
              <w:wordWrap/>
              <w:overflowPunct/>
              <w:topLinePunct w:val="0"/>
              <w:autoSpaceDE/>
              <w:autoSpaceDN/>
              <w:bidi w:val="0"/>
              <w:adjustRightInd/>
              <w:snapToGrid/>
              <w:spacing w:beforeLines="0"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信誉</w:t>
            </w:r>
          </w:p>
          <w:p>
            <w:pPr>
              <w:keepNext w:val="0"/>
              <w:keepLines w:val="0"/>
              <w:pageBreakBefore w:val="0"/>
              <w:kinsoku/>
              <w:wordWrap/>
              <w:overflowPunct/>
              <w:topLinePunct w:val="0"/>
              <w:autoSpaceDE/>
              <w:autoSpaceDN/>
              <w:bidi w:val="0"/>
              <w:adjustRightInd/>
              <w:snapToGrid/>
              <w:spacing w:beforeLines="0" w:line="560" w:lineRule="exact"/>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5分</w:t>
            </w:r>
            <w:r>
              <w:rPr>
                <w:rFonts w:hint="eastAsia" w:ascii="仿宋_GB2312" w:hAnsi="仿宋_GB2312" w:eastAsia="仿宋_GB2312" w:cs="仿宋_GB2312"/>
                <w:b w:val="0"/>
                <w:bCs/>
                <w:color w:val="auto"/>
                <w:sz w:val="24"/>
                <w:szCs w:val="24"/>
                <w:highlight w:val="none"/>
                <w:lang w:eastAsia="zh-CN"/>
              </w:rPr>
              <w:t>）</w:t>
            </w:r>
          </w:p>
        </w:tc>
        <w:tc>
          <w:tcPr>
            <w:tcW w:w="5371" w:type="dxa"/>
            <w:noWrap w:val="0"/>
            <w:vAlign w:val="center"/>
          </w:tcPr>
          <w:p>
            <w:pPr>
              <w:keepNext w:val="0"/>
              <w:keepLines w:val="0"/>
              <w:pageBreakBefore w:val="0"/>
              <w:kinsoku/>
              <w:wordWrap/>
              <w:overflowPunct/>
              <w:topLinePunct w:val="0"/>
              <w:autoSpaceDE/>
              <w:autoSpaceDN/>
              <w:bidi w:val="0"/>
              <w:adjustRightInd/>
              <w:snapToGrid/>
              <w:spacing w:beforeLines="0" w:line="560" w:lineRule="exact"/>
              <w:jc w:val="left"/>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Times" w:eastAsia="仿宋_GB2312" w:cs="仿宋_GB2312"/>
                <w:bCs/>
                <w:color w:val="auto"/>
                <w:sz w:val="24"/>
                <w:szCs w:val="24"/>
                <w:highlight w:val="none"/>
              </w:rPr>
              <w:t>符合国家法规政策关于诚信管理的要求，至投标截止时间，投标人没有在信用中国网（www.creditchina.gov.cn）或中国政府采购网（www.ccgp.gov.cn）或深圳市政府采购监管网（zfcg.sz.gov.cn）或深圳公共资源交易中心</w:t>
            </w:r>
            <w:r>
              <w:rPr>
                <w:rFonts w:hint="eastAsia" w:ascii="仿宋_GB2312" w:hAnsi="Times" w:eastAsia="仿宋_GB2312" w:cs="仿宋_GB2312"/>
                <w:bCs/>
                <w:color w:val="auto"/>
                <w:sz w:val="24"/>
                <w:szCs w:val="24"/>
                <w:highlight w:val="none"/>
                <w:lang w:eastAsia="zh-CN"/>
              </w:rPr>
              <w:t>网</w:t>
            </w:r>
            <w:r>
              <w:rPr>
                <w:rFonts w:hint="eastAsia" w:ascii="仿宋_GB2312" w:hAnsi="Times" w:eastAsia="仿宋_GB2312" w:cs="仿宋_GB2312"/>
                <w:bCs/>
                <w:color w:val="auto"/>
                <w:sz w:val="24"/>
                <w:szCs w:val="24"/>
                <w:highlight w:val="none"/>
              </w:rPr>
              <w:t>（www.szggzy.com）或“国家企业信用信息公示系统”（www.gsxt.gov.cn）等官网中列入“失信被执行人、重大税收违法案件当事人名单、政府采购严重违法失信行为记录名单”。</w:t>
            </w:r>
          </w:p>
        </w:tc>
        <w:tc>
          <w:tcPr>
            <w:tcW w:w="1670" w:type="dxa"/>
            <w:noWrap w:val="0"/>
            <w:vAlign w:val="center"/>
          </w:tcPr>
          <w:p>
            <w:pPr>
              <w:keepNext w:val="0"/>
              <w:keepLines w:val="0"/>
              <w:pageBreakBefore w:val="0"/>
              <w:kinsoku/>
              <w:wordWrap/>
              <w:overflowPunct/>
              <w:topLinePunct w:val="0"/>
              <w:autoSpaceDE/>
              <w:autoSpaceDN/>
              <w:bidi w:val="0"/>
              <w:adjustRightInd/>
              <w:snapToGrid/>
              <w:spacing w:beforeLines="0" w:line="560" w:lineRule="exact"/>
              <w:jc w:val="left"/>
              <w:textAlignment w:val="auto"/>
              <w:rPr>
                <w:rFonts w:hint="eastAsia" w:ascii="仿宋_GB2312" w:hAnsi="Times" w:eastAsia="仿宋_GB2312" w:cs="仿宋_GB2312"/>
                <w:bCs/>
                <w:color w:val="auto"/>
                <w:sz w:val="24"/>
                <w:szCs w:val="24"/>
                <w:highlight w:val="none"/>
              </w:rPr>
            </w:pPr>
            <w:r>
              <w:rPr>
                <w:rFonts w:hint="eastAsia" w:ascii="仿宋_GB2312" w:hAnsi="Times" w:eastAsia="仿宋_GB2312" w:cs="仿宋_GB2312"/>
                <w:bCs/>
                <w:color w:val="auto"/>
                <w:sz w:val="24"/>
                <w:szCs w:val="24"/>
                <w:highlight w:val="none"/>
              </w:rPr>
              <w:t>1.投标人须提供相关截图作为佐证材料。</w:t>
            </w:r>
          </w:p>
          <w:p>
            <w:pPr>
              <w:keepNext w:val="0"/>
              <w:keepLines w:val="0"/>
              <w:pageBreakBefore w:val="0"/>
              <w:kinsoku/>
              <w:wordWrap/>
              <w:overflowPunct/>
              <w:topLinePunct w:val="0"/>
              <w:autoSpaceDE/>
              <w:autoSpaceDN/>
              <w:bidi w:val="0"/>
              <w:adjustRightInd/>
              <w:snapToGrid/>
              <w:spacing w:beforeLines="0" w:line="560" w:lineRule="exact"/>
              <w:jc w:val="left"/>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Times" w:eastAsia="仿宋_GB2312" w:cs="仿宋_GB2312"/>
                <w:bCs/>
                <w:color w:val="auto"/>
                <w:sz w:val="24"/>
                <w:szCs w:val="24"/>
                <w:highlight w:val="none"/>
              </w:rPr>
              <w:t>2.投标人在参与政府采购活动中存在诚信相关问题且在主管部门相关处理措施实施期限内的，本项不得分，否则得满分。</w:t>
            </w:r>
          </w:p>
        </w:tc>
      </w:tr>
    </w:tbl>
    <w:p>
      <w:pPr>
        <w:keepNext w:val="0"/>
        <w:keepLines w:val="0"/>
        <w:pageBreakBefore w:val="0"/>
        <w:widowControl w:val="0"/>
        <w:kinsoku/>
        <w:wordWrap/>
        <w:overflowPunct/>
        <w:topLinePunct w:val="0"/>
        <w:autoSpaceDE/>
        <w:autoSpaceDN/>
        <w:bidi w:val="0"/>
        <w:adjustRightInd/>
        <w:snapToGrid/>
        <w:spacing w:beforeLines="0" w:line="560" w:lineRule="exact"/>
        <w:ind w:left="0" w:leftChars="0" w:right="0" w:rightChars="0" w:firstLine="480" w:firstLineChars="200"/>
        <w:jc w:val="left"/>
        <w:textAlignment w:val="auto"/>
        <w:outlineLvl w:val="9"/>
        <w:rPr>
          <w:rFonts w:hint="eastAsia" w:ascii="仿宋_GB2312" w:eastAsia="仿宋_GB2312"/>
          <w:color w:val="auto"/>
          <w:sz w:val="32"/>
          <w:szCs w:val="32"/>
          <w:highlight w:val="none"/>
          <w:lang w:val="en-US" w:eastAsia="zh-CN"/>
        </w:rPr>
      </w:pPr>
      <w:r>
        <w:rPr>
          <w:rFonts w:hint="eastAsia" w:ascii="宋体" w:hAnsi="宋体" w:eastAsia="宋体"/>
          <w:b w:val="0"/>
          <w:bCs/>
          <w:color w:val="auto"/>
          <w:sz w:val="24"/>
          <w:highlight w:val="none"/>
          <w:lang w:eastAsia="zh-CN"/>
        </w:rPr>
        <w:t>注：</w:t>
      </w:r>
      <w:r>
        <w:rPr>
          <w:rFonts w:hint="eastAsia" w:ascii="宋体" w:hAnsi="宋体" w:eastAsia="宋体"/>
          <w:b w:val="0"/>
          <w:bCs/>
          <w:color w:val="auto"/>
          <w:sz w:val="24"/>
          <w:highlight w:val="none"/>
        </w:rPr>
        <w:t>不提供证明文件或提供的证明文件不合格者，不得分。</w:t>
      </w:r>
    </w:p>
    <w:p>
      <w:pPr>
        <w:keepNext w:val="0"/>
        <w:keepLines w:val="0"/>
        <w:pageBreakBefore w:val="0"/>
        <w:numPr>
          <w:ilvl w:val="0"/>
          <w:numId w:val="0"/>
        </w:numPr>
        <w:kinsoku/>
        <w:wordWrap/>
        <w:overflowPunct/>
        <w:topLinePunct w:val="0"/>
        <w:autoSpaceDE/>
        <w:autoSpaceDN/>
        <w:bidi w:val="0"/>
        <w:spacing w:beforeLines="0" w:line="56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2.技术能力</w:t>
      </w:r>
    </w:p>
    <w:tbl>
      <w:tblPr>
        <w:tblStyle w:val="14"/>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keepNext w:val="0"/>
              <w:keepLines w:val="0"/>
              <w:pageBreakBefore w:val="0"/>
              <w:widowControl/>
              <w:kinsoku/>
              <w:wordWrap/>
              <w:overflowPunct/>
              <w:topLinePunct w:val="0"/>
              <w:autoSpaceDE/>
              <w:autoSpaceDN/>
              <w:bidi w:val="0"/>
              <w:spacing w:beforeLines="0"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1815" w:type="dxa"/>
            <w:noWrap w:val="0"/>
            <w:vAlign w:val="center"/>
          </w:tcPr>
          <w:p>
            <w:pPr>
              <w:keepNext w:val="0"/>
              <w:keepLines w:val="0"/>
              <w:pageBreakBefore w:val="0"/>
              <w:widowControl/>
              <w:kinsoku/>
              <w:wordWrap/>
              <w:overflowPunct/>
              <w:topLinePunct w:val="0"/>
              <w:autoSpaceDE/>
              <w:autoSpaceDN/>
              <w:bidi w:val="0"/>
              <w:spacing w:beforeLines="0"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19" w:type="dxa"/>
            <w:vMerge w:val="restart"/>
            <w:noWrap w:val="0"/>
            <w:vAlign w:val="center"/>
          </w:tcPr>
          <w:p>
            <w:pPr>
              <w:keepNext w:val="0"/>
              <w:keepLines w:val="0"/>
              <w:pageBreakBefore w:val="0"/>
              <w:kinsoku/>
              <w:wordWrap/>
              <w:overflowPunct/>
              <w:topLinePunct w:val="0"/>
              <w:autoSpaceDE/>
              <w:autoSpaceDN/>
              <w:bidi w:val="0"/>
              <w:spacing w:beforeLines="0" w:line="56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技术能力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val="en-US" w:eastAsia="zh-CN"/>
              </w:rPr>
              <w:t>40</w:t>
            </w:r>
            <w:r>
              <w:rPr>
                <w:rFonts w:hint="eastAsia" w:ascii="仿宋_GB2312" w:hAnsi="仿宋_GB2312" w:eastAsia="仿宋_GB2312" w:cs="仿宋_GB2312"/>
                <w:b w:val="0"/>
                <w:bCs/>
                <w:color w:val="auto"/>
                <w:sz w:val="24"/>
                <w:szCs w:val="24"/>
                <w:highlight w:val="none"/>
              </w:rPr>
              <w:t>分</w:t>
            </w:r>
          </w:p>
        </w:tc>
        <w:tc>
          <w:tcPr>
            <w:tcW w:w="1122" w:type="dxa"/>
            <w:noWrap w:val="0"/>
            <w:vAlign w:val="center"/>
          </w:tcPr>
          <w:p>
            <w:pPr>
              <w:keepNext w:val="0"/>
              <w:keepLines w:val="0"/>
              <w:pageBreakBefore w:val="0"/>
              <w:kinsoku/>
              <w:wordWrap/>
              <w:overflowPunct/>
              <w:topLinePunct w:val="0"/>
              <w:autoSpaceDE/>
              <w:autoSpaceDN/>
              <w:bidi w:val="0"/>
              <w:spacing w:beforeLines="0"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方案</w:t>
            </w:r>
          </w:p>
          <w:p>
            <w:pPr>
              <w:keepNext w:val="0"/>
              <w:keepLines w:val="0"/>
              <w:pageBreakBefore w:val="0"/>
              <w:kinsoku/>
              <w:wordWrap/>
              <w:overflowPunct/>
              <w:topLinePunct w:val="0"/>
              <w:autoSpaceDE/>
              <w:autoSpaceDN/>
              <w:bidi w:val="0"/>
              <w:spacing w:beforeLines="0"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分）</w:t>
            </w:r>
          </w:p>
        </w:tc>
        <w:tc>
          <w:tcPr>
            <w:tcW w:w="5295" w:type="dxa"/>
            <w:noWrap w:val="0"/>
            <w:vAlign w:val="center"/>
          </w:tcPr>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（一）评分内容</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1.对</w:t>
            </w:r>
            <w:r>
              <w:rPr>
                <w:rFonts w:hint="eastAsia" w:ascii="仿宋_GB2312" w:hAnsi="仿宋_GB2312" w:eastAsia="仿宋_GB2312" w:cs="仿宋_GB2312"/>
                <w:b w:val="0"/>
                <w:bCs/>
                <w:color w:val="auto"/>
                <w:sz w:val="24"/>
                <w:szCs w:val="24"/>
                <w:highlight w:val="none"/>
                <w:lang w:val="en-US" w:eastAsia="zh-CN"/>
              </w:rPr>
              <w:t>龙华区“国际通”品牌</w:t>
            </w:r>
            <w:r>
              <w:rPr>
                <w:rFonts w:hint="eastAsia" w:ascii="仿宋_GB2312" w:hAnsi="仿宋_GB2312" w:eastAsia="仿宋_GB2312" w:cs="仿宋_GB2312"/>
                <w:b w:val="0"/>
                <w:bCs/>
                <w:color w:val="auto"/>
                <w:sz w:val="24"/>
                <w:szCs w:val="24"/>
                <w:highlight w:val="none"/>
                <w:lang w:eastAsia="zh-CN"/>
              </w:rPr>
              <w:t>的背景意义、目标等的理解深入、准确；</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2.对高端医疗器械和新能源产业路演活动内容和成果深度的认识全面、准确；</w:t>
            </w:r>
          </w:p>
          <w:p>
            <w:pPr>
              <w:keepNext w:val="0"/>
              <w:keepLines w:val="0"/>
              <w:pageBreakBefore w:val="0"/>
              <w:kinsoku/>
              <w:wordWrap/>
              <w:overflowPunct/>
              <w:topLinePunct w:val="0"/>
              <w:autoSpaceDE/>
              <w:autoSpaceDN/>
              <w:bidi w:val="0"/>
              <w:spacing w:beforeLines="0" w:line="560" w:lineRule="exact"/>
              <w:jc w:val="left"/>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3.对“国际通”全球创新生态建设的理解深入、准确。</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（二）评分标准</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投标人提供的方案每满足以上1点的得</w:t>
            </w:r>
            <w:r>
              <w:rPr>
                <w:rFonts w:hint="default"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lang w:eastAsia="zh-CN"/>
              </w:rPr>
              <w:t>分，最高得</w:t>
            </w:r>
            <w:r>
              <w:rPr>
                <w:rFonts w:hint="default" w:ascii="仿宋_GB2312" w:hAnsi="仿宋_GB2312" w:eastAsia="仿宋_GB2312" w:cs="仿宋_GB2312"/>
                <w:b w:val="0"/>
                <w:bCs/>
                <w:color w:val="auto"/>
                <w:sz w:val="24"/>
                <w:szCs w:val="24"/>
                <w:highlight w:val="none"/>
                <w:lang w:val="en-US" w:eastAsia="zh-CN"/>
              </w:rPr>
              <w:t>15</w:t>
            </w:r>
            <w:r>
              <w:rPr>
                <w:rFonts w:hint="eastAsia" w:ascii="仿宋_GB2312" w:hAnsi="仿宋_GB2312" w:eastAsia="仿宋_GB2312" w:cs="仿宋_GB2312"/>
                <w:b w:val="0"/>
                <w:bCs/>
                <w:color w:val="auto"/>
                <w:sz w:val="24"/>
                <w:szCs w:val="24"/>
                <w:highlight w:val="none"/>
                <w:lang w:eastAsia="zh-CN"/>
              </w:rPr>
              <w:t>分。</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在以上评审内容的基础上，根据各投标人的具体响应内容进一步评审加分：</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1.优：对项目理解准确全面，方案详细且贴切项目实际的，得</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lang w:eastAsia="zh-CN"/>
              </w:rPr>
              <w:t>分。</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2.良：对项目理解准确，方案详细但针对性一般的，得</w:t>
            </w:r>
            <w:r>
              <w:rPr>
                <w:rFonts w:hint="eastAsia" w:ascii="仿宋_GB2312" w:hAnsi="仿宋_GB2312" w:eastAsia="仿宋_GB2312" w:cs="仿宋_GB2312"/>
                <w:b w:val="0"/>
                <w:bCs/>
                <w:color w:val="auto"/>
                <w:sz w:val="24"/>
                <w:szCs w:val="24"/>
                <w:highlight w:val="none"/>
                <w:lang w:val="en-US" w:eastAsia="zh-CN"/>
              </w:rPr>
              <w:t>3</w:t>
            </w:r>
            <w:r>
              <w:rPr>
                <w:rFonts w:hint="eastAsia" w:ascii="仿宋_GB2312" w:hAnsi="仿宋_GB2312" w:eastAsia="仿宋_GB2312" w:cs="仿宋_GB2312"/>
                <w:b w:val="0"/>
                <w:bCs/>
                <w:color w:val="auto"/>
                <w:sz w:val="24"/>
                <w:szCs w:val="24"/>
                <w:highlight w:val="none"/>
                <w:lang w:eastAsia="zh-CN"/>
              </w:rPr>
              <w:t>分。</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3.中：对项目理解不够准确，方案简要且针对性不强的，得</w:t>
            </w:r>
            <w:r>
              <w:rPr>
                <w:rFonts w:hint="eastAsia" w:ascii="仿宋_GB2312" w:hAnsi="仿宋_GB2312" w:eastAsia="仿宋_GB2312" w:cs="仿宋_GB2312"/>
                <w:b w:val="0"/>
                <w:bCs/>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lang w:eastAsia="zh-CN"/>
              </w:rPr>
              <w:t>分。</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4.差：没有理解项目需求，缺少方案的，加0分。</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spacing w:beforeLines="0"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spacing w:beforeLines="0" w:line="560" w:lineRule="exact"/>
              <w:jc w:val="center"/>
              <w:textAlignment w:val="auto"/>
              <w:rPr>
                <w:rFonts w:hint="default" w:ascii="仿宋_GB2312" w:hAnsi="仿宋_GB2312" w:eastAsia="仿宋_GB2312" w:cs="仿宋_GB2312"/>
                <w:b w:val="0"/>
                <w:bCs/>
                <w:color w:val="auto"/>
                <w:sz w:val="24"/>
                <w:szCs w:val="24"/>
                <w:highlight w:val="none"/>
                <w:lang w:val="en" w:eastAsia="zh-CN"/>
              </w:rPr>
            </w:pPr>
            <w:r>
              <w:rPr>
                <w:rFonts w:hint="default" w:ascii="仿宋_GB2312" w:hAnsi="仿宋_GB2312" w:eastAsia="仿宋_GB2312" w:cs="仿宋_GB2312"/>
                <w:b w:val="0"/>
                <w:bCs/>
                <w:color w:val="auto"/>
                <w:sz w:val="24"/>
                <w:szCs w:val="24"/>
                <w:highlight w:val="none"/>
                <w:lang w:val="en" w:eastAsia="zh-CN"/>
              </w:rPr>
              <w:t>项目</w:t>
            </w:r>
            <w:r>
              <w:rPr>
                <w:rFonts w:hint="eastAsia" w:ascii="仿宋_GB2312" w:hAnsi="仿宋_GB2312" w:eastAsia="仿宋_GB2312" w:cs="仿宋_GB2312"/>
                <w:b w:val="0"/>
                <w:bCs/>
                <w:color w:val="auto"/>
                <w:sz w:val="24"/>
                <w:szCs w:val="24"/>
                <w:highlight w:val="none"/>
                <w:lang w:val="en-US" w:eastAsia="zh-CN"/>
              </w:rPr>
              <w:t>管控措施</w:t>
            </w:r>
          </w:p>
          <w:p>
            <w:pPr>
              <w:keepNext w:val="0"/>
              <w:keepLines w:val="0"/>
              <w:pageBreakBefore w:val="0"/>
              <w:kinsoku/>
              <w:wordWrap/>
              <w:overflowPunct/>
              <w:topLinePunct w:val="0"/>
              <w:autoSpaceDE/>
              <w:autoSpaceDN/>
              <w:bidi w:val="0"/>
              <w:spacing w:beforeLines="0"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15分</w:t>
            </w:r>
            <w:r>
              <w:rPr>
                <w:rFonts w:hint="eastAsia" w:ascii="仿宋_GB2312" w:hAnsi="仿宋_GB2312" w:eastAsia="仿宋_GB2312" w:cs="仿宋_GB2312"/>
                <w:b w:val="0"/>
                <w:bCs/>
                <w:color w:val="auto"/>
                <w:sz w:val="24"/>
                <w:szCs w:val="24"/>
                <w:highlight w:val="none"/>
                <w:lang w:eastAsia="zh-CN"/>
              </w:rPr>
              <w:t>）</w:t>
            </w:r>
          </w:p>
        </w:tc>
        <w:tc>
          <w:tcPr>
            <w:tcW w:w="5295" w:type="dxa"/>
            <w:noWrap w:val="0"/>
            <w:vAlign w:val="center"/>
          </w:tcPr>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Times" w:eastAsia="仿宋_GB2312" w:cs="仿宋_GB2312"/>
                <w:bCs/>
                <w:color w:val="auto"/>
                <w:sz w:val="24"/>
                <w:szCs w:val="24"/>
                <w:highlight w:val="none"/>
              </w:rPr>
            </w:pPr>
            <w:r>
              <w:rPr>
                <w:rFonts w:hint="eastAsia" w:ascii="仿宋_GB2312" w:hAnsi="Times" w:eastAsia="仿宋_GB2312" w:cs="仿宋_GB2312"/>
                <w:bCs/>
                <w:color w:val="auto"/>
                <w:sz w:val="24"/>
                <w:szCs w:val="24"/>
                <w:highlight w:val="none"/>
              </w:rPr>
              <w:t>（一）评分内容</w:t>
            </w:r>
          </w:p>
          <w:p>
            <w:pPr>
              <w:keepNext w:val="0"/>
              <w:keepLines w:val="0"/>
              <w:pageBreakBefore w:val="0"/>
              <w:kinsoku/>
              <w:wordWrap/>
              <w:overflowPunct/>
              <w:topLinePunct w:val="0"/>
              <w:autoSpaceDE/>
              <w:autoSpaceDN/>
              <w:bidi w:val="0"/>
              <w:spacing w:beforeLines="0" w:line="560" w:lineRule="exact"/>
              <w:jc w:val="left"/>
              <w:textAlignment w:val="auto"/>
              <w:rPr>
                <w:rFonts w:hint="default" w:ascii="仿宋_GB2312" w:hAnsi="Times" w:eastAsia="仿宋_GB2312" w:cs="仿宋_GB2312"/>
                <w:bCs/>
                <w:color w:val="auto"/>
                <w:sz w:val="24"/>
                <w:szCs w:val="24"/>
                <w:highlight w:val="none"/>
                <w:lang w:val="en"/>
              </w:rPr>
            </w:pPr>
            <w:r>
              <w:rPr>
                <w:rFonts w:hint="eastAsia" w:ascii="仿宋_GB2312" w:hAnsi="Times" w:eastAsia="仿宋_GB2312" w:cs="仿宋_GB2312"/>
                <w:bCs/>
                <w:color w:val="auto"/>
                <w:sz w:val="24"/>
                <w:szCs w:val="24"/>
                <w:highlight w:val="none"/>
                <w:lang w:val="en-US" w:eastAsia="zh-CN"/>
              </w:rPr>
              <w:t>项目管控</w:t>
            </w:r>
            <w:r>
              <w:rPr>
                <w:rFonts w:hint="eastAsia" w:ascii="仿宋_GB2312" w:hAnsi="Times" w:eastAsia="仿宋_GB2312" w:cs="仿宋_GB2312"/>
                <w:bCs/>
                <w:color w:val="auto"/>
                <w:sz w:val="24"/>
                <w:szCs w:val="24"/>
                <w:highlight w:val="none"/>
              </w:rPr>
              <w:t>合理</w:t>
            </w:r>
            <w:r>
              <w:rPr>
                <w:rFonts w:hint="eastAsia" w:ascii="仿宋_GB2312" w:hAnsi="Times" w:eastAsia="仿宋_GB2312" w:cs="仿宋_GB2312"/>
                <w:bCs/>
                <w:color w:val="auto"/>
                <w:sz w:val="24"/>
                <w:szCs w:val="24"/>
                <w:highlight w:val="none"/>
                <w:lang w:eastAsia="zh-CN"/>
              </w:rPr>
              <w:t>，</w:t>
            </w:r>
            <w:r>
              <w:rPr>
                <w:rFonts w:hint="eastAsia" w:ascii="仿宋_GB2312" w:hAnsi="Times" w:eastAsia="仿宋_GB2312" w:cs="仿宋_GB2312"/>
                <w:bCs/>
                <w:color w:val="auto"/>
                <w:sz w:val="24"/>
                <w:szCs w:val="24"/>
                <w:highlight w:val="none"/>
                <w:lang w:val="en-US" w:eastAsia="zh-CN"/>
              </w:rPr>
              <w:t>且各环节拥有成熟</w:t>
            </w:r>
            <w:r>
              <w:rPr>
                <w:rFonts w:hint="eastAsia" w:ascii="仿宋_GB2312" w:hAnsi="Times" w:eastAsia="仿宋_GB2312" w:cs="仿宋_GB2312"/>
                <w:bCs/>
                <w:color w:val="auto"/>
                <w:sz w:val="24"/>
                <w:highlight w:val="none"/>
              </w:rPr>
              <w:t>管控手段</w:t>
            </w:r>
            <w:r>
              <w:rPr>
                <w:rFonts w:hint="default" w:ascii="仿宋_GB2312" w:hAnsi="Times" w:eastAsia="仿宋_GB2312" w:cs="仿宋_GB2312"/>
                <w:bCs/>
                <w:color w:val="auto"/>
                <w:sz w:val="24"/>
                <w:szCs w:val="24"/>
                <w:highlight w:val="none"/>
                <w:lang w:val="en"/>
              </w:rPr>
              <w:t>。</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Times" w:eastAsia="仿宋_GB2312" w:cs="仿宋_GB2312"/>
                <w:bCs/>
                <w:color w:val="auto"/>
                <w:sz w:val="24"/>
                <w:szCs w:val="24"/>
                <w:highlight w:val="none"/>
              </w:rPr>
            </w:pPr>
            <w:r>
              <w:rPr>
                <w:rFonts w:hint="eastAsia" w:ascii="仿宋_GB2312" w:hAnsi="Times" w:eastAsia="仿宋_GB2312" w:cs="仿宋_GB2312"/>
                <w:bCs/>
                <w:color w:val="auto"/>
                <w:sz w:val="24"/>
                <w:szCs w:val="24"/>
                <w:highlight w:val="none"/>
              </w:rPr>
              <w:t>（二）评分标准</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Times" w:eastAsia="仿宋_GB2312" w:cs="仿宋_GB2312"/>
                <w:bCs/>
                <w:color w:val="auto"/>
                <w:sz w:val="24"/>
                <w:szCs w:val="24"/>
                <w:highlight w:val="none"/>
              </w:rPr>
            </w:pPr>
            <w:r>
              <w:rPr>
                <w:rFonts w:hint="eastAsia" w:ascii="仿宋_GB2312" w:hAnsi="Times" w:eastAsia="仿宋_GB2312" w:cs="仿宋_GB2312"/>
                <w:bCs/>
                <w:color w:val="auto"/>
                <w:sz w:val="24"/>
                <w:szCs w:val="24"/>
                <w:highlight w:val="none"/>
              </w:rPr>
              <w:t>投标人提供的</w:t>
            </w:r>
            <w:r>
              <w:rPr>
                <w:rFonts w:hint="default" w:ascii="仿宋_GB2312" w:hAnsi="Times" w:eastAsia="仿宋_GB2312" w:cs="仿宋_GB2312"/>
                <w:bCs/>
                <w:color w:val="auto"/>
                <w:sz w:val="24"/>
                <w:szCs w:val="24"/>
                <w:highlight w:val="none"/>
                <w:lang w:val="en"/>
              </w:rPr>
              <w:t>项目进展情况</w:t>
            </w:r>
            <w:r>
              <w:rPr>
                <w:rFonts w:hint="eastAsia" w:ascii="仿宋_GB2312" w:hAnsi="Times" w:eastAsia="仿宋_GB2312" w:cs="仿宋_GB2312"/>
                <w:bCs/>
                <w:color w:val="auto"/>
                <w:sz w:val="24"/>
                <w:szCs w:val="24"/>
                <w:highlight w:val="none"/>
              </w:rPr>
              <w:t>满足以上1点的得</w:t>
            </w:r>
            <w:r>
              <w:rPr>
                <w:rFonts w:hint="default" w:ascii="仿宋_GB2312" w:hAnsi="Times" w:eastAsia="仿宋_GB2312" w:cs="仿宋_GB2312"/>
                <w:bCs/>
                <w:color w:val="auto"/>
                <w:sz w:val="24"/>
                <w:szCs w:val="24"/>
                <w:highlight w:val="none"/>
                <w:lang w:val="en-US" w:eastAsia="zh-CN"/>
              </w:rPr>
              <w:t>5</w:t>
            </w:r>
            <w:r>
              <w:rPr>
                <w:rFonts w:hint="eastAsia" w:ascii="仿宋_GB2312" w:hAnsi="Times" w:eastAsia="仿宋_GB2312" w:cs="仿宋_GB2312"/>
                <w:bCs/>
                <w:color w:val="auto"/>
                <w:sz w:val="24"/>
                <w:szCs w:val="24"/>
                <w:highlight w:val="none"/>
              </w:rPr>
              <w:t>分，最高得</w:t>
            </w:r>
            <w:r>
              <w:rPr>
                <w:rFonts w:hint="default" w:ascii="仿宋_GB2312" w:hAnsi="Times" w:eastAsia="仿宋_GB2312" w:cs="仿宋_GB2312"/>
                <w:bCs/>
                <w:color w:val="auto"/>
                <w:sz w:val="24"/>
                <w:szCs w:val="24"/>
                <w:highlight w:val="none"/>
                <w:lang w:val="en-US" w:eastAsia="zh-CN"/>
              </w:rPr>
              <w:t>5</w:t>
            </w:r>
            <w:r>
              <w:rPr>
                <w:rFonts w:hint="eastAsia" w:ascii="仿宋_GB2312" w:hAnsi="Times" w:eastAsia="仿宋_GB2312" w:cs="仿宋_GB2312"/>
                <w:bCs/>
                <w:color w:val="auto"/>
                <w:sz w:val="24"/>
                <w:szCs w:val="24"/>
                <w:highlight w:val="none"/>
              </w:rPr>
              <w:t>分。</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Times" w:eastAsia="仿宋_GB2312" w:cs="仿宋_GB2312"/>
                <w:bCs/>
                <w:color w:val="auto"/>
                <w:sz w:val="24"/>
                <w:szCs w:val="24"/>
                <w:highlight w:val="none"/>
              </w:rPr>
            </w:pPr>
            <w:r>
              <w:rPr>
                <w:rFonts w:hint="eastAsia" w:ascii="仿宋_GB2312" w:hAnsi="Times" w:eastAsia="仿宋_GB2312" w:cs="仿宋_GB2312"/>
                <w:bCs/>
                <w:color w:val="auto"/>
                <w:sz w:val="24"/>
                <w:szCs w:val="24"/>
                <w:highlight w:val="none"/>
              </w:rPr>
              <w:t>在以上评审内容的基础上，根据各投标人的具体响应内容进一步评审加分：</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Times" w:eastAsia="仿宋_GB2312" w:cs="仿宋_GB2312"/>
                <w:bCs/>
                <w:color w:val="auto"/>
                <w:sz w:val="24"/>
                <w:szCs w:val="24"/>
                <w:highlight w:val="none"/>
                <w:lang w:eastAsia="zh-CN"/>
              </w:rPr>
            </w:pPr>
            <w:r>
              <w:rPr>
                <w:rFonts w:hint="eastAsia" w:ascii="仿宋_GB2312" w:hAnsi="Times" w:eastAsia="仿宋_GB2312" w:cs="仿宋_GB2312"/>
                <w:bCs/>
                <w:color w:val="auto"/>
                <w:sz w:val="24"/>
                <w:szCs w:val="24"/>
                <w:highlight w:val="none"/>
              </w:rPr>
              <w:t>1.优：</w:t>
            </w:r>
            <w:r>
              <w:rPr>
                <w:rFonts w:hint="eastAsia" w:ascii="仿宋_GB2312" w:hAnsi="Times" w:eastAsia="仿宋_GB2312" w:cs="仿宋_GB2312"/>
                <w:bCs/>
                <w:color w:val="auto"/>
                <w:sz w:val="24"/>
                <w:szCs w:val="24"/>
                <w:highlight w:val="none"/>
                <w:lang w:val="en-US" w:eastAsia="zh-CN"/>
              </w:rPr>
              <w:t>各环节</w:t>
            </w:r>
            <w:r>
              <w:rPr>
                <w:rFonts w:hint="eastAsia" w:ascii="仿宋_GB2312" w:hAnsi="Times" w:eastAsia="仿宋_GB2312" w:cs="仿宋_GB2312"/>
                <w:bCs/>
                <w:color w:val="auto"/>
                <w:sz w:val="24"/>
                <w:szCs w:val="24"/>
                <w:highlight w:val="none"/>
              </w:rPr>
              <w:t>有切实有效的</w:t>
            </w:r>
            <w:r>
              <w:rPr>
                <w:rFonts w:hint="eastAsia" w:ascii="仿宋_GB2312" w:hAnsi="Times" w:eastAsia="仿宋_GB2312" w:cs="仿宋_GB2312"/>
                <w:bCs/>
                <w:color w:val="auto"/>
                <w:sz w:val="24"/>
                <w:szCs w:val="24"/>
                <w:highlight w:val="none"/>
                <w:lang w:val="en-US" w:eastAsia="zh-CN"/>
              </w:rPr>
              <w:t>活动管控标准</w:t>
            </w:r>
            <w:r>
              <w:rPr>
                <w:rFonts w:hint="eastAsia" w:ascii="仿宋_GB2312" w:hAnsi="Times" w:eastAsia="仿宋_GB2312" w:cs="仿宋_GB2312"/>
                <w:bCs/>
                <w:color w:val="auto"/>
                <w:sz w:val="24"/>
                <w:szCs w:val="24"/>
                <w:highlight w:val="none"/>
              </w:rPr>
              <w:t>，相关措施全面、有效、可行，加</w:t>
            </w:r>
            <w:r>
              <w:rPr>
                <w:rFonts w:hint="eastAsia" w:ascii="仿宋_GB2312" w:hAnsi="Times" w:eastAsia="仿宋_GB2312" w:cs="仿宋_GB2312"/>
                <w:bCs/>
                <w:color w:val="auto"/>
                <w:sz w:val="24"/>
                <w:szCs w:val="24"/>
                <w:highlight w:val="none"/>
                <w:lang w:val="en-US" w:eastAsia="zh-CN"/>
              </w:rPr>
              <w:t>10</w:t>
            </w:r>
            <w:r>
              <w:rPr>
                <w:rFonts w:hint="eastAsia" w:ascii="仿宋_GB2312" w:hAnsi="Times" w:eastAsia="仿宋_GB2312" w:cs="仿宋_GB2312"/>
                <w:bCs/>
                <w:color w:val="auto"/>
                <w:sz w:val="24"/>
                <w:szCs w:val="24"/>
                <w:highlight w:val="none"/>
              </w:rPr>
              <w:t>分</w:t>
            </w:r>
            <w:r>
              <w:rPr>
                <w:rFonts w:hint="eastAsia" w:ascii="仿宋_GB2312" w:hAnsi="Times" w:eastAsia="仿宋_GB2312" w:cs="仿宋_GB2312"/>
                <w:bCs/>
                <w:color w:val="auto"/>
                <w:sz w:val="24"/>
                <w:szCs w:val="24"/>
                <w:highlight w:val="none"/>
                <w:lang w:eastAsia="zh-CN"/>
              </w:rPr>
              <w:t>。</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Times" w:eastAsia="仿宋_GB2312" w:cs="仿宋_GB2312"/>
                <w:bCs/>
                <w:color w:val="auto"/>
                <w:sz w:val="24"/>
                <w:szCs w:val="24"/>
                <w:highlight w:val="none"/>
                <w:lang w:eastAsia="zh-CN"/>
              </w:rPr>
            </w:pPr>
            <w:r>
              <w:rPr>
                <w:rFonts w:hint="eastAsia" w:ascii="仿宋_GB2312" w:hAnsi="Times" w:eastAsia="仿宋_GB2312" w:cs="仿宋_GB2312"/>
                <w:bCs/>
                <w:color w:val="auto"/>
                <w:sz w:val="24"/>
                <w:szCs w:val="24"/>
                <w:highlight w:val="none"/>
              </w:rPr>
              <w:t>2.良：</w:t>
            </w:r>
            <w:r>
              <w:rPr>
                <w:rFonts w:hint="eastAsia" w:ascii="仿宋_GB2312" w:hAnsi="Times" w:eastAsia="仿宋_GB2312" w:cs="仿宋_GB2312"/>
                <w:bCs/>
                <w:color w:val="auto"/>
                <w:sz w:val="24"/>
                <w:szCs w:val="24"/>
                <w:highlight w:val="none"/>
                <w:lang w:val="en-US" w:eastAsia="zh-CN"/>
              </w:rPr>
              <w:t>各环节</w:t>
            </w:r>
            <w:r>
              <w:rPr>
                <w:rFonts w:hint="eastAsia" w:ascii="仿宋_GB2312" w:hAnsi="Times" w:eastAsia="仿宋_GB2312" w:cs="仿宋_GB2312"/>
                <w:bCs/>
                <w:color w:val="auto"/>
                <w:sz w:val="24"/>
                <w:szCs w:val="24"/>
                <w:highlight w:val="none"/>
              </w:rPr>
              <w:t>有较为切实有效的</w:t>
            </w:r>
            <w:r>
              <w:rPr>
                <w:rFonts w:hint="eastAsia" w:ascii="仿宋_GB2312" w:hAnsi="Times" w:eastAsia="仿宋_GB2312" w:cs="仿宋_GB2312"/>
                <w:bCs/>
                <w:color w:val="auto"/>
                <w:sz w:val="24"/>
                <w:szCs w:val="24"/>
                <w:highlight w:val="none"/>
                <w:lang w:val="en-US" w:eastAsia="zh-CN"/>
              </w:rPr>
              <w:t>活动管控要求</w:t>
            </w:r>
            <w:r>
              <w:rPr>
                <w:rFonts w:hint="eastAsia" w:ascii="仿宋_GB2312" w:hAnsi="Times" w:eastAsia="仿宋_GB2312" w:cs="仿宋_GB2312"/>
                <w:bCs/>
                <w:color w:val="auto"/>
                <w:sz w:val="24"/>
                <w:szCs w:val="24"/>
                <w:highlight w:val="none"/>
              </w:rPr>
              <w:t>，相关措施较为全面、有效、可行，加</w:t>
            </w:r>
            <w:r>
              <w:rPr>
                <w:rFonts w:hint="default" w:ascii="仿宋_GB2312" w:hAnsi="Times" w:eastAsia="仿宋_GB2312" w:cs="仿宋_GB2312"/>
                <w:bCs/>
                <w:color w:val="auto"/>
                <w:sz w:val="24"/>
                <w:szCs w:val="24"/>
                <w:highlight w:val="none"/>
                <w:lang w:val="en-US" w:eastAsia="zh-CN"/>
              </w:rPr>
              <w:t>5</w:t>
            </w:r>
            <w:r>
              <w:rPr>
                <w:rFonts w:hint="eastAsia" w:ascii="仿宋_GB2312" w:hAnsi="Times" w:eastAsia="仿宋_GB2312" w:cs="仿宋_GB2312"/>
                <w:bCs/>
                <w:color w:val="auto"/>
                <w:sz w:val="24"/>
                <w:szCs w:val="24"/>
                <w:highlight w:val="none"/>
              </w:rPr>
              <w:t>分</w:t>
            </w:r>
            <w:r>
              <w:rPr>
                <w:rFonts w:hint="eastAsia" w:ascii="仿宋_GB2312" w:hAnsi="Times" w:eastAsia="仿宋_GB2312" w:cs="仿宋_GB2312"/>
                <w:bCs/>
                <w:color w:val="auto"/>
                <w:sz w:val="24"/>
                <w:szCs w:val="24"/>
                <w:highlight w:val="none"/>
                <w:lang w:eastAsia="zh-CN"/>
              </w:rPr>
              <w:t>。</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Times" w:eastAsia="仿宋_GB2312" w:cs="仿宋_GB2312"/>
                <w:bCs/>
                <w:color w:val="auto"/>
                <w:sz w:val="24"/>
                <w:szCs w:val="24"/>
                <w:highlight w:val="none"/>
                <w:lang w:eastAsia="zh-CN"/>
              </w:rPr>
            </w:pPr>
            <w:r>
              <w:rPr>
                <w:rFonts w:hint="eastAsia" w:ascii="仿宋_GB2312" w:hAnsi="Times" w:eastAsia="仿宋_GB2312" w:cs="仿宋_GB2312"/>
                <w:bCs/>
                <w:color w:val="auto"/>
                <w:sz w:val="24"/>
                <w:szCs w:val="24"/>
                <w:highlight w:val="none"/>
              </w:rPr>
              <w:t>3.中：</w:t>
            </w:r>
            <w:r>
              <w:rPr>
                <w:rFonts w:hint="eastAsia" w:ascii="仿宋_GB2312" w:hAnsi="Times" w:eastAsia="仿宋_GB2312" w:cs="仿宋_GB2312"/>
                <w:bCs/>
                <w:color w:val="auto"/>
                <w:sz w:val="24"/>
                <w:szCs w:val="24"/>
                <w:highlight w:val="none"/>
                <w:lang w:val="en-US" w:eastAsia="zh-CN"/>
              </w:rPr>
              <w:t>各环节活动管控</w:t>
            </w:r>
            <w:r>
              <w:rPr>
                <w:rFonts w:hint="eastAsia" w:ascii="仿宋_GB2312" w:hAnsi="Times" w:eastAsia="仿宋_GB2312" w:cs="仿宋_GB2312"/>
                <w:bCs/>
                <w:color w:val="auto"/>
                <w:sz w:val="24"/>
                <w:szCs w:val="24"/>
                <w:highlight w:val="none"/>
              </w:rPr>
              <w:t>有效性一般，相关措施较为全面、有效、可行，加</w:t>
            </w:r>
            <w:r>
              <w:rPr>
                <w:rFonts w:hint="eastAsia" w:ascii="仿宋_GB2312" w:hAnsi="Times" w:eastAsia="仿宋_GB2312" w:cs="仿宋_GB2312"/>
                <w:bCs/>
                <w:color w:val="auto"/>
                <w:sz w:val="24"/>
                <w:szCs w:val="24"/>
                <w:highlight w:val="none"/>
                <w:lang w:val="en-US" w:eastAsia="zh-CN"/>
              </w:rPr>
              <w:t>3</w:t>
            </w:r>
            <w:r>
              <w:rPr>
                <w:rFonts w:hint="eastAsia" w:ascii="仿宋_GB2312" w:hAnsi="Times" w:eastAsia="仿宋_GB2312" w:cs="仿宋_GB2312"/>
                <w:bCs/>
                <w:color w:val="auto"/>
                <w:sz w:val="24"/>
                <w:szCs w:val="24"/>
                <w:highlight w:val="none"/>
              </w:rPr>
              <w:t>分</w:t>
            </w:r>
            <w:r>
              <w:rPr>
                <w:rFonts w:hint="eastAsia" w:ascii="仿宋_GB2312" w:hAnsi="Times" w:eastAsia="仿宋_GB2312" w:cs="仿宋_GB2312"/>
                <w:bCs/>
                <w:color w:val="auto"/>
                <w:sz w:val="24"/>
                <w:szCs w:val="24"/>
                <w:highlight w:val="none"/>
                <w:lang w:eastAsia="zh-CN"/>
              </w:rPr>
              <w:t>。</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Times" w:eastAsia="仿宋_GB2312" w:cs="仿宋_GB2312"/>
                <w:bCs/>
                <w:color w:val="auto"/>
                <w:sz w:val="24"/>
                <w:szCs w:val="24"/>
                <w:highlight w:val="none"/>
              </w:rPr>
              <w:t>4.差：</w:t>
            </w:r>
            <w:r>
              <w:rPr>
                <w:rFonts w:hint="eastAsia" w:ascii="仿宋_GB2312" w:hAnsi="Times" w:eastAsia="仿宋_GB2312" w:cs="仿宋_GB2312"/>
                <w:bCs/>
                <w:color w:val="auto"/>
                <w:sz w:val="24"/>
                <w:szCs w:val="24"/>
                <w:highlight w:val="none"/>
                <w:lang w:val="en-US" w:eastAsia="zh-CN"/>
              </w:rPr>
              <w:t>各环节</w:t>
            </w:r>
            <w:r>
              <w:rPr>
                <w:rFonts w:hint="eastAsia" w:ascii="仿宋_GB2312" w:hAnsi="Times" w:eastAsia="仿宋_GB2312" w:cs="仿宋_GB2312"/>
                <w:bCs/>
                <w:color w:val="auto"/>
                <w:sz w:val="24"/>
                <w:szCs w:val="24"/>
                <w:highlight w:val="none"/>
              </w:rPr>
              <w:t>没有</w:t>
            </w:r>
            <w:r>
              <w:rPr>
                <w:rFonts w:hint="default" w:ascii="仿宋_GB2312" w:hAnsi="Times" w:eastAsia="仿宋_GB2312" w:cs="仿宋_GB2312"/>
                <w:bCs/>
                <w:color w:val="auto"/>
                <w:sz w:val="24"/>
                <w:szCs w:val="24"/>
                <w:highlight w:val="none"/>
                <w:lang w:val="en"/>
              </w:rPr>
              <w:t>任何</w:t>
            </w:r>
            <w:r>
              <w:rPr>
                <w:rFonts w:hint="eastAsia" w:ascii="仿宋_GB2312" w:hAnsi="Times" w:eastAsia="仿宋_GB2312" w:cs="仿宋_GB2312"/>
                <w:bCs/>
                <w:color w:val="auto"/>
                <w:sz w:val="24"/>
                <w:szCs w:val="24"/>
                <w:highlight w:val="none"/>
                <w:lang w:val="en" w:eastAsia="zh-CN"/>
              </w:rPr>
              <w:t>服务</w:t>
            </w:r>
            <w:r>
              <w:rPr>
                <w:rFonts w:hint="eastAsia" w:ascii="仿宋_GB2312" w:hAnsi="Times" w:eastAsia="仿宋_GB2312" w:cs="仿宋_GB2312"/>
                <w:bCs/>
                <w:color w:val="auto"/>
                <w:sz w:val="24"/>
                <w:szCs w:val="24"/>
                <w:highlight w:val="none"/>
                <w:lang w:val="en-US" w:eastAsia="zh-CN"/>
              </w:rPr>
              <w:t>管控措施</w:t>
            </w:r>
            <w:r>
              <w:rPr>
                <w:rFonts w:hint="eastAsia" w:ascii="仿宋_GB2312" w:hAnsi="Times" w:eastAsia="仿宋_GB2312" w:cs="仿宋_GB2312"/>
                <w:bCs/>
                <w:color w:val="auto"/>
                <w:sz w:val="24"/>
                <w:szCs w:val="24"/>
                <w:highlight w:val="none"/>
              </w:rPr>
              <w:t>，加0分。</w:t>
            </w:r>
          </w:p>
        </w:tc>
        <w:tc>
          <w:tcPr>
            <w:tcW w:w="1815" w:type="dxa"/>
            <w:noWrap w:val="0"/>
            <w:vAlign w:val="center"/>
          </w:tcPr>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spacing w:beforeLines="0"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spacing w:beforeLines="0"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服务</w:t>
            </w:r>
          </w:p>
          <w:p>
            <w:pPr>
              <w:keepNext w:val="0"/>
              <w:keepLines w:val="0"/>
              <w:pageBreakBefore w:val="0"/>
              <w:kinsoku/>
              <w:wordWrap/>
              <w:overflowPunct/>
              <w:topLinePunct w:val="0"/>
              <w:autoSpaceDE/>
              <w:autoSpaceDN/>
              <w:bidi w:val="0"/>
              <w:spacing w:beforeLines="0"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承诺</w:t>
            </w:r>
          </w:p>
          <w:p>
            <w:pPr>
              <w:keepNext w:val="0"/>
              <w:keepLines w:val="0"/>
              <w:pageBreakBefore w:val="0"/>
              <w:kinsoku/>
              <w:wordWrap/>
              <w:overflowPunct/>
              <w:topLinePunct w:val="0"/>
              <w:autoSpaceDE/>
              <w:autoSpaceDN/>
              <w:bidi w:val="0"/>
              <w:spacing w:beforeLines="0"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5分</w:t>
            </w:r>
            <w:r>
              <w:rPr>
                <w:rFonts w:hint="eastAsia" w:ascii="仿宋_GB2312" w:hAnsi="仿宋_GB2312" w:eastAsia="仿宋_GB2312" w:cs="仿宋_GB2312"/>
                <w:b w:val="0"/>
                <w:bCs/>
                <w:color w:val="auto"/>
                <w:sz w:val="24"/>
                <w:szCs w:val="24"/>
                <w:highlight w:val="none"/>
                <w:lang w:eastAsia="zh-CN"/>
              </w:rPr>
              <w:t>）</w:t>
            </w:r>
          </w:p>
        </w:tc>
        <w:tc>
          <w:tcPr>
            <w:tcW w:w="5295" w:type="dxa"/>
            <w:noWrap w:val="0"/>
            <w:vAlign w:val="center"/>
          </w:tcPr>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Times" w:eastAsia="仿宋_GB2312" w:cs="仿宋_GB2312"/>
                <w:bCs/>
                <w:color w:val="auto"/>
                <w:sz w:val="24"/>
                <w:szCs w:val="24"/>
                <w:highlight w:val="none"/>
              </w:rPr>
            </w:pPr>
            <w:r>
              <w:rPr>
                <w:rFonts w:hint="eastAsia" w:ascii="仿宋_GB2312" w:hAnsi="Times" w:eastAsia="仿宋_GB2312" w:cs="仿宋_GB2312"/>
                <w:bCs/>
                <w:color w:val="auto"/>
                <w:sz w:val="24"/>
                <w:szCs w:val="24"/>
                <w:highlight w:val="none"/>
              </w:rPr>
              <w:t>（一）评分内容</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Times" w:eastAsia="仿宋_GB2312" w:cs="仿宋_GB2312"/>
                <w:bCs/>
                <w:color w:val="auto"/>
                <w:sz w:val="24"/>
                <w:szCs w:val="24"/>
                <w:highlight w:val="none"/>
                <w:lang w:eastAsia="zh-CN"/>
              </w:rPr>
            </w:pPr>
            <w:r>
              <w:rPr>
                <w:rFonts w:hint="eastAsia" w:ascii="仿宋_GB2312" w:hAnsi="Times" w:eastAsia="仿宋_GB2312" w:cs="仿宋_GB2312"/>
                <w:bCs/>
                <w:color w:val="auto"/>
                <w:sz w:val="24"/>
                <w:szCs w:val="24"/>
                <w:highlight w:val="none"/>
              </w:rPr>
              <w:t>1.服务承诺内容全面、科学合理具备可操作性</w:t>
            </w:r>
            <w:r>
              <w:rPr>
                <w:rFonts w:hint="eastAsia" w:ascii="仿宋_GB2312" w:hAnsi="Times" w:eastAsia="仿宋_GB2312" w:cs="仿宋_GB2312"/>
                <w:bCs/>
                <w:color w:val="auto"/>
                <w:sz w:val="24"/>
                <w:szCs w:val="24"/>
                <w:highlight w:val="none"/>
                <w:lang w:eastAsia="zh-CN"/>
              </w:rPr>
              <w:t>。</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Times" w:eastAsia="仿宋_GB2312" w:cs="仿宋_GB2312"/>
                <w:bCs/>
                <w:color w:val="auto"/>
                <w:sz w:val="24"/>
                <w:szCs w:val="24"/>
                <w:highlight w:val="none"/>
              </w:rPr>
            </w:pPr>
            <w:r>
              <w:rPr>
                <w:rFonts w:hint="eastAsia" w:ascii="仿宋_GB2312" w:hAnsi="Times" w:eastAsia="仿宋_GB2312" w:cs="仿宋_GB2312"/>
                <w:bCs/>
                <w:color w:val="auto"/>
                <w:sz w:val="24"/>
                <w:szCs w:val="24"/>
                <w:highlight w:val="none"/>
              </w:rPr>
              <w:t>2.违约承诺内容全面、具有针对性、可操作性强。</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Times" w:eastAsia="仿宋_GB2312" w:cs="仿宋_GB2312"/>
                <w:bCs/>
                <w:color w:val="auto"/>
                <w:sz w:val="24"/>
                <w:szCs w:val="24"/>
                <w:highlight w:val="none"/>
              </w:rPr>
            </w:pPr>
            <w:r>
              <w:rPr>
                <w:rFonts w:hint="eastAsia" w:ascii="仿宋_GB2312" w:hAnsi="Times" w:eastAsia="仿宋_GB2312" w:cs="仿宋_GB2312"/>
                <w:bCs/>
                <w:color w:val="auto"/>
                <w:sz w:val="24"/>
                <w:szCs w:val="24"/>
                <w:highlight w:val="none"/>
              </w:rPr>
              <w:t>（二）评分标准</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Times" w:eastAsia="仿宋_GB2312" w:cs="仿宋_GB2312"/>
                <w:bCs/>
                <w:color w:val="auto"/>
                <w:sz w:val="24"/>
                <w:szCs w:val="24"/>
                <w:highlight w:val="none"/>
              </w:rPr>
              <w:t>投标人提供</w:t>
            </w:r>
            <w:bookmarkStart w:id="0" w:name="_GoBack"/>
            <w:bookmarkEnd w:id="0"/>
            <w:r>
              <w:rPr>
                <w:rFonts w:hint="eastAsia" w:ascii="仿宋_GB2312" w:hAnsi="Times" w:eastAsia="仿宋_GB2312" w:cs="仿宋_GB2312"/>
                <w:bCs/>
                <w:color w:val="auto"/>
                <w:sz w:val="24"/>
                <w:szCs w:val="24"/>
                <w:highlight w:val="none"/>
              </w:rPr>
              <w:t>的服务承诺每满足以上1点的得</w:t>
            </w:r>
            <w:r>
              <w:rPr>
                <w:rFonts w:hint="eastAsia" w:ascii="仿宋_GB2312" w:hAnsi="Times" w:eastAsia="仿宋_GB2312" w:cs="仿宋_GB2312"/>
                <w:bCs/>
                <w:color w:val="auto"/>
                <w:sz w:val="24"/>
                <w:szCs w:val="24"/>
                <w:highlight w:val="none"/>
                <w:lang w:val="en-US" w:eastAsia="zh-CN"/>
              </w:rPr>
              <w:t>2.5</w:t>
            </w:r>
            <w:r>
              <w:rPr>
                <w:rFonts w:hint="eastAsia" w:ascii="仿宋_GB2312" w:hAnsi="Times" w:eastAsia="仿宋_GB2312" w:cs="仿宋_GB2312"/>
                <w:bCs/>
                <w:color w:val="auto"/>
                <w:sz w:val="24"/>
                <w:szCs w:val="24"/>
                <w:highlight w:val="none"/>
              </w:rPr>
              <w:t>分，最高得</w:t>
            </w:r>
            <w:r>
              <w:rPr>
                <w:rFonts w:hint="eastAsia" w:ascii="仿宋_GB2312" w:hAnsi="Times" w:eastAsia="仿宋_GB2312" w:cs="仿宋_GB2312"/>
                <w:bCs/>
                <w:color w:val="auto"/>
                <w:sz w:val="24"/>
                <w:szCs w:val="24"/>
                <w:highlight w:val="none"/>
                <w:lang w:val="en-US" w:eastAsia="zh-CN"/>
              </w:rPr>
              <w:t>5</w:t>
            </w:r>
            <w:r>
              <w:rPr>
                <w:rFonts w:hint="eastAsia" w:ascii="仿宋_GB2312" w:hAnsi="Times" w:eastAsia="仿宋_GB2312" w:cs="仿宋_GB2312"/>
                <w:bCs/>
                <w:color w:val="auto"/>
                <w:sz w:val="24"/>
                <w:szCs w:val="24"/>
                <w:highlight w:val="none"/>
              </w:rPr>
              <w:t>分。</w:t>
            </w:r>
          </w:p>
        </w:tc>
        <w:tc>
          <w:tcPr>
            <w:tcW w:w="1815" w:type="dxa"/>
            <w:noWrap w:val="0"/>
            <w:vAlign w:val="center"/>
          </w:tcPr>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bl>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3.人员配备</w:t>
      </w:r>
    </w:p>
    <w:tbl>
      <w:tblPr>
        <w:tblStyle w:val="14"/>
        <w:tblW w:w="8750"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150"/>
        <w:gridCol w:w="5260"/>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trPr>
        <w:tc>
          <w:tcPr>
            <w:tcW w:w="6926" w:type="dxa"/>
            <w:gridSpan w:val="3"/>
            <w:noWrap/>
            <w:vAlign w:val="center"/>
          </w:tcPr>
          <w:p>
            <w:pPr>
              <w:keepNext w:val="0"/>
              <w:keepLines w:val="0"/>
              <w:pageBreakBefore w:val="0"/>
              <w:widowControl/>
              <w:kinsoku/>
              <w:wordWrap/>
              <w:overflowPunct/>
              <w:topLinePunct w:val="0"/>
              <w:autoSpaceDE/>
              <w:autoSpaceDN/>
              <w:bidi w:val="0"/>
              <w:adjustRightInd/>
              <w:snapToGrid/>
              <w:spacing w:beforeLines="0" w:line="560" w:lineRule="exact"/>
              <w:jc w:val="center"/>
              <w:textAlignment w:val="auto"/>
              <w:rPr>
                <w:rFonts w:hint="eastAsia" w:ascii="仿宋_GB2312" w:hAnsi="Times" w:eastAsia="仿宋_GB2312" w:cs="仿宋_GB2312"/>
                <w:b w:val="0"/>
                <w:bCs/>
                <w:color w:val="auto"/>
                <w:sz w:val="24"/>
                <w:szCs w:val="24"/>
                <w:highlight w:val="none"/>
              </w:rPr>
            </w:pPr>
            <w:r>
              <w:rPr>
                <w:rFonts w:hint="eastAsia" w:ascii="仿宋_GB2312" w:hAnsi="Times" w:eastAsia="仿宋_GB2312" w:cs="仿宋_GB2312"/>
                <w:b w:val="0"/>
                <w:bCs/>
                <w:color w:val="auto"/>
                <w:sz w:val="24"/>
                <w:szCs w:val="24"/>
                <w:highlight w:val="none"/>
              </w:rPr>
              <w:t>项目</w:t>
            </w:r>
          </w:p>
        </w:tc>
        <w:tc>
          <w:tcPr>
            <w:tcW w:w="1824" w:type="dxa"/>
            <w:noWrap w:val="0"/>
            <w:vAlign w:val="center"/>
          </w:tcPr>
          <w:p>
            <w:pPr>
              <w:keepNext w:val="0"/>
              <w:keepLines w:val="0"/>
              <w:pageBreakBefore w:val="0"/>
              <w:widowControl/>
              <w:kinsoku/>
              <w:wordWrap/>
              <w:overflowPunct/>
              <w:topLinePunct w:val="0"/>
              <w:autoSpaceDE/>
              <w:autoSpaceDN/>
              <w:bidi w:val="0"/>
              <w:adjustRightInd/>
              <w:snapToGrid/>
              <w:spacing w:beforeLines="0" w:line="560" w:lineRule="exact"/>
              <w:jc w:val="center"/>
              <w:textAlignment w:val="auto"/>
              <w:rPr>
                <w:rFonts w:hint="eastAsia" w:ascii="仿宋_GB2312" w:hAnsi="Times" w:eastAsia="仿宋_GB2312" w:cs="仿宋_GB2312"/>
                <w:b w:val="0"/>
                <w:bCs/>
                <w:color w:val="auto"/>
                <w:sz w:val="24"/>
                <w:szCs w:val="24"/>
                <w:highlight w:val="none"/>
              </w:rPr>
            </w:pPr>
            <w:r>
              <w:rPr>
                <w:rFonts w:hint="eastAsia" w:ascii="仿宋_GB2312" w:hAnsi="Times" w:eastAsia="仿宋_GB2312" w:cs="仿宋_GB2312"/>
                <w:b w:val="0"/>
                <w:bCs/>
                <w:color w:val="auto"/>
                <w:sz w:val="24"/>
                <w:szCs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516" w:type="dxa"/>
            <w:noWrap/>
            <w:vAlign w:val="center"/>
          </w:tcPr>
          <w:p>
            <w:pPr>
              <w:keepNext w:val="0"/>
              <w:keepLines w:val="0"/>
              <w:pageBreakBefore w:val="0"/>
              <w:widowControl/>
              <w:kinsoku/>
              <w:wordWrap/>
              <w:overflowPunct/>
              <w:topLinePunct w:val="0"/>
              <w:autoSpaceDE/>
              <w:autoSpaceDN/>
              <w:bidi w:val="0"/>
              <w:adjustRightInd/>
              <w:snapToGrid/>
              <w:spacing w:beforeLines="0" w:line="560" w:lineRule="exact"/>
              <w:jc w:val="left"/>
              <w:textAlignment w:val="auto"/>
              <w:rPr>
                <w:rFonts w:hint="eastAsia" w:ascii="仿宋_GB2312" w:hAnsi="Times" w:eastAsia="仿宋_GB2312" w:cs="仿宋_GB2312"/>
                <w:bCs/>
                <w:color w:val="auto"/>
                <w:kern w:val="2"/>
                <w:sz w:val="24"/>
                <w:highlight w:val="none"/>
                <w:lang w:eastAsia="zh-CN"/>
              </w:rPr>
            </w:pPr>
            <w:r>
              <w:rPr>
                <w:rFonts w:hint="eastAsia" w:ascii="仿宋_GB2312" w:hAnsi="Times" w:eastAsia="仿宋_GB2312" w:cs="仿宋_GB2312"/>
                <w:bCs/>
                <w:color w:val="auto"/>
                <w:kern w:val="2"/>
                <w:sz w:val="24"/>
                <w:highlight w:val="none"/>
                <w:lang w:val="en-US" w:eastAsia="zh-CN"/>
              </w:rPr>
              <w:t>人员配备</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spacing w:beforeLines="0" w:line="560" w:lineRule="exact"/>
              <w:jc w:val="left"/>
              <w:textAlignment w:val="auto"/>
              <w:rPr>
                <w:rFonts w:hint="eastAsia" w:ascii="仿宋_GB2312" w:hAnsi="Times" w:eastAsia="仿宋_GB2312" w:cs="仿宋_GB2312"/>
                <w:bCs/>
                <w:color w:val="auto"/>
                <w:kern w:val="2"/>
                <w:sz w:val="24"/>
                <w:highlight w:val="none"/>
              </w:rPr>
            </w:pPr>
            <w:r>
              <w:rPr>
                <w:rFonts w:hint="eastAsia" w:ascii="仿宋_GB2312" w:hAnsi="Times" w:eastAsia="仿宋_GB2312" w:cs="仿宋_GB2312"/>
                <w:bCs/>
                <w:color w:val="auto"/>
                <w:kern w:val="2"/>
                <w:sz w:val="24"/>
                <w:highlight w:val="none"/>
                <w:lang w:val="en-US" w:eastAsia="zh-CN"/>
              </w:rPr>
              <w:t>项目团队成员情况</w:t>
            </w:r>
            <w:r>
              <w:rPr>
                <w:rFonts w:hint="eastAsia" w:ascii="仿宋_GB2312" w:hAnsi="Times" w:eastAsia="仿宋_GB2312" w:cs="仿宋_GB2312"/>
                <w:b w:val="0"/>
                <w:bCs/>
                <w:color w:val="auto"/>
                <w:sz w:val="24"/>
                <w:szCs w:val="24"/>
                <w:highlight w:val="none"/>
                <w:lang w:eastAsia="zh-CN"/>
              </w:rPr>
              <w:t>（</w:t>
            </w:r>
            <w:r>
              <w:rPr>
                <w:rFonts w:hint="eastAsia" w:ascii="仿宋_GB2312" w:hAnsi="Times" w:eastAsia="仿宋_GB2312" w:cs="仿宋_GB2312"/>
                <w:b w:val="0"/>
                <w:bCs/>
                <w:color w:val="auto"/>
                <w:sz w:val="24"/>
                <w:szCs w:val="24"/>
                <w:highlight w:val="none"/>
                <w:lang w:val="en-US" w:eastAsia="zh-CN"/>
              </w:rPr>
              <w:t>10分</w:t>
            </w:r>
            <w:r>
              <w:rPr>
                <w:rFonts w:hint="eastAsia" w:ascii="仿宋_GB2312" w:hAnsi="Times" w:eastAsia="仿宋_GB2312" w:cs="仿宋_GB2312"/>
                <w:b w:val="0"/>
                <w:bCs/>
                <w:color w:val="auto"/>
                <w:sz w:val="24"/>
                <w:szCs w:val="24"/>
                <w:highlight w:val="none"/>
                <w:lang w:eastAsia="zh-CN"/>
              </w:rPr>
              <w:t>）</w:t>
            </w:r>
          </w:p>
        </w:tc>
        <w:tc>
          <w:tcPr>
            <w:tcW w:w="5260" w:type="dxa"/>
            <w:noWrap w:val="0"/>
            <w:vAlign w:val="center"/>
          </w:tcPr>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Times" w:eastAsia="仿宋_GB2312" w:cs="仿宋_GB2312"/>
                <w:bCs/>
                <w:color w:val="auto"/>
                <w:sz w:val="24"/>
                <w:szCs w:val="24"/>
                <w:highlight w:val="none"/>
                <w:lang w:val="en-US" w:eastAsia="zh-CN"/>
              </w:rPr>
            </w:pPr>
            <w:r>
              <w:rPr>
                <w:rFonts w:hint="eastAsia" w:ascii="仿宋_GB2312" w:hAnsi="Times" w:eastAsia="仿宋_GB2312" w:cs="仿宋_GB2312"/>
                <w:bCs/>
                <w:color w:val="auto"/>
                <w:sz w:val="24"/>
                <w:szCs w:val="24"/>
                <w:highlight w:val="none"/>
                <w:lang w:val="en-US" w:eastAsia="zh-CN"/>
              </w:rPr>
              <w:t>为本项目拟安排项目团队成员总人数不少于6人（含）；</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Times" w:eastAsia="仿宋_GB2312" w:cs="仿宋_GB2312"/>
                <w:bCs/>
                <w:color w:val="auto"/>
                <w:sz w:val="24"/>
                <w:szCs w:val="24"/>
                <w:highlight w:val="none"/>
                <w:lang w:val="en-US" w:eastAsia="zh-CN"/>
              </w:rPr>
            </w:pPr>
            <w:r>
              <w:rPr>
                <w:rFonts w:hint="eastAsia" w:ascii="仿宋_GB2312" w:hAnsi="Times" w:eastAsia="仿宋_GB2312" w:cs="仿宋_GB2312"/>
                <w:bCs/>
                <w:color w:val="auto"/>
                <w:sz w:val="24"/>
                <w:szCs w:val="24"/>
                <w:highlight w:val="none"/>
                <w:lang w:val="en-US" w:eastAsia="zh-CN"/>
              </w:rPr>
              <w:t>团队负责人具有创投行业管理服务经验及创新生态构建经验；</w:t>
            </w:r>
          </w:p>
          <w:p>
            <w:pPr>
              <w:keepNext w:val="0"/>
              <w:keepLines w:val="0"/>
              <w:pageBreakBefore w:val="0"/>
              <w:kinsoku/>
              <w:wordWrap/>
              <w:overflowPunct/>
              <w:topLinePunct w:val="0"/>
              <w:autoSpaceDE/>
              <w:autoSpaceDN/>
              <w:bidi w:val="0"/>
              <w:spacing w:beforeLines="0" w:line="560" w:lineRule="exact"/>
              <w:jc w:val="left"/>
              <w:textAlignment w:val="auto"/>
              <w:rPr>
                <w:rFonts w:hint="eastAsia" w:ascii="仿宋_GB2312" w:hAnsi="Times" w:eastAsia="仿宋_GB2312" w:cs="仿宋_GB2312"/>
                <w:bCs/>
                <w:color w:val="auto"/>
                <w:kern w:val="2"/>
                <w:sz w:val="24"/>
                <w:szCs w:val="24"/>
                <w:highlight w:val="none"/>
                <w:lang w:val="en-US" w:eastAsia="zh-CN" w:bidi="ar-SA"/>
              </w:rPr>
            </w:pPr>
            <w:r>
              <w:rPr>
                <w:rFonts w:hint="eastAsia" w:ascii="仿宋_GB2312" w:hAnsi="Times" w:eastAsia="仿宋_GB2312" w:cs="仿宋_GB2312"/>
                <w:b w:val="0"/>
                <w:bCs/>
                <w:color w:val="auto"/>
                <w:sz w:val="24"/>
                <w:szCs w:val="24"/>
                <w:highlight w:val="none"/>
                <w:lang w:eastAsia="zh-CN"/>
              </w:rPr>
              <w:t>投标人每满足以上1点的得</w:t>
            </w:r>
            <w:r>
              <w:rPr>
                <w:rFonts w:hint="eastAsia" w:ascii="仿宋_GB2312" w:hAnsi="Times" w:eastAsia="仿宋_GB2312" w:cs="仿宋_GB2312"/>
                <w:b w:val="0"/>
                <w:bCs/>
                <w:color w:val="auto"/>
                <w:sz w:val="24"/>
                <w:szCs w:val="24"/>
                <w:highlight w:val="none"/>
                <w:lang w:val="en-US" w:eastAsia="zh-CN"/>
              </w:rPr>
              <w:t>5</w:t>
            </w:r>
            <w:r>
              <w:rPr>
                <w:rFonts w:hint="eastAsia" w:ascii="仿宋_GB2312" w:hAnsi="Times" w:eastAsia="仿宋_GB2312" w:cs="仿宋_GB2312"/>
                <w:b w:val="0"/>
                <w:bCs/>
                <w:color w:val="auto"/>
                <w:sz w:val="24"/>
                <w:szCs w:val="24"/>
                <w:highlight w:val="none"/>
                <w:lang w:eastAsia="zh-CN"/>
              </w:rPr>
              <w:t>分，最高得</w:t>
            </w:r>
            <w:r>
              <w:rPr>
                <w:rFonts w:hint="eastAsia" w:ascii="仿宋_GB2312" w:hAnsi="Times" w:eastAsia="仿宋_GB2312" w:cs="仿宋_GB2312"/>
                <w:b w:val="0"/>
                <w:bCs/>
                <w:color w:val="auto"/>
                <w:sz w:val="24"/>
                <w:szCs w:val="24"/>
                <w:highlight w:val="none"/>
                <w:lang w:val="en-US" w:eastAsia="zh-CN"/>
              </w:rPr>
              <w:t>10</w:t>
            </w:r>
            <w:r>
              <w:rPr>
                <w:rFonts w:hint="eastAsia" w:ascii="仿宋_GB2312" w:hAnsi="Times" w:eastAsia="仿宋_GB2312" w:cs="仿宋_GB2312"/>
                <w:b w:val="0"/>
                <w:bCs/>
                <w:color w:val="auto"/>
                <w:sz w:val="24"/>
                <w:szCs w:val="24"/>
                <w:highlight w:val="none"/>
                <w:lang w:eastAsia="zh-CN"/>
              </w:rPr>
              <w:t>分。</w:t>
            </w:r>
          </w:p>
        </w:tc>
        <w:tc>
          <w:tcPr>
            <w:tcW w:w="1824" w:type="dxa"/>
            <w:noWrap w:val="0"/>
            <w:vAlign w:val="center"/>
          </w:tcPr>
          <w:p>
            <w:pPr>
              <w:keepNext w:val="0"/>
              <w:keepLines w:val="0"/>
              <w:pageBreakBefore w:val="0"/>
              <w:widowControl/>
              <w:kinsoku/>
              <w:wordWrap/>
              <w:overflowPunct/>
              <w:topLinePunct w:val="0"/>
              <w:autoSpaceDE/>
              <w:autoSpaceDN/>
              <w:bidi w:val="0"/>
              <w:adjustRightInd/>
              <w:snapToGrid/>
              <w:spacing w:beforeLines="0" w:line="560" w:lineRule="exact"/>
              <w:jc w:val="left"/>
              <w:textAlignment w:val="auto"/>
              <w:rPr>
                <w:rFonts w:hint="eastAsia" w:ascii="仿宋_GB2312" w:hAnsi="Times" w:eastAsia="仿宋_GB2312" w:cs="仿宋_GB2312"/>
                <w:bCs/>
                <w:color w:val="auto"/>
                <w:kern w:val="2"/>
                <w:sz w:val="24"/>
                <w:highlight w:val="none"/>
                <w:lang w:val="en-US" w:eastAsia="zh-CN"/>
              </w:rPr>
            </w:pPr>
            <w:r>
              <w:rPr>
                <w:rFonts w:hint="eastAsia" w:ascii="仿宋_GB2312" w:hAnsi="Times" w:eastAsia="仿宋_GB2312" w:cs="仿宋_GB2312"/>
                <w:bCs/>
                <w:color w:val="auto"/>
                <w:kern w:val="2"/>
                <w:sz w:val="24"/>
                <w:highlight w:val="none"/>
                <w:lang w:val="en-US" w:eastAsia="zh-CN"/>
              </w:rPr>
              <w:t>1.项目团队成员应提供近三个月社保缴纳证明；</w:t>
            </w:r>
          </w:p>
          <w:p>
            <w:pPr>
              <w:keepNext w:val="0"/>
              <w:keepLines w:val="0"/>
              <w:pageBreakBefore w:val="0"/>
              <w:widowControl/>
              <w:kinsoku/>
              <w:wordWrap/>
              <w:overflowPunct/>
              <w:topLinePunct w:val="0"/>
              <w:autoSpaceDE/>
              <w:autoSpaceDN/>
              <w:bidi w:val="0"/>
              <w:adjustRightInd/>
              <w:snapToGrid/>
              <w:spacing w:beforeLines="0" w:line="560" w:lineRule="exact"/>
              <w:jc w:val="left"/>
              <w:textAlignment w:val="auto"/>
              <w:rPr>
                <w:rFonts w:hint="eastAsia" w:ascii="仿宋_GB2312" w:hAnsi="Times" w:eastAsia="仿宋_GB2312" w:cs="仿宋_GB2312"/>
                <w:bCs/>
                <w:color w:val="auto"/>
                <w:kern w:val="2"/>
                <w:sz w:val="24"/>
                <w:szCs w:val="24"/>
                <w:highlight w:val="none"/>
                <w:lang w:val="en-US" w:eastAsia="zh-CN" w:bidi="ar-SA"/>
              </w:rPr>
            </w:pPr>
            <w:r>
              <w:rPr>
                <w:rFonts w:hint="eastAsia" w:ascii="仿宋_GB2312" w:hAnsi="Times" w:eastAsia="仿宋_GB2312" w:cs="仿宋_GB2312"/>
                <w:bCs/>
                <w:color w:val="auto"/>
                <w:kern w:val="2"/>
                <w:sz w:val="24"/>
                <w:highlight w:val="none"/>
                <w:lang w:val="en-US" w:eastAsia="zh-CN"/>
              </w:rPr>
              <w:t>2.</w:t>
            </w:r>
            <w:r>
              <w:rPr>
                <w:rFonts w:hint="eastAsia" w:ascii="仿宋_GB2312" w:hAnsi="Times" w:eastAsia="仿宋_GB2312" w:cs="仿宋_GB2312"/>
                <w:bCs/>
                <w:color w:val="auto"/>
                <w:kern w:val="2"/>
                <w:sz w:val="24"/>
                <w:highlight w:val="none"/>
                <w:lang w:eastAsia="zh-CN"/>
              </w:rPr>
              <w:t>相关</w:t>
            </w:r>
            <w:r>
              <w:rPr>
                <w:rFonts w:hint="eastAsia" w:ascii="仿宋_GB2312" w:hAnsi="Times" w:eastAsia="仿宋_GB2312" w:cs="仿宋_GB2312"/>
                <w:bCs/>
                <w:color w:val="auto"/>
                <w:kern w:val="2"/>
                <w:sz w:val="24"/>
                <w:highlight w:val="none"/>
                <w:lang w:val="en-US" w:eastAsia="zh-CN"/>
              </w:rPr>
              <w:t>经验须提供履历佐证材料。</w:t>
            </w: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4.报价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color w:val="auto"/>
          <w:kern w:val="0"/>
          <w:sz w:val="32"/>
          <w:szCs w:val="32"/>
          <w:highlight w:val="none"/>
          <w:lang w:val="en-US" w:eastAsia="zh-CN" w:bidi="ar-SA"/>
        </w:rPr>
      </w:pPr>
      <w:r>
        <w:rPr>
          <w:rFonts w:hint="eastAsia" w:ascii="仿宋_GB2312" w:hAnsi="Calibri" w:eastAsia="仿宋_GB2312" w:cs="Times New Roman"/>
          <w:color w:val="auto"/>
          <w:kern w:val="0"/>
          <w:sz w:val="32"/>
          <w:szCs w:val="32"/>
          <w:highlight w:val="none"/>
          <w:lang w:val="en-US" w:eastAsia="zh-CN" w:bidi="ar-SA"/>
        </w:rPr>
        <w:t>投标报价不得超过项目预算金额，以投标人所报的有效报价的最低值作为基准报价。各投标人报价得分=基准价</w:t>
      </w:r>
      <w:r>
        <w:rPr>
          <w:rFonts w:hint="default" w:ascii="仿宋_GB2312" w:hAnsi="Calibri" w:eastAsia="仿宋_GB2312" w:cs="Times New Roman"/>
          <w:color w:val="auto"/>
          <w:kern w:val="0"/>
          <w:sz w:val="32"/>
          <w:szCs w:val="32"/>
          <w:highlight w:val="none"/>
          <w:lang w:val="en" w:eastAsia="zh-CN" w:bidi="ar-SA"/>
        </w:rPr>
        <w:t>/</w:t>
      </w:r>
      <w:r>
        <w:rPr>
          <w:rFonts w:hint="eastAsia" w:ascii="仿宋_GB2312" w:hAnsi="Calibri" w:eastAsia="仿宋_GB2312" w:cs="Times New Roman"/>
          <w:color w:val="auto"/>
          <w:kern w:val="0"/>
          <w:sz w:val="32"/>
          <w:szCs w:val="32"/>
          <w:highlight w:val="none"/>
          <w:lang w:val="en-US" w:eastAsia="zh-CN" w:bidi="ar-SA"/>
        </w:rPr>
        <w:t>投标人报价*2</w:t>
      </w:r>
      <w:r>
        <w:rPr>
          <w:rFonts w:hint="default" w:ascii="仿宋_GB2312" w:hAnsi="Calibri" w:eastAsia="仿宋_GB2312" w:cs="Times New Roman"/>
          <w:color w:val="auto"/>
          <w:kern w:val="0"/>
          <w:sz w:val="32"/>
          <w:szCs w:val="32"/>
          <w:highlight w:val="none"/>
          <w:lang w:val="en" w:eastAsia="zh-CN" w:bidi="ar-SA"/>
        </w:rPr>
        <w:t>0</w:t>
      </w:r>
      <w:r>
        <w:rPr>
          <w:rFonts w:hint="eastAsia" w:ascii="仿宋_GB2312" w:hAnsi="仿宋_GB2312" w:eastAsia="仿宋_GB2312" w:cs="仿宋_GB2312"/>
          <w:color w:val="auto"/>
          <w:kern w:val="0"/>
          <w:sz w:val="32"/>
          <w:szCs w:val="32"/>
          <w:highlight w:val="none"/>
          <w:lang w:val="en-US" w:eastAsia="zh-CN" w:bidi="ar-SA"/>
        </w:rPr>
        <w:t>分</w:t>
      </w:r>
      <w:r>
        <w:rPr>
          <w:rFonts w:hint="eastAsia" w:ascii="仿宋_GB2312" w:hAnsi="仿宋_GB2312" w:eastAsia="仿宋_GB2312" w:cs="仿宋_GB2312"/>
          <w:kern w:val="2"/>
          <w:sz w:val="32"/>
          <w:szCs w:val="32"/>
          <w:lang w:val="en-US" w:eastAsia="zh-CN" w:bidi="ar-SA"/>
        </w:rPr>
        <w:t>，本项满分20分</w:t>
      </w:r>
      <w:r>
        <w:rPr>
          <w:rFonts w:hint="eastAsia" w:ascii="仿宋_GB2312" w:hAnsi="Calibri" w:eastAsia="仿宋_GB2312" w:cs="Times New Roman"/>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eastAsia="仿宋_GB2312" w:cs="Times New Roman"/>
          <w:b w:val="0"/>
          <w:bCs w:val="0"/>
          <w:strike w:val="0"/>
          <w:dstrike w:val="0"/>
          <w:color w:val="auto"/>
          <w:kern w:val="2"/>
          <w:sz w:val="32"/>
          <w:szCs w:val="32"/>
          <w:highlight w:val="none"/>
          <w:u w:val="none"/>
          <w:lang w:val="en-US" w:eastAsia="zh-CN" w:bidi="ar-SA"/>
        </w:rPr>
      </w:pPr>
      <w:r>
        <w:rPr>
          <w:rFonts w:hint="eastAsia" w:ascii="仿宋_GB2312" w:eastAsia="仿宋_GB2312" w:cs="Times New Roman"/>
          <w:b w:val="0"/>
          <w:bCs w:val="0"/>
          <w:strike w:val="0"/>
          <w:dstrike w:val="0"/>
          <w:color w:val="auto"/>
          <w:kern w:val="2"/>
          <w:sz w:val="32"/>
          <w:szCs w:val="32"/>
          <w:highlight w:val="none"/>
          <w:u w:val="none"/>
          <w:lang w:val="en-US" w:eastAsia="zh-CN" w:bidi="ar-SA"/>
        </w:rPr>
        <w:t>附件：1.投标及履约承诺函</w:t>
      </w:r>
    </w:p>
    <w:p>
      <w:pPr>
        <w:keepNext w:val="0"/>
        <w:keepLines w:val="0"/>
        <w:pageBreakBefore w:val="0"/>
        <w:widowControl w:val="0"/>
        <w:kinsoku/>
        <w:wordWrap/>
        <w:overflowPunct/>
        <w:topLinePunct w:val="0"/>
        <w:autoSpaceDE/>
        <w:autoSpaceDN/>
        <w:bidi w:val="0"/>
        <w:adjustRightInd/>
        <w:snapToGrid/>
        <w:spacing w:line="560" w:lineRule="exact"/>
        <w:ind w:firstLine="1625" w:firstLineChars="508"/>
        <w:jc w:val="left"/>
        <w:textAlignment w:val="auto"/>
        <w:rPr>
          <w:rFonts w:hint="default" w:ascii="仿宋_GB2312" w:eastAsia="仿宋_GB2312" w:cs="Times New Roman"/>
          <w:b w:val="0"/>
          <w:bCs w:val="0"/>
          <w:strike w:val="0"/>
          <w:dstrike w:val="0"/>
          <w:color w:val="auto"/>
          <w:kern w:val="2"/>
          <w:sz w:val="32"/>
          <w:szCs w:val="32"/>
          <w:highlight w:val="none"/>
          <w:u w:val="none"/>
          <w:lang w:val="en-US" w:eastAsia="zh-CN" w:bidi="ar-SA"/>
        </w:rPr>
      </w:pPr>
      <w:r>
        <w:rPr>
          <w:rFonts w:hint="eastAsia" w:ascii="仿宋_GB2312" w:eastAsia="仿宋_GB2312" w:cs="Times New Roman"/>
          <w:b w:val="0"/>
          <w:bCs w:val="0"/>
          <w:strike w:val="0"/>
          <w:dstrike w:val="0"/>
          <w:color w:val="auto"/>
          <w:kern w:val="2"/>
          <w:sz w:val="32"/>
          <w:szCs w:val="32"/>
          <w:highlight w:val="none"/>
          <w:u w:val="none"/>
          <w:lang w:val="en-US" w:eastAsia="zh-CN" w:bidi="ar-SA"/>
        </w:rPr>
        <w:t>2.供应商基本情况表</w:t>
      </w:r>
    </w:p>
    <w:p>
      <w:pPr>
        <w:keepNext w:val="0"/>
        <w:keepLines w:val="0"/>
        <w:pageBreakBefore w:val="0"/>
        <w:kinsoku/>
        <w:wordWrap/>
        <w:overflowPunct/>
        <w:topLinePunct w:val="0"/>
        <w:bidi w:val="0"/>
        <w:spacing w:line="560" w:lineRule="exact"/>
        <w:textAlignment w:val="auto"/>
        <w:rPr>
          <w:rFonts w:hint="default" w:ascii="宋体" w:hAnsi="宋体" w:eastAsia="宋体" w:cs="宋体"/>
          <w:b/>
          <w:bCs/>
          <w:color w:val="auto"/>
          <w:sz w:val="44"/>
          <w:szCs w:val="44"/>
          <w:highlight w:val="none"/>
          <w:u w:val="none"/>
          <w:lang w:val="en-US"/>
        </w:rPr>
      </w:pPr>
      <w:r>
        <w:rPr>
          <w:rFonts w:hint="eastAsia" w:ascii="仿宋_GB2312" w:eastAsia="仿宋_GB2312" w:cs="Times New Roman"/>
          <w:b w:val="0"/>
          <w:bCs w:val="0"/>
          <w:strike w:val="0"/>
          <w:dstrike w:val="0"/>
          <w:color w:val="auto"/>
          <w:kern w:val="2"/>
          <w:sz w:val="32"/>
          <w:szCs w:val="32"/>
          <w:highlight w:val="none"/>
          <w:u w:val="none"/>
          <w:lang w:val="en-US" w:eastAsia="zh-CN" w:bidi="ar-SA"/>
        </w:rPr>
        <w:br w:type="page"/>
      </w:r>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0"/>
        <w:rPr>
          <w:rFonts w:hint="eastAsia" w:ascii="宋体" w:hAnsi="宋体" w:eastAsia="宋体" w:cs="宋体"/>
          <w:b/>
          <w:bCs/>
          <w:color w:val="auto"/>
          <w:sz w:val="44"/>
          <w:szCs w:val="44"/>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0"/>
        <w:rPr>
          <w:rFonts w:ascii="宋体" w:hAnsi="宋体" w:eastAsia="宋体" w:cs="宋体"/>
          <w:b/>
          <w:bCs/>
          <w:color w:val="auto"/>
          <w:sz w:val="44"/>
          <w:szCs w:val="44"/>
          <w:highlight w:val="none"/>
          <w:u w:val="none"/>
        </w:rPr>
      </w:pPr>
      <w:r>
        <w:rPr>
          <w:rFonts w:hint="eastAsia" w:ascii="宋体" w:hAnsi="宋体" w:eastAsia="宋体" w:cs="宋体"/>
          <w:b/>
          <w:bCs/>
          <w:color w:val="auto"/>
          <w:sz w:val="44"/>
          <w:szCs w:val="44"/>
          <w:highlight w:val="none"/>
          <w:u w:val="none"/>
        </w:rPr>
        <w:t>投标及履约承诺函</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ascii="宋体" w:hAnsi="宋体" w:eastAsia="宋体" w:cs="宋体"/>
          <w:b/>
          <w:bCs/>
          <w:color w:val="auto"/>
          <w:sz w:val="44"/>
          <w:szCs w:val="44"/>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22"/>
          <w:highlight w:val="none"/>
          <w:u w:val="none"/>
        </w:rPr>
      </w:pPr>
      <w:r>
        <w:rPr>
          <w:rFonts w:hint="eastAsia" w:ascii="仿宋_GB2312" w:hAnsi="宋体" w:eastAsia="仿宋_GB2312" w:cs="仿宋_GB2312"/>
          <w:color w:val="auto"/>
          <w:sz w:val="32"/>
          <w:szCs w:val="22"/>
          <w:highlight w:val="none"/>
          <w:u w:val="none"/>
        </w:rPr>
        <w:t>我单位承诺：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22"/>
          <w:highlight w:val="none"/>
          <w:u w:val="none"/>
        </w:rPr>
      </w:pPr>
      <w:r>
        <w:rPr>
          <w:rFonts w:hint="eastAsia" w:ascii="仿宋_GB2312" w:hAnsi="宋体" w:eastAsia="仿宋_GB2312" w:cs="仿宋_GB2312"/>
          <w:color w:val="auto"/>
          <w:sz w:val="32"/>
          <w:szCs w:val="22"/>
          <w:highlight w:val="none"/>
          <w:u w:val="none"/>
        </w:rPr>
        <w:t>1.依法缴纳税收和社会保障资金。具备项目所必需的人员和专业技术能力。参加政府采购活动前三年内在经营活动中没有重大违法记录。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22"/>
          <w:highlight w:val="none"/>
          <w:u w:val="none"/>
        </w:rPr>
      </w:pPr>
      <w:r>
        <w:rPr>
          <w:rFonts w:hint="eastAsia" w:ascii="仿宋_GB2312" w:hAnsi="宋体" w:eastAsia="仿宋_GB2312" w:cs="仿宋_GB2312"/>
          <w:color w:val="auto"/>
          <w:sz w:val="32"/>
          <w:szCs w:val="22"/>
          <w:highlight w:val="none"/>
          <w:u w:val="none"/>
        </w:rPr>
        <w:t>2.对本招标项目所提供的服务未侵犯知识产权。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22"/>
          <w:highlight w:val="none"/>
          <w:u w:val="none"/>
        </w:rPr>
      </w:pPr>
      <w:r>
        <w:rPr>
          <w:rFonts w:hint="eastAsia" w:ascii="仿宋_GB2312" w:hAnsi="宋体" w:eastAsia="仿宋_GB2312" w:cs="仿宋_GB2312"/>
          <w:color w:val="auto"/>
          <w:sz w:val="32"/>
          <w:szCs w:val="22"/>
          <w:highlight w:val="none"/>
          <w:u w:val="none"/>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22"/>
          <w:highlight w:val="none"/>
          <w:u w:val="none"/>
        </w:rPr>
      </w:pPr>
      <w:r>
        <w:rPr>
          <w:rFonts w:ascii="仿宋_GB2312" w:hAnsi="宋体" w:eastAsia="仿宋_GB2312" w:cs="仿宋_GB2312"/>
          <w:color w:val="auto"/>
          <w:sz w:val="32"/>
          <w:szCs w:val="22"/>
          <w:highlight w:val="none"/>
          <w:u w:val="none"/>
        </w:rPr>
        <w:t>4</w:t>
      </w:r>
      <w:r>
        <w:rPr>
          <w:rFonts w:hint="eastAsia" w:ascii="仿宋_GB2312" w:hAnsi="宋体" w:eastAsia="仿宋_GB2312" w:cs="仿宋_GB2312"/>
          <w:color w:val="auto"/>
          <w:sz w:val="32"/>
          <w:szCs w:val="22"/>
          <w:highlight w:val="none"/>
          <w:u w:val="none"/>
        </w:rPr>
        <w:t>.如果中标，做到守信，不偷工减料，依照本项目招标文件需求内容、签署的采购合同及在投标中所作的一切承诺履约。项目验收达到全部指标合格，力争优良。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22"/>
          <w:highlight w:val="none"/>
          <w:u w:val="none"/>
        </w:rPr>
      </w:pPr>
      <w:r>
        <w:rPr>
          <w:rFonts w:ascii="仿宋_GB2312" w:hAnsi="宋体" w:eastAsia="仿宋_GB2312" w:cs="仿宋_GB2312"/>
          <w:color w:val="auto"/>
          <w:sz w:val="32"/>
          <w:szCs w:val="22"/>
          <w:highlight w:val="none"/>
          <w:u w:val="none"/>
        </w:rPr>
        <w:t>5</w:t>
      </w:r>
      <w:r>
        <w:rPr>
          <w:rFonts w:hint="eastAsia" w:ascii="仿宋_GB2312" w:hAnsi="宋体" w:eastAsia="仿宋_GB2312" w:cs="仿宋_GB2312"/>
          <w:color w:val="auto"/>
          <w:sz w:val="32"/>
          <w:szCs w:val="22"/>
          <w:highlight w:val="none"/>
          <w:u w:val="none"/>
        </w:rPr>
        <w:t>.我单位已认真阅读本项目需求，我单位承诺按时递交标书。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color w:val="auto"/>
          <w:sz w:val="32"/>
          <w:szCs w:val="22"/>
          <w:highlight w:val="none"/>
          <w:u w:val="none"/>
        </w:rPr>
      </w:pPr>
      <w:r>
        <w:rPr>
          <w:rFonts w:ascii="仿宋_GB2312" w:hAnsi="宋体" w:eastAsia="仿宋_GB2312" w:cs="仿宋_GB2312"/>
          <w:color w:val="auto"/>
          <w:sz w:val="32"/>
          <w:szCs w:val="22"/>
          <w:highlight w:val="none"/>
          <w:u w:val="none"/>
        </w:rPr>
        <w:t>6</w:t>
      </w:r>
      <w:r>
        <w:rPr>
          <w:rFonts w:hint="eastAsia" w:ascii="仿宋_GB2312" w:hAnsi="宋体" w:eastAsia="仿宋_GB2312" w:cs="仿宋_GB2312"/>
          <w:color w:val="auto"/>
          <w:sz w:val="32"/>
          <w:szCs w:val="22"/>
          <w:highlight w:val="none"/>
          <w:u w:val="none"/>
        </w:rPr>
        <w:t>.我单位承诺不非法转包或分包。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color w:val="auto"/>
          <w:sz w:val="32"/>
          <w:szCs w:val="22"/>
          <w:highlight w:val="none"/>
          <w:u w:val="none"/>
        </w:rPr>
      </w:pPr>
      <w:r>
        <w:rPr>
          <w:rFonts w:hint="eastAsia" w:ascii="仿宋_GB2312" w:hAnsi="宋体" w:eastAsia="仿宋_GB2312" w:cs="仿宋_GB2312"/>
          <w:color w:val="auto"/>
          <w:sz w:val="32"/>
          <w:szCs w:val="22"/>
          <w:highlight w:val="none"/>
          <w:u w:val="none"/>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22"/>
          <w:highlight w:val="none"/>
          <w:u w:val="none"/>
        </w:rPr>
      </w:pPr>
      <w:r>
        <w:rPr>
          <w:rFonts w:hint="eastAsia" w:ascii="仿宋_GB2312" w:hAnsi="宋体" w:eastAsia="仿宋_GB2312" w:cs="仿宋_GB2312"/>
          <w:color w:val="auto"/>
          <w:sz w:val="32"/>
          <w:szCs w:val="22"/>
          <w:highlight w:val="none"/>
          <w:u w:val="none"/>
        </w:rPr>
        <w:t xml:space="preserve">承诺投标人：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22"/>
          <w:highlight w:val="none"/>
          <w:u w:val="none"/>
        </w:rPr>
      </w:pPr>
      <w:r>
        <w:rPr>
          <w:rFonts w:hint="eastAsia" w:ascii="仿宋_GB2312" w:hAnsi="宋体" w:eastAsia="仿宋_GB2312" w:cs="仿宋_GB2312"/>
          <w:color w:val="auto"/>
          <w:sz w:val="32"/>
          <w:szCs w:val="22"/>
          <w:highlight w:val="none"/>
          <w:u w:val="none"/>
        </w:rPr>
        <w:t>单位地址：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22"/>
          <w:highlight w:val="none"/>
          <w:u w:val="none"/>
        </w:rPr>
      </w:pPr>
      <w:r>
        <w:rPr>
          <w:rFonts w:hint="eastAsia" w:ascii="仿宋_GB2312" w:hAnsi="宋体" w:eastAsia="仿宋_GB2312" w:cs="仿宋_GB2312"/>
          <w:color w:val="auto"/>
          <w:sz w:val="32"/>
          <w:szCs w:val="22"/>
          <w:highlight w:val="none"/>
          <w:u w:val="none"/>
        </w:rPr>
        <w:t>法定代表人或其委托代理人：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22"/>
          <w:highlight w:val="none"/>
          <w:u w:val="none"/>
        </w:rPr>
      </w:pPr>
      <w:r>
        <w:rPr>
          <w:rFonts w:hint="eastAsia" w:ascii="仿宋_GB2312" w:hAnsi="宋体" w:eastAsia="仿宋_GB2312" w:cs="仿宋_GB2312"/>
          <w:color w:val="auto"/>
          <w:sz w:val="32"/>
          <w:szCs w:val="22"/>
          <w:highlight w:val="none"/>
          <w:u w:val="none"/>
        </w:rPr>
        <w:t>联系电话：</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color w:val="auto"/>
          <w:highlight w:val="none"/>
          <w:lang w:val="en-US" w:eastAsia="zh-CN"/>
        </w:rPr>
      </w:pPr>
      <w:r>
        <w:rPr>
          <w:rFonts w:hint="eastAsia" w:ascii="仿宋_GB2312" w:hAnsi="Times New Roman" w:eastAsia="仿宋_GB2312" w:cs="仿宋_GB2312"/>
          <w:color w:val="auto"/>
          <w:sz w:val="32"/>
          <w:szCs w:val="22"/>
          <w:highlight w:val="none"/>
          <w:u w:val="none"/>
        </w:rPr>
        <w:t xml:space="preserve">日期：   年   月   日  </w:t>
      </w:r>
      <w:r>
        <w:rPr>
          <w:rFonts w:ascii="Times New Roman" w:hAnsi="Times New Roman" w:eastAsia="仿宋_GB2312" w:cs="Times New Roman"/>
          <w:color w:val="auto"/>
          <w:sz w:val="32"/>
          <w:szCs w:val="22"/>
          <w:highlight w:val="none"/>
          <w:u w:val="none"/>
        </w:rPr>
        <w:t xml:space="preserve"> </w:t>
      </w:r>
    </w:p>
    <w:p>
      <w:pPr>
        <w:rPr>
          <w:rFonts w:hint="default" w:ascii="仿宋_GB2312" w:hAnsi="仿宋_GB2312" w:eastAsia="仿宋_GB2312" w:cs="仿宋_GB2312"/>
          <w:color w:val="auto"/>
          <w:spacing w:val="0"/>
          <w:w w:val="100"/>
          <w:kern w:val="2"/>
          <w:sz w:val="32"/>
          <w:szCs w:val="28"/>
          <w:highlight w:val="none"/>
          <w:lang w:val="en-US" w:eastAsia="zh-CN" w:bidi="ar-SA"/>
        </w:rPr>
      </w:pPr>
      <w:r>
        <w:rPr>
          <w:rFonts w:hint="default" w:ascii="仿宋_GB2312" w:hAnsi="仿宋_GB2312" w:eastAsia="仿宋_GB2312" w:cs="仿宋_GB2312"/>
          <w:color w:val="auto"/>
          <w:spacing w:val="0"/>
          <w:w w:val="100"/>
          <w:kern w:val="2"/>
          <w:sz w:val="32"/>
          <w:szCs w:val="28"/>
          <w:highlight w:val="none"/>
          <w:lang w:val="en-US" w:eastAsia="zh-CN" w:bidi="ar-SA"/>
        </w:rPr>
        <w:br w:type="page"/>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pStyle w:val="4"/>
        <w:snapToGrid w:val="0"/>
        <w:spacing w:before="0" w:after="0" w:line="560" w:lineRule="exact"/>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供应商基本情况表</w:t>
      </w:r>
    </w:p>
    <w:p>
      <w:pPr>
        <w:spacing w:line="560" w:lineRule="exact"/>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9737" w:type="dxa"/>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062"/>
        <w:gridCol w:w="1283"/>
        <w:gridCol w:w="1270"/>
        <w:gridCol w:w="791"/>
        <w:gridCol w:w="1200"/>
        <w:gridCol w:w="150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3312"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gridSpan w:val="2"/>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3312"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gridSpan w:val="8"/>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tcBorders>
              <w:bottom w:val="single" w:color="auto" w:sz="4" w:space="0"/>
            </w:tcBorders>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345" w:type="dxa"/>
            <w:gridSpan w:val="2"/>
            <w:tcBorders>
              <w:bottom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1270" w:type="dxa"/>
            <w:tcBorders>
              <w:bottom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812" w:type="dxa"/>
            <w:tcBorders>
              <w:bottom w:val="single" w:color="auto" w:sz="4" w:space="0"/>
            </w:tcBorders>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tcBorders>
            <w:noWrap w:val="0"/>
            <w:vAlign w:val="center"/>
          </w:tcPr>
          <w:p>
            <w:pPr>
              <w:spacing w:beforeLines="0" w:afterLines="0"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345" w:type="dxa"/>
            <w:gridSpan w:val="2"/>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1270" w:type="dxa"/>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noWrap w:val="0"/>
            <w:vAlign w:val="center"/>
          </w:tcPr>
          <w:p>
            <w:pPr>
              <w:spacing w:beforeLines="0" w:afterLines="0"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345"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1270"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beforeLines="0" w:afterLines="0"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345" w:type="dxa"/>
            <w:gridSpan w:val="2"/>
            <w:noWrap w:val="0"/>
            <w:vAlign w:val="center"/>
          </w:tcPr>
          <w:p>
            <w:pPr>
              <w:pStyle w:val="2"/>
              <w:snapToGrid w:val="0"/>
              <w:spacing w:line="240" w:lineRule="auto"/>
              <w:ind w:left="0" w:leftChars="0" w:firstLine="0"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1270"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gridSpan w:val="8"/>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37" w:type="dxa"/>
            <w:gridSpan w:val="8"/>
            <w:noWrap w:val="0"/>
            <w:vAlign w:val="center"/>
          </w:tcPr>
          <w:p>
            <w:pPr>
              <w:spacing w:line="240" w:lineRule="auto"/>
              <w:jc w:val="left"/>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bottom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345" w:type="dxa"/>
            <w:gridSpan w:val="2"/>
            <w:tcBorders>
              <w:bottom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2061" w:type="dxa"/>
            <w:gridSpan w:val="2"/>
            <w:tcBorders>
              <w:bottom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512" w:type="dxa"/>
            <w:gridSpan w:val="3"/>
            <w:tcBorders>
              <w:bottom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p>
        </w:tc>
        <w:tc>
          <w:tcPr>
            <w:tcW w:w="451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p>
        </w:tc>
        <w:tc>
          <w:tcPr>
            <w:tcW w:w="451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sectPr>
      <w:head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F0mU5cwBAACnAwAADgAA&#10;AAAAAAABACAAAAA0AQAAZHJzL2Uyb0RvYy54bWxQSwUGAAAAAAYABgBZAQAAcgU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0DBF75"/>
    <w:multiLevelType w:val="multilevel"/>
    <w:tmpl w:val="DB0DBF75"/>
    <w:lvl w:ilvl="0" w:tentative="0">
      <w:start w:val="1"/>
      <w:numFmt w:val="chineseCounting"/>
      <w:pStyle w:val="5"/>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481"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MjgxMWVjNGRiODdjNjUzZDc4NDliM2MzZmI2MGIifQ=="/>
  </w:docVars>
  <w:rsids>
    <w:rsidRoot w:val="0EA4756C"/>
    <w:rsid w:val="0BEF24D9"/>
    <w:rsid w:val="0F884615"/>
    <w:rsid w:val="127D457A"/>
    <w:rsid w:val="16635CC9"/>
    <w:rsid w:val="17D791D9"/>
    <w:rsid w:val="1DFD4886"/>
    <w:rsid w:val="1F7E50E9"/>
    <w:rsid w:val="1FFB1B50"/>
    <w:rsid w:val="26EF9192"/>
    <w:rsid w:val="27FFE2E7"/>
    <w:rsid w:val="2E440DBA"/>
    <w:rsid w:val="2FEF270F"/>
    <w:rsid w:val="37DB15E4"/>
    <w:rsid w:val="37FD45ED"/>
    <w:rsid w:val="39DBAEF2"/>
    <w:rsid w:val="3ABD1A5E"/>
    <w:rsid w:val="3F76ADB7"/>
    <w:rsid w:val="3FFF0972"/>
    <w:rsid w:val="3FFF1DE5"/>
    <w:rsid w:val="469FDF6F"/>
    <w:rsid w:val="47305B9A"/>
    <w:rsid w:val="4B977B99"/>
    <w:rsid w:val="4D7F0EBA"/>
    <w:rsid w:val="4FD7F710"/>
    <w:rsid w:val="4FF5766E"/>
    <w:rsid w:val="5B347F13"/>
    <w:rsid w:val="5B6F8E9E"/>
    <w:rsid w:val="5B6FDCA9"/>
    <w:rsid w:val="5D7E24A5"/>
    <w:rsid w:val="5DBF6B3E"/>
    <w:rsid w:val="5EFF3046"/>
    <w:rsid w:val="5F52198C"/>
    <w:rsid w:val="5F9ED6AA"/>
    <w:rsid w:val="5FB7FB07"/>
    <w:rsid w:val="5FBE4265"/>
    <w:rsid w:val="5FFB270E"/>
    <w:rsid w:val="6477A3F6"/>
    <w:rsid w:val="65FFFE31"/>
    <w:rsid w:val="67DF9739"/>
    <w:rsid w:val="69FF9701"/>
    <w:rsid w:val="6BCDA44E"/>
    <w:rsid w:val="6E59DD57"/>
    <w:rsid w:val="6EBB9AFE"/>
    <w:rsid w:val="6EFE5411"/>
    <w:rsid w:val="6F7F4D1A"/>
    <w:rsid w:val="6FDAC41F"/>
    <w:rsid w:val="6FF943BC"/>
    <w:rsid w:val="713F9AFD"/>
    <w:rsid w:val="73DFEABB"/>
    <w:rsid w:val="73E3DA1B"/>
    <w:rsid w:val="73EFD55D"/>
    <w:rsid w:val="749FA29E"/>
    <w:rsid w:val="74B87060"/>
    <w:rsid w:val="74FD178C"/>
    <w:rsid w:val="76DD03E9"/>
    <w:rsid w:val="773F057F"/>
    <w:rsid w:val="77751012"/>
    <w:rsid w:val="77DFB278"/>
    <w:rsid w:val="796D0BED"/>
    <w:rsid w:val="79D7889D"/>
    <w:rsid w:val="7AFD38CE"/>
    <w:rsid w:val="7AFEBE51"/>
    <w:rsid w:val="7BD6CC3B"/>
    <w:rsid w:val="7BF6EEC6"/>
    <w:rsid w:val="7BFDECBE"/>
    <w:rsid w:val="7CB90EB9"/>
    <w:rsid w:val="7D6FD167"/>
    <w:rsid w:val="7DBFB036"/>
    <w:rsid w:val="7DCFBCB4"/>
    <w:rsid w:val="7DD97F52"/>
    <w:rsid w:val="7DDC9165"/>
    <w:rsid w:val="7DE799B6"/>
    <w:rsid w:val="7EBF273F"/>
    <w:rsid w:val="7EDED006"/>
    <w:rsid w:val="7EF11A10"/>
    <w:rsid w:val="7EFE680A"/>
    <w:rsid w:val="7F1E2FDE"/>
    <w:rsid w:val="7F554F52"/>
    <w:rsid w:val="7F938FB4"/>
    <w:rsid w:val="7FBB6E27"/>
    <w:rsid w:val="7FBD8A29"/>
    <w:rsid w:val="7FBF32F2"/>
    <w:rsid w:val="7FBFE28B"/>
    <w:rsid w:val="7FDE3E2C"/>
    <w:rsid w:val="7FE8AA92"/>
    <w:rsid w:val="7FED283D"/>
    <w:rsid w:val="7FEF7DF6"/>
    <w:rsid w:val="7FFC21A5"/>
    <w:rsid w:val="92BBDA70"/>
    <w:rsid w:val="95CF0F15"/>
    <w:rsid w:val="9AFFEE92"/>
    <w:rsid w:val="9CFB5F10"/>
    <w:rsid w:val="A9FFEFF9"/>
    <w:rsid w:val="ABD77EBC"/>
    <w:rsid w:val="AF66CC8B"/>
    <w:rsid w:val="B76FD360"/>
    <w:rsid w:val="B9DBCBB0"/>
    <w:rsid w:val="BD7F34A1"/>
    <w:rsid w:val="BF7F5CAE"/>
    <w:rsid w:val="BFA60294"/>
    <w:rsid w:val="BFDFE4DD"/>
    <w:rsid w:val="C9CF5FF5"/>
    <w:rsid w:val="C9E76FFE"/>
    <w:rsid w:val="CDA3F57B"/>
    <w:rsid w:val="CDD6541F"/>
    <w:rsid w:val="CFF20641"/>
    <w:rsid w:val="D55E4FAD"/>
    <w:rsid w:val="DDE06E7A"/>
    <w:rsid w:val="DDFCED09"/>
    <w:rsid w:val="DDFEC244"/>
    <w:rsid w:val="DEDB49F1"/>
    <w:rsid w:val="DFBF6A94"/>
    <w:rsid w:val="E737F389"/>
    <w:rsid w:val="EBAFEFC5"/>
    <w:rsid w:val="EBE9B218"/>
    <w:rsid w:val="EF479C85"/>
    <w:rsid w:val="EFCE3144"/>
    <w:rsid w:val="EFDE9F65"/>
    <w:rsid w:val="F3DF0458"/>
    <w:rsid w:val="F4E7F5E4"/>
    <w:rsid w:val="F5D95CF8"/>
    <w:rsid w:val="F5FEE08C"/>
    <w:rsid w:val="F7674E3A"/>
    <w:rsid w:val="F7BE1EFE"/>
    <w:rsid w:val="F7EDA199"/>
    <w:rsid w:val="F7FF1F64"/>
    <w:rsid w:val="F8965CE0"/>
    <w:rsid w:val="FB3B39A2"/>
    <w:rsid w:val="FB7FE7AC"/>
    <w:rsid w:val="FBBDF41E"/>
    <w:rsid w:val="FBF73C64"/>
    <w:rsid w:val="FCFFF181"/>
    <w:rsid w:val="FD4D4D5F"/>
    <w:rsid w:val="FD7F6CC4"/>
    <w:rsid w:val="FDBBDADD"/>
    <w:rsid w:val="FDFE04DD"/>
    <w:rsid w:val="FDFF1FCC"/>
    <w:rsid w:val="FF4B0718"/>
    <w:rsid w:val="FF789111"/>
    <w:rsid w:val="FF7F1FDC"/>
    <w:rsid w:val="FF970B43"/>
    <w:rsid w:val="FF9F8273"/>
    <w:rsid w:val="FFA7C1FD"/>
    <w:rsid w:val="FFC762C0"/>
    <w:rsid w:val="FFFF6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0"/>
        <w:numId w:val="1"/>
      </w:numPr>
      <w:spacing w:beforeLines="0" w:beforeAutospacing="0" w:afterLines="0" w:afterAutospacing="0" w:line="560" w:lineRule="exact"/>
      <w:ind w:firstLine="1121" w:firstLineChars="200"/>
      <w:outlineLvl w:val="0"/>
    </w:pPr>
    <w:rPr>
      <w:rFonts w:eastAsia="黑体"/>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0"/>
    <w:pPr>
      <w:spacing w:line="360" w:lineRule="auto"/>
      <w:ind w:firstLine="640" w:firstLineChars="200"/>
    </w:pPr>
    <w:rPr>
      <w:rFonts w:ascii="宋体" w:hAnsi="宋体" w:eastAsia="宋体"/>
    </w:rPr>
  </w:style>
  <w:style w:type="paragraph" w:styleId="3">
    <w:name w:val="Body Text"/>
    <w:basedOn w:val="1"/>
    <w:next w:val="4"/>
    <w:semiHidden/>
    <w:unhideWhenUsed/>
    <w:qFormat/>
    <w:uiPriority w:val="99"/>
    <w:pPr>
      <w:spacing w:after="120"/>
    </w:pPr>
  </w:style>
  <w:style w:type="paragraph" w:styleId="4">
    <w:name w:val="Title"/>
    <w:basedOn w:val="1"/>
    <w:next w:val="1"/>
    <w:qFormat/>
    <w:uiPriority w:val="0"/>
    <w:pPr>
      <w:widowControl/>
      <w:spacing w:before="240" w:after="60" w:line="560" w:lineRule="exact"/>
      <w:jc w:val="center"/>
      <w:outlineLvl w:val="0"/>
    </w:pPr>
    <w:rPr>
      <w:rFonts w:ascii="Arial" w:hAnsi="Arial" w:eastAsia="华文中宋" w:cs="Arial"/>
      <w:b/>
      <w:bCs/>
      <w:color w:val="FF0000"/>
      <w:sz w:val="84"/>
      <w:szCs w:val="32"/>
    </w:rPr>
  </w:style>
  <w:style w:type="paragraph" w:styleId="6">
    <w:name w:val="index 8"/>
    <w:basedOn w:val="1"/>
    <w:next w:val="1"/>
    <w:qFormat/>
    <w:uiPriority w:val="0"/>
    <w:pPr>
      <w:ind w:left="2940"/>
    </w:pPr>
  </w:style>
  <w:style w:type="paragraph" w:styleId="7">
    <w:name w:val="annotation text"/>
    <w:basedOn w:val="1"/>
    <w:qFormat/>
    <w:uiPriority w:val="0"/>
    <w:pPr>
      <w:jc w:val="left"/>
    </w:pPr>
  </w:style>
  <w:style w:type="paragraph" w:styleId="8">
    <w:name w:val="Plain Text"/>
    <w:basedOn w:val="1"/>
    <w:next w:val="6"/>
    <w:unhideWhenUsed/>
    <w:qFormat/>
    <w:uiPriority w:val="99"/>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3"/>
    <w:semiHidden/>
    <w:unhideWhenUsed/>
    <w:qFormat/>
    <w:uiPriority w:val="99"/>
    <w:pPr>
      <w:ind w:firstLine="420" w:firstLineChars="100"/>
    </w:p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0"/>
    <w:rPr>
      <w:i/>
    </w:rPr>
  </w:style>
  <w:style w:type="paragraph" w:styleId="18">
    <w:name w:val="List Paragraph"/>
    <w:basedOn w:val="1"/>
    <w:unhideWhenUsed/>
    <w:qFormat/>
    <w:uiPriority w:val="99"/>
    <w:pPr>
      <w:ind w:firstLine="420" w:firstLineChars="200"/>
    </w:pPr>
  </w:style>
  <w:style w:type="paragraph" w:customStyle="1" w:styleId="19">
    <w:name w:val="样式 首行缩进:  2 字符"/>
    <w:basedOn w:val="1"/>
    <w:qFormat/>
    <w:uiPriority w:val="0"/>
    <w:pPr>
      <w:widowControl/>
      <w:spacing w:line="360" w:lineRule="auto"/>
      <w:ind w:firstLine="480" w:firstLineChars="200"/>
    </w:pPr>
    <w:rPr>
      <w:rFonts w:ascii="Arial" w:hAnsi="Arial" w:cs="宋体"/>
      <w:sz w:val="28"/>
      <w:szCs w:val="28"/>
    </w:rPr>
  </w:style>
  <w:style w:type="paragraph" w:customStyle="1" w:styleId="20">
    <w:name w:val="Table Paragraph"/>
    <w:basedOn w:val="1"/>
    <w:qFormat/>
    <w:uiPriority w:val="1"/>
    <w:rPr>
      <w:rFonts w:ascii="仿宋" w:hAnsi="仿宋" w:eastAsia="仿宋" w:cs="仿宋"/>
      <w:lang w:val="zh-CN" w:eastAsia="zh-CN" w:bidi="zh-CN"/>
    </w:rPr>
  </w:style>
  <w:style w:type="paragraph" w:customStyle="1" w:styleId="21">
    <w:name w:val="USE 1"/>
    <w:basedOn w:val="1"/>
    <w:qFormat/>
    <w:uiPriority w:val="0"/>
    <w:pPr>
      <w:spacing w:line="200" w:lineRule="atLeast"/>
      <w:jc w:val="left"/>
    </w:pPr>
    <w:rPr>
      <w:rFonts w:ascii="宋体" w:hAnsi="宋体"/>
      <w:b/>
      <w:sz w:val="24"/>
      <w:szCs w:val="28"/>
    </w:rPr>
  </w:style>
  <w:style w:type="paragraph" w:customStyle="1" w:styleId="22">
    <w:name w:val="列出段落1"/>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11294</Words>
  <Characters>11960</Characters>
  <Lines>0</Lines>
  <Paragraphs>0</Paragraphs>
  <TotalTime>1</TotalTime>
  <ScaleCrop>false</ScaleCrop>
  <LinksUpToDate>false</LinksUpToDate>
  <CharactersWithSpaces>11989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2024-01-09T14:36:00Z</dcterms:created>
  <dc:creator>龙华创新生态服务协会</dc:creator>
  <cp:lastModifiedBy>oyh</cp:lastModifiedBy>
  <cp:lastPrinted>2025-03-21T03:13:00Z</cp:lastPrinted>
  <dcterms:modified xsi:type="dcterms:W3CDTF">2025-03-31T15:45:06Z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8D2050DB80DC05FFC61DE6675C2D3B7B</vt:lpwstr>
  </property>
</Properties>
</file>