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60" w:lineRule="exact"/>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202</w:t>
      </w:r>
      <w:r>
        <w:rPr>
          <w:rFonts w:hint="default" w:ascii="方正小标宋简体" w:hAnsi="方正小标宋简体" w:eastAsia="方正小标宋简体" w:cs="方正小标宋简体"/>
          <w:b w:val="0"/>
          <w:bCs w:val="0"/>
          <w:color w:val="auto"/>
          <w:sz w:val="44"/>
          <w:szCs w:val="44"/>
          <w:lang w:val="en-US" w:eastAsia="zh-CN"/>
        </w:rPr>
        <w:t>5</w:t>
      </w:r>
      <w:r>
        <w:rPr>
          <w:rFonts w:hint="eastAsia" w:ascii="方正小标宋简体" w:hAnsi="方正小标宋简体" w:eastAsia="方正小标宋简体" w:cs="方正小标宋简体"/>
          <w:b w:val="0"/>
          <w:bCs w:val="0"/>
          <w:color w:val="auto"/>
          <w:sz w:val="44"/>
          <w:szCs w:val="44"/>
          <w:lang w:val="en-US" w:eastAsia="zh-CN"/>
        </w:rPr>
        <w:t>年龙华区文旅形象推广项目需求书</w:t>
      </w:r>
    </w:p>
    <w:p>
      <w:pPr>
        <w:pStyle w:val="2"/>
        <w:rPr>
          <w:rFonts w:hint="eastAsia"/>
          <w:lang w:val="en-US" w:eastAsia="zh-CN"/>
        </w:rPr>
      </w:pPr>
    </w:p>
    <w:p>
      <w:pPr>
        <w:keepNext w:val="0"/>
        <w:keepLines w:val="0"/>
        <w:pageBreakBefore w:val="0"/>
        <w:numPr>
          <w:ilvl w:val="0"/>
          <w:numId w:val="1"/>
        </w:numPr>
        <w:tabs>
          <w:tab w:val="left" w:pos="1820"/>
        </w:tabs>
        <w:kinsoku/>
        <w:wordWrap/>
        <w:overflowPunct/>
        <w:topLinePunct w:val="0"/>
        <w:bidi w:val="0"/>
        <w:snapToGrid w:val="0"/>
        <w:spacing w:line="560" w:lineRule="exact"/>
        <w:ind w:firstLine="640" w:firstLineChars="200"/>
        <w:rPr>
          <w:rFonts w:hint="eastAsia" w:ascii="仿宋_GB2312" w:hAnsi="仿宋_GB2312" w:eastAsia="仿宋_GB2312" w:cs="仿宋_GB2312"/>
          <w:spacing w:val="-1"/>
          <w:sz w:val="32"/>
          <w:szCs w:val="32"/>
        </w:rPr>
      </w:pPr>
      <w:r>
        <w:rPr>
          <w:rFonts w:hint="eastAsia" w:ascii="黑体" w:hAnsi="黑体" w:eastAsia="黑体" w:cs="黑体"/>
          <w:bCs/>
          <w:color w:val="auto"/>
          <w:sz w:val="32"/>
          <w:szCs w:val="32"/>
        </w:rPr>
        <w:t>项目目标</w:t>
      </w:r>
    </w:p>
    <w:p>
      <w:pPr>
        <w:keepNext w:val="0"/>
        <w:keepLines w:val="0"/>
        <w:pageBreakBefore w:val="0"/>
        <w:widowControl/>
        <w:suppressLineNumbers w:val="0"/>
        <w:kinsoku/>
        <w:wordWrap/>
        <w:overflowPunct/>
        <w:topLinePunct w:val="0"/>
        <w:bidi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Hans" w:bidi="ar-SA"/>
        </w:rPr>
        <w:t>为进一步拓宽龙华文旅形象推广新模式，助力龙华区塑造具有辨识度的本地文旅品牌，推动城区旅游经济兴旺，</w:t>
      </w:r>
      <w:r>
        <w:rPr>
          <w:rFonts w:hint="eastAsia" w:ascii="仿宋_GB2312" w:hAnsi="仿宋_GB2312" w:eastAsia="仿宋_GB2312" w:cs="仿宋_GB2312"/>
          <w:spacing w:val="-1"/>
          <w:sz w:val="32"/>
          <w:szCs w:val="32"/>
        </w:rPr>
        <w:t>现拟申</w:t>
      </w:r>
      <w:r>
        <w:rPr>
          <w:rFonts w:hint="eastAsia" w:ascii="仿宋_GB2312" w:hAnsi="仿宋_GB2312" w:eastAsia="仿宋_GB2312" w:cs="仿宋_GB2312"/>
          <w:spacing w:val="-1"/>
          <w:sz w:val="32"/>
          <w:szCs w:val="32"/>
          <w:lang w:val="en-US" w:eastAsia="zh-CN"/>
        </w:rPr>
        <w:t>请</w:t>
      </w:r>
      <w:r>
        <w:rPr>
          <w:rFonts w:hint="eastAsia" w:ascii="仿宋_GB2312" w:hAnsi="仿宋_GB2312" w:eastAsia="仿宋_GB2312" w:cs="仿宋_GB2312"/>
          <w:spacing w:val="-1"/>
          <w:sz w:val="32"/>
          <w:szCs w:val="32"/>
          <w:lang w:val="en-US" w:eastAsia="zh-Hans"/>
        </w:rPr>
        <w:t>龙华区文旅形象推广</w:t>
      </w:r>
      <w:r>
        <w:rPr>
          <w:rFonts w:hint="eastAsia" w:ascii="仿宋_GB2312" w:hAnsi="仿宋_GB2312" w:eastAsia="仿宋_GB2312" w:cs="仿宋_GB2312"/>
          <w:spacing w:val="-1"/>
          <w:sz w:val="32"/>
          <w:szCs w:val="32"/>
        </w:rPr>
        <w:t>项目，并结合全年工作重点打造同城话题，进一步提升我区文体旅游品牌影响力和知名度。</w:t>
      </w:r>
    </w:p>
    <w:p>
      <w:pPr>
        <w:keepNext w:val="0"/>
        <w:keepLines w:val="0"/>
        <w:pageBreakBefore w:val="0"/>
        <w:numPr>
          <w:ilvl w:val="0"/>
          <w:numId w:val="1"/>
        </w:numPr>
        <w:tabs>
          <w:tab w:val="left" w:pos="1820"/>
        </w:tabs>
        <w:kinsoku/>
        <w:wordWrap/>
        <w:overflowPunct/>
        <w:topLinePunct w:val="0"/>
        <w:bidi w:val="0"/>
        <w:snapToGrid w:val="0"/>
        <w:spacing w:line="560"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项目内容及要求</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服务内容</w:t>
      </w:r>
    </w:p>
    <w:p>
      <w:pPr>
        <w:pStyle w:val="2"/>
        <w:keepNext w:val="0"/>
        <w:keepLines w:val="0"/>
        <w:pageBreakBefore w:val="0"/>
        <w:widowControl w:val="0"/>
        <w:numPr>
          <w:ilvl w:val="0"/>
          <w:numId w:val="0"/>
        </w:numPr>
        <w:kinsoku/>
        <w:wordWrap/>
        <w:overflowPunct/>
        <w:topLinePunct w:val="0"/>
        <w:bidi w:val="0"/>
        <w:spacing w:line="560" w:lineRule="exact"/>
        <w:ind w:firstLine="640" w:firstLineChars="200"/>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sz w:val="32"/>
          <w:szCs w:val="32"/>
          <w:lang w:val="en-US" w:eastAsia="zh-CN"/>
        </w:rPr>
        <w:t>聚焦新媒体平台的线上推广。创建并持续运营与“龙华出游”相关的话题，积极邀请专业达人博主开展直播活动与优质内容创作。有效提升话题的讨论热度。直播活动至少开展1次，内容创作包括图文介绍、视频展示等形式，总发布条数不少于70条，确保全方位、多角度地呈现龙华文体旅的魅力与特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sz w:val="32"/>
          <w:szCs w:val="32"/>
          <w:lang w:val="en-US" w:eastAsia="zh-CN"/>
        </w:rPr>
        <w:t>全力打造同城热搜话题。深入挖掘龙华文体旅的独特亮点与热点事件，精心策划话题内容，选择在赛事、活动期间，通过新媒体平台引导网友参与讨论，推动话题登上微博同城热搜榜。全年打造2期具有较高影响力的话题。</w:t>
      </w:r>
    </w:p>
    <w:p>
      <w:pPr>
        <w:pStyle w:val="7"/>
        <w:keepNext w:val="0"/>
        <w:keepLines w:val="0"/>
        <w:pageBreakBefore w:val="0"/>
        <w:kinsoku/>
        <w:wordWrap/>
        <w:overflowPunct/>
        <w:topLinePunct w:val="0"/>
        <w:bidi w:val="0"/>
        <w:spacing w:line="560" w:lineRule="exact"/>
        <w:ind w:firstLine="640" w:firstLineChars="200"/>
        <w:rPr>
          <w:rFonts w:hint="default"/>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sz w:val="32"/>
          <w:szCs w:val="32"/>
          <w:lang w:val="en-US" w:eastAsia="zh-CN"/>
        </w:rPr>
        <w:t>与影响力广泛的达人账号及资深媒体紧密合作。针对龙华区举办的重大文体活动和体育赛事，开展深度种草和口碑传播活动。全年与10个大V</w:t>
      </w:r>
      <w:bookmarkStart w:id="0" w:name="_GoBack"/>
      <w:bookmarkEnd w:id="0"/>
      <w:r>
        <w:rPr>
          <w:rFonts w:hint="eastAsia" w:ascii="仿宋_GB2312" w:hAnsi="仿宋_GB2312" w:eastAsia="仿宋_GB2312" w:cs="仿宋_GB2312"/>
          <w:sz w:val="32"/>
          <w:szCs w:val="32"/>
          <w:lang w:val="en-US" w:eastAsia="zh-CN"/>
        </w:rPr>
        <w:t>账号/资深媒体开展10次宣传活动，总发布条数不少于100次。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1.项目专员：</w:t>
      </w:r>
      <w:r>
        <w:rPr>
          <w:rFonts w:hint="eastAsia" w:ascii="仿宋_GB2312" w:hAnsi="仿宋_GB2312" w:eastAsia="仿宋_GB2312" w:cs="仿宋_GB2312"/>
          <w:color w:val="auto"/>
          <w:sz w:val="32"/>
          <w:szCs w:val="32"/>
          <w:lang w:eastAsia="zh-CN"/>
        </w:rPr>
        <w:t>团队需为本单位安排一位</w:t>
      </w:r>
      <w:r>
        <w:rPr>
          <w:rFonts w:hint="eastAsia" w:ascii="仿宋_GB2312" w:hAnsi="仿宋_GB2312" w:eastAsia="仿宋_GB2312" w:cs="仿宋_GB2312"/>
          <w:color w:val="auto"/>
          <w:sz w:val="32"/>
          <w:szCs w:val="32"/>
          <w:lang w:val="en-US" w:eastAsia="zh-CN"/>
        </w:rPr>
        <w:t>项目专员</w:t>
      </w:r>
      <w:r>
        <w:rPr>
          <w:rFonts w:hint="eastAsia" w:ascii="仿宋_GB2312" w:hAnsi="仿宋_GB2312" w:eastAsia="仿宋_GB2312" w:cs="仿宋_GB2312"/>
          <w:color w:val="auto"/>
          <w:sz w:val="32"/>
          <w:szCs w:val="32"/>
          <w:lang w:eastAsia="zh-CN"/>
        </w:rPr>
        <w:t>，全年跟进我局重大宣传活动，根据</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lang w:eastAsia="zh-CN"/>
        </w:rPr>
        <w:t>的业务及重点内容，</w:t>
      </w:r>
      <w:r>
        <w:rPr>
          <w:rFonts w:hint="eastAsia" w:ascii="仿宋_GB2312" w:hAnsi="仿宋_GB2312" w:eastAsia="仿宋_GB2312" w:cs="仿宋_GB2312"/>
          <w:color w:val="auto"/>
          <w:sz w:val="32"/>
          <w:szCs w:val="32"/>
          <w:lang w:val="en-US" w:eastAsia="zh-CN"/>
        </w:rPr>
        <w:t>负责本单位媒体对接、素材整理等宣传工作</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2.内容校对：</w:t>
      </w:r>
      <w:r>
        <w:rPr>
          <w:rFonts w:hint="eastAsia" w:ascii="仿宋_GB2312" w:hAnsi="仿宋_GB2312" w:eastAsia="仿宋_GB2312" w:cs="仿宋_GB2312"/>
          <w:color w:val="auto"/>
          <w:sz w:val="32"/>
          <w:szCs w:val="32"/>
        </w:rPr>
        <w:t>由项目负责人进行一审，一审通过后交由</w:t>
      </w:r>
      <w:r>
        <w:rPr>
          <w:rFonts w:hint="eastAsia" w:ascii="仿宋_GB2312" w:hAnsi="仿宋_GB2312" w:eastAsia="仿宋_GB2312" w:cs="仿宋_GB2312"/>
          <w:color w:val="auto"/>
          <w:sz w:val="32"/>
          <w:szCs w:val="32"/>
          <w:lang w:eastAsia="zh-CN"/>
        </w:rPr>
        <w:t>本单位</w:t>
      </w:r>
      <w:r>
        <w:rPr>
          <w:rFonts w:hint="eastAsia" w:ascii="仿宋_GB2312" w:hAnsi="仿宋_GB2312" w:eastAsia="仿宋_GB2312" w:cs="仿宋_GB2312"/>
          <w:color w:val="auto"/>
          <w:sz w:val="32"/>
          <w:szCs w:val="32"/>
        </w:rPr>
        <w:t>进行二审</w:t>
      </w:r>
      <w:r>
        <w:rPr>
          <w:rFonts w:hint="eastAsia" w:ascii="仿宋_GB2312" w:hAnsi="仿宋_GB2312" w:eastAsia="仿宋_GB2312" w:cs="仿宋_GB2312"/>
          <w:color w:val="auto"/>
          <w:sz w:val="32"/>
          <w:szCs w:val="32"/>
          <w:lang w:eastAsia="zh-CN"/>
        </w:rPr>
        <w:t>，待本单位审核结束才可发布</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bidi w:val="0"/>
        <w:spacing w:line="560" w:lineRule="exact"/>
        <w:ind w:firstLine="640" w:firstLineChars="200"/>
        <w:rPr>
          <w:rFonts w:hint="eastAsia"/>
          <w:lang w:val="en-US" w:eastAsia="zh-CN"/>
        </w:rPr>
      </w:pPr>
      <w:r>
        <w:rPr>
          <w:rFonts w:hint="eastAsia" w:ascii="仿宋_GB2312" w:hAnsi="仿宋_GB2312" w:eastAsia="仿宋_GB2312" w:cs="仿宋_GB2312"/>
          <w:color w:val="auto"/>
          <w:sz w:val="32"/>
          <w:szCs w:val="32"/>
          <w:lang w:val="en-US" w:eastAsia="zh-CN"/>
        </w:rPr>
        <w:t>3.同城热搜：承接本项目团队需安排专业人员跟进本单位重大文体活动同城热搜运营，做好话题运营，协助做好重大活动话题榜推送，并做好编辑、审核、发布、数据跟踪、留言反馈等。</w:t>
      </w:r>
    </w:p>
    <w:p>
      <w:pPr>
        <w:pStyle w:val="4"/>
        <w:keepNext w:val="0"/>
        <w:keepLines w:val="0"/>
        <w:pageBreakBefore w:val="0"/>
        <w:numPr>
          <w:ilvl w:val="0"/>
          <w:numId w:val="0"/>
        </w:numPr>
        <w:kinsoku/>
        <w:wordWrap/>
        <w:overflowPunct/>
        <w:topLinePunct w:val="0"/>
        <w:bidi w:val="0"/>
        <w:spacing w:line="560" w:lineRule="exact"/>
        <w:ind w:leftChars="200" w:firstLine="320" w:firstLineChars="1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4.风险评估</w:t>
      </w:r>
    </w:p>
    <w:p>
      <w:pPr>
        <w:keepNext w:val="0"/>
        <w:keepLines w:val="0"/>
        <w:pageBreakBefore w:val="0"/>
        <w:kinsoku/>
        <w:wordWrap/>
        <w:overflowPunct/>
        <w:topLinePunct w:val="0"/>
        <w:bidi w:val="0"/>
        <w:spacing w:line="560" w:lineRule="exact"/>
        <w:ind w:firstLine="640" w:firstLineChars="200"/>
        <w:rPr>
          <w:rFonts w:hint="eastAsia"/>
          <w:lang w:val="en-US" w:eastAsia="zh-CN"/>
        </w:rPr>
      </w:pPr>
      <w:r>
        <w:rPr>
          <w:rFonts w:hint="eastAsia" w:ascii="仿宋_GB2312" w:hAnsi="仿宋_GB2312" w:eastAsia="仿宋_GB2312" w:cs="仿宋_GB2312"/>
          <w:color w:val="auto"/>
          <w:sz w:val="32"/>
          <w:szCs w:val="32"/>
          <w:lang w:eastAsia="zh-CN"/>
        </w:rPr>
        <w:t>承接本项目的团队应有成熟的流量推送渠道，助力做好重大活动流量推送，且保证有专业的公关团队做好热搜工作的舆情把控。</w:t>
      </w:r>
    </w:p>
    <w:p>
      <w:pPr>
        <w:keepNext w:val="0"/>
        <w:keepLines w:val="0"/>
        <w:pageBreakBefore w:val="0"/>
        <w:numPr>
          <w:ilvl w:val="0"/>
          <w:numId w:val="1"/>
        </w:numPr>
        <w:tabs>
          <w:tab w:val="left" w:pos="1820"/>
        </w:tabs>
        <w:kinsoku/>
        <w:wordWrap/>
        <w:overflowPunct/>
        <w:topLinePunct w:val="0"/>
        <w:bidi w:val="0"/>
        <w:adjustRightInd w:val="0"/>
        <w:snapToGrid w:val="0"/>
        <w:spacing w:line="560" w:lineRule="exact"/>
        <w:ind w:left="0" w:leftChars="0"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报价限额</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45万元，供应商报价项目与下表内项目保持一致。</w:t>
      </w:r>
    </w:p>
    <w:tbl>
      <w:tblPr>
        <w:tblStyle w:val="12"/>
        <w:tblW w:w="6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6"/>
        <w:gridCol w:w="3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6" w:type="dxa"/>
            <w:noWrap w:val="0"/>
            <w:vAlign w:val="center"/>
          </w:tcPr>
          <w:p>
            <w:p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内容</w:t>
            </w:r>
          </w:p>
        </w:tc>
        <w:tc>
          <w:tcPr>
            <w:tcW w:w="3626" w:type="dxa"/>
            <w:noWrap w:val="0"/>
            <w:vAlign w:val="center"/>
          </w:tcPr>
          <w:p>
            <w:p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6" w:type="dxa"/>
            <w:vMerge w:val="restart"/>
            <w:noWrap w:val="0"/>
            <w:vAlign w:val="center"/>
          </w:tcPr>
          <w:p>
            <w:pPr>
              <w:jc w:val="center"/>
              <w:rPr>
                <w:rFonts w:hint="default" w:ascii="仿宋_GB2312" w:eastAsia="仿宋_GB2312"/>
                <w:sz w:val="22"/>
                <w:szCs w:val="22"/>
                <w:lang w:val="en-US" w:eastAsia="zh-CN"/>
              </w:rPr>
            </w:pPr>
            <w:r>
              <w:rPr>
                <w:rFonts w:hint="eastAsia" w:ascii="仿宋_GB2312" w:eastAsia="仿宋_GB2312"/>
                <w:sz w:val="22"/>
                <w:szCs w:val="22"/>
                <w:lang w:val="en-US" w:eastAsia="zh-CN"/>
              </w:rPr>
              <w:t>新媒体平台文体旅景点推广</w:t>
            </w:r>
          </w:p>
        </w:tc>
        <w:tc>
          <w:tcPr>
            <w:tcW w:w="3626" w:type="dxa"/>
            <w:noWrap w:val="0"/>
            <w:vAlign w:val="center"/>
          </w:tcPr>
          <w:p>
            <w:pPr>
              <w:jc w:val="center"/>
              <w:rPr>
                <w:rFonts w:hint="default" w:ascii="仿宋_GB2312" w:eastAsia="仿宋_GB2312"/>
                <w:sz w:val="22"/>
                <w:szCs w:val="22"/>
                <w:lang w:val="en-US" w:eastAsia="zh-CN"/>
              </w:rPr>
            </w:pPr>
            <w:r>
              <w:rPr>
                <w:rFonts w:hint="eastAsia" w:ascii="仿宋_GB2312" w:eastAsia="仿宋_GB2312"/>
                <w:sz w:val="22"/>
                <w:szCs w:val="22"/>
                <w:lang w:val="en-US" w:eastAsia="zh-CN"/>
              </w:rPr>
              <w:t>达人博主原创视频、文章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6" w:type="dxa"/>
            <w:vMerge w:val="continue"/>
            <w:noWrap w:val="0"/>
            <w:vAlign w:val="center"/>
          </w:tcPr>
          <w:p>
            <w:pPr>
              <w:jc w:val="center"/>
              <w:rPr>
                <w:rFonts w:hint="eastAsia" w:ascii="仿宋_GB2312" w:eastAsia="仿宋_GB2312"/>
                <w:sz w:val="22"/>
                <w:szCs w:val="22"/>
                <w:lang w:val="en-US" w:eastAsia="zh-CN"/>
              </w:rPr>
            </w:pPr>
          </w:p>
        </w:tc>
        <w:tc>
          <w:tcPr>
            <w:tcW w:w="3626" w:type="dxa"/>
            <w:noWrap w:val="0"/>
            <w:vAlign w:val="center"/>
          </w:tcPr>
          <w:p>
            <w:pPr>
              <w:jc w:val="center"/>
              <w:rPr>
                <w:rFonts w:hint="eastAsia" w:ascii="仿宋_GB2312" w:eastAsia="仿宋_GB2312"/>
                <w:sz w:val="22"/>
                <w:szCs w:val="22"/>
                <w:lang w:val="en-US" w:eastAsia="zh-CN"/>
              </w:rPr>
            </w:pPr>
            <w:r>
              <w:rPr>
                <w:rFonts w:hint="eastAsia" w:ascii="仿宋_GB2312" w:eastAsia="仿宋_GB2312"/>
                <w:sz w:val="22"/>
                <w:szCs w:val="22"/>
                <w:lang w:val="en-US" w:eastAsia="zh-CN"/>
              </w:rPr>
              <w:t>相关话题搭建、运营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6" w:type="dxa"/>
            <w:vMerge w:val="continue"/>
            <w:noWrap w:val="0"/>
            <w:vAlign w:val="center"/>
          </w:tcPr>
          <w:p>
            <w:pPr>
              <w:jc w:val="center"/>
              <w:rPr>
                <w:rFonts w:hint="eastAsia" w:ascii="仿宋_GB2312" w:eastAsia="仿宋_GB2312"/>
                <w:sz w:val="22"/>
                <w:szCs w:val="22"/>
                <w:lang w:val="en-US" w:eastAsia="zh-CN"/>
              </w:rPr>
            </w:pPr>
          </w:p>
        </w:tc>
        <w:tc>
          <w:tcPr>
            <w:tcW w:w="3626" w:type="dxa"/>
            <w:noWrap w:val="0"/>
            <w:vAlign w:val="center"/>
          </w:tcPr>
          <w:p>
            <w:pPr>
              <w:jc w:val="center"/>
              <w:rPr>
                <w:rFonts w:hint="default" w:ascii="仿宋_GB2312" w:eastAsia="仿宋_GB2312"/>
                <w:sz w:val="22"/>
                <w:szCs w:val="22"/>
                <w:lang w:val="en-US" w:eastAsia="zh-CN"/>
              </w:rPr>
            </w:pPr>
            <w:r>
              <w:rPr>
                <w:rFonts w:hint="eastAsia" w:ascii="仿宋_GB2312" w:eastAsia="仿宋_GB2312"/>
                <w:sz w:val="22"/>
                <w:szCs w:val="22"/>
                <w:lang w:val="en-US" w:eastAsia="zh-CN"/>
              </w:rPr>
              <w:t>直播间搭建及执行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2556" w:type="dxa"/>
            <w:vMerge w:val="restart"/>
            <w:noWrap w:val="0"/>
            <w:vAlign w:val="center"/>
          </w:tcPr>
          <w:p>
            <w:pPr>
              <w:jc w:val="center"/>
              <w:rPr>
                <w:rFonts w:hint="default" w:ascii="仿宋_GB2312" w:eastAsia="仿宋_GB2312"/>
                <w:sz w:val="22"/>
                <w:szCs w:val="22"/>
                <w:lang w:val="en-US" w:eastAsia="zh-CN"/>
              </w:rPr>
            </w:pPr>
            <w:r>
              <w:rPr>
                <w:rFonts w:hint="eastAsia" w:ascii="仿宋_GB2312" w:eastAsia="仿宋_GB2312"/>
                <w:sz w:val="22"/>
                <w:szCs w:val="22"/>
                <w:lang w:val="en-US" w:eastAsia="zh-CN"/>
              </w:rPr>
              <w:t>同城热搜</w:t>
            </w:r>
          </w:p>
        </w:tc>
        <w:tc>
          <w:tcPr>
            <w:tcW w:w="3626" w:type="dxa"/>
            <w:vMerge w:val="restart"/>
            <w:noWrap w:val="0"/>
            <w:vAlign w:val="center"/>
          </w:tcPr>
          <w:p>
            <w:pPr>
              <w:jc w:val="center"/>
              <w:rPr>
                <w:rFonts w:hint="eastAsia" w:ascii="仿宋_GB2312" w:eastAsia="仿宋_GB2312"/>
                <w:sz w:val="22"/>
                <w:szCs w:val="22"/>
                <w:lang w:val="en-US" w:eastAsia="zh-CN"/>
              </w:rPr>
            </w:pPr>
            <w:r>
              <w:rPr>
                <w:rFonts w:hint="eastAsia" w:ascii="仿宋_GB2312" w:eastAsia="仿宋_GB2312"/>
                <w:sz w:val="22"/>
                <w:szCs w:val="22"/>
                <w:lang w:val="en-US" w:eastAsia="zh-CN"/>
              </w:rPr>
              <w:t>含</w:t>
            </w:r>
            <w:r>
              <w:rPr>
                <w:rFonts w:hint="eastAsia" w:ascii="仿宋_GB2312" w:eastAsia="仿宋_GB2312"/>
                <w:sz w:val="22"/>
                <w:szCs w:val="22"/>
                <w:lang w:val="en-US" w:eastAsia="zh-Hans"/>
              </w:rPr>
              <w:t>微博话题搭建（话题申请及头图设计）</w:t>
            </w:r>
            <w:r>
              <w:rPr>
                <w:rFonts w:hint="eastAsia" w:ascii="仿宋_GB2312" w:eastAsia="仿宋_GB2312"/>
                <w:sz w:val="22"/>
                <w:szCs w:val="22"/>
                <w:lang w:val="en-US" w:eastAsia="zh-CN"/>
              </w:rPr>
              <w:t>、</w:t>
            </w:r>
            <w:r>
              <w:rPr>
                <w:rFonts w:hint="eastAsia" w:ascii="仿宋_GB2312" w:eastAsia="仿宋_GB2312"/>
                <w:sz w:val="22"/>
                <w:szCs w:val="22"/>
                <w:lang w:val="en-US" w:eastAsia="zh-Hans"/>
              </w:rPr>
              <w:t>话题运营（登上深圳同城热搜榜），微博矩阵发布，联动本大V转发</w:t>
            </w:r>
            <w:r>
              <w:rPr>
                <w:rFonts w:hint="eastAsia" w:ascii="仿宋_GB2312" w:eastAsia="仿宋_GB2312"/>
                <w:sz w:val="22"/>
                <w:szCs w:val="22"/>
                <w:lang w:val="en-US" w:eastAsia="zh-CN"/>
              </w:rPr>
              <w:t>、</w:t>
            </w:r>
            <w:r>
              <w:rPr>
                <w:rFonts w:hint="eastAsia" w:ascii="仿宋_GB2312" w:eastAsia="仿宋_GB2312"/>
                <w:sz w:val="22"/>
                <w:szCs w:val="22"/>
                <w:lang w:val="en-US" w:eastAsia="zh-Hans"/>
              </w:rPr>
              <w:t>同城热搜推流</w:t>
            </w:r>
            <w:r>
              <w:rPr>
                <w:rFonts w:hint="eastAsia" w:ascii="仿宋_GB2312" w:eastAsia="仿宋_GB2312"/>
                <w:sz w:val="22"/>
                <w:szCs w:val="22"/>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2556" w:type="dxa"/>
            <w:vMerge w:val="continue"/>
            <w:noWrap w:val="0"/>
            <w:vAlign w:val="center"/>
          </w:tcPr>
          <w:p>
            <w:pPr>
              <w:jc w:val="center"/>
              <w:rPr>
                <w:rFonts w:hint="eastAsia" w:ascii="仿宋_GB2312" w:eastAsia="仿宋_GB2312"/>
                <w:sz w:val="22"/>
                <w:szCs w:val="22"/>
                <w:lang w:val="en-US" w:eastAsia="zh-CN"/>
              </w:rPr>
            </w:pPr>
          </w:p>
        </w:tc>
        <w:tc>
          <w:tcPr>
            <w:tcW w:w="3626" w:type="dxa"/>
            <w:vMerge w:val="continue"/>
            <w:noWrap w:val="0"/>
            <w:vAlign w:val="center"/>
          </w:tcPr>
          <w:p>
            <w:pPr>
              <w:jc w:val="center"/>
              <w:rPr>
                <w:rFonts w:hint="eastAsia" w:ascii="仿宋_GB2312" w:eastAsia="仿宋_GB2312"/>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556" w:type="dxa"/>
            <w:noWrap w:val="0"/>
            <w:vAlign w:val="center"/>
          </w:tcPr>
          <w:p>
            <w:pPr>
              <w:jc w:val="center"/>
              <w:rPr>
                <w:rFonts w:hint="eastAsia" w:ascii="仿宋_GB2312" w:eastAsia="仿宋_GB2312"/>
                <w:sz w:val="22"/>
                <w:szCs w:val="22"/>
                <w:lang w:val="en-US" w:eastAsia="zh-CN"/>
              </w:rPr>
            </w:pPr>
            <w:r>
              <w:rPr>
                <w:rFonts w:hint="eastAsia" w:ascii="仿宋_GB2312" w:eastAsia="仿宋_GB2312"/>
                <w:sz w:val="22"/>
                <w:szCs w:val="22"/>
                <w:lang w:val="en-US" w:eastAsia="zh-CN"/>
              </w:rPr>
              <w:t>重大活动</w:t>
            </w:r>
          </w:p>
          <w:p>
            <w:pPr>
              <w:jc w:val="center"/>
              <w:rPr>
                <w:rFonts w:hint="default" w:ascii="仿宋_GB2312" w:eastAsia="仿宋_GB2312"/>
                <w:sz w:val="22"/>
                <w:szCs w:val="22"/>
                <w:lang w:val="en-US" w:eastAsia="zh-CN"/>
              </w:rPr>
            </w:pPr>
            <w:r>
              <w:rPr>
                <w:rFonts w:hint="eastAsia" w:ascii="仿宋_GB2312" w:eastAsia="仿宋_GB2312"/>
                <w:sz w:val="22"/>
                <w:szCs w:val="22"/>
                <w:lang w:val="en-US" w:eastAsia="zh-CN"/>
              </w:rPr>
              <w:t>矩阵发布</w:t>
            </w:r>
          </w:p>
        </w:tc>
        <w:tc>
          <w:tcPr>
            <w:tcW w:w="3626" w:type="dxa"/>
            <w:noWrap w:val="0"/>
            <w:vAlign w:val="center"/>
          </w:tcPr>
          <w:p>
            <w:pPr>
              <w:jc w:val="center"/>
              <w:rPr>
                <w:rFonts w:hint="default" w:ascii="仿宋_GB2312" w:eastAsia="仿宋_GB2312"/>
                <w:sz w:val="22"/>
                <w:szCs w:val="22"/>
                <w:lang w:val="en-US" w:eastAsia="zh-CN"/>
              </w:rPr>
            </w:pPr>
            <w:r>
              <w:rPr>
                <w:rFonts w:hint="eastAsia" w:ascii="仿宋_GB2312" w:eastAsia="仿宋_GB2312"/>
                <w:sz w:val="22"/>
                <w:szCs w:val="22"/>
                <w:lang w:val="en-US" w:eastAsia="zh-CN"/>
              </w:rPr>
              <w:t>针对龙华区举办的重大文体活动和体育赛事，开展深度种草和口碑传播活动。全年与10个大V账号/资深媒体开展10次宣传活动，总发布条数不少于100次。</w:t>
            </w:r>
          </w:p>
        </w:tc>
      </w:tr>
    </w:tbl>
    <w:p>
      <w:pPr>
        <w:keepNext w:val="0"/>
        <w:keepLines w:val="0"/>
        <w:pageBreakBefore w:val="0"/>
        <w:kinsoku/>
        <w:wordWrap/>
        <w:overflowPunct/>
        <w:topLinePunct w:val="0"/>
        <w:bidi w:val="0"/>
        <w:spacing w:line="560" w:lineRule="exact"/>
        <w:ind w:firstLine="640" w:firstLineChars="200"/>
        <w:rPr>
          <w:rFonts w:hint="eastAsia" w:ascii="黑体" w:hAnsi="黑体" w:eastAsia="黑体" w:cs="黑体"/>
          <w:bCs/>
          <w:color w:val="auto"/>
          <w:sz w:val="32"/>
          <w:szCs w:val="32"/>
          <w:lang w:eastAsia="zh-CN"/>
        </w:rPr>
      </w:pPr>
    </w:p>
    <w:p>
      <w:pPr>
        <w:keepNext w:val="0"/>
        <w:keepLines w:val="0"/>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黑体"/>
          <w:bCs/>
          <w:color w:val="auto"/>
          <w:sz w:val="32"/>
          <w:szCs w:val="32"/>
          <w:lang w:eastAsia="zh-CN"/>
        </w:rPr>
        <w:t>四</w:t>
      </w:r>
      <w:r>
        <w:rPr>
          <w:rFonts w:hint="eastAsia" w:ascii="黑体" w:hAnsi="黑体" w:eastAsia="黑体" w:cs="黑体"/>
          <w:bCs/>
          <w:color w:val="auto"/>
          <w:sz w:val="32"/>
          <w:szCs w:val="32"/>
        </w:rPr>
        <w:t>、</w:t>
      </w:r>
      <w:r>
        <w:rPr>
          <w:rFonts w:hint="eastAsia" w:ascii="黑体" w:hAnsi="黑体" w:eastAsia="黑体" w:cs="黑体"/>
          <w:color w:val="auto"/>
          <w:sz w:val="32"/>
          <w:szCs w:val="32"/>
        </w:rPr>
        <w:t>供应商的资质要求</w:t>
      </w:r>
    </w:p>
    <w:p>
      <w:pPr>
        <w:keepNext w:val="0"/>
        <w:keepLines w:val="0"/>
        <w:pageBreakBefore w:val="0"/>
        <w:kinsoku/>
        <w:wordWrap/>
        <w:overflowPunct/>
        <w:topLinePunct w:val="0"/>
        <w:bidi w:val="0"/>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（1）在中国境内注册的独立法人或其他组织（提供营业执照、事业法人证书、社会团体法人登记证书等扫描件）；</w:t>
      </w:r>
    </w:p>
    <w:p>
      <w:pPr>
        <w:keepNext w:val="0"/>
        <w:keepLines w:val="0"/>
        <w:pageBreakBefore w:val="0"/>
        <w:kinsoku/>
        <w:wordWrap/>
        <w:overflowPunct/>
        <w:topLinePunct w:val="0"/>
        <w:bidi w:val="0"/>
        <w:spacing w:line="560" w:lineRule="exact"/>
        <w:ind w:firstLine="640" w:firstLineChars="20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val="en-US" w:eastAsia="zh-CN"/>
        </w:rPr>
        <w:t>2</w:t>
      </w:r>
      <w:r>
        <w:rPr>
          <w:rFonts w:hint="eastAsia" w:ascii="仿宋_GB2312" w:hAnsi="仿宋" w:eastAsia="仿宋_GB2312" w:cs="仿宋"/>
          <w:color w:val="auto"/>
          <w:sz w:val="32"/>
          <w:szCs w:val="32"/>
        </w:rPr>
        <w:t>）参与本项目投标近三年内（供应商成立不足三年的可从成立之日起算），在经营活动中没有重大违法记录以及不存在被有关部门禁止参与政府采购活动且在有效期内的情况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color w:val="auto"/>
          <w:sz w:val="32"/>
          <w:szCs w:val="32"/>
          <w:lang w:eastAsia="zh-CN"/>
        </w:rPr>
        <w:t>；</w:t>
      </w:r>
    </w:p>
    <w:p>
      <w:pPr>
        <w:keepNext w:val="0"/>
        <w:keepLines w:val="0"/>
        <w:pageBreakBefore w:val="0"/>
        <w:kinsoku/>
        <w:wordWrap/>
        <w:overflowPunct/>
        <w:topLinePunct w:val="0"/>
        <w:bidi w:val="0"/>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val="en-US" w:eastAsia="zh-CN"/>
        </w:rPr>
        <w:t>3</w:t>
      </w:r>
      <w:r>
        <w:rPr>
          <w:rFonts w:hint="eastAsia" w:ascii="仿宋_GB2312" w:hAnsi="仿宋" w:eastAsia="仿宋_GB2312" w:cs="仿宋"/>
          <w:color w:val="auto"/>
          <w:sz w:val="32"/>
          <w:szCs w:val="32"/>
        </w:rPr>
        <w:t>）单位负责人为同一人或者存在直接控股、管理关系的不同供应商，不得同时参加本项目的采购活动。</w:t>
      </w:r>
    </w:p>
    <w:p>
      <w:pPr>
        <w:keepNext w:val="0"/>
        <w:keepLines w:val="0"/>
        <w:pageBreakBefore w:val="0"/>
        <w:kinsoku/>
        <w:wordWrap/>
        <w:overflowPunct/>
        <w:topLinePunct w:val="0"/>
        <w:bidi w:val="0"/>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、选定供应商方法</w:t>
      </w:r>
    </w:p>
    <w:p>
      <w:pPr>
        <w:keepNext w:val="0"/>
        <w:keepLines w:val="0"/>
        <w:pageBreakBefore w:val="0"/>
        <w:tabs>
          <w:tab w:val="left" w:pos="1820"/>
        </w:tabs>
        <w:kinsoku/>
        <w:wordWrap/>
        <w:overflowPunct/>
        <w:topLinePunct w:val="0"/>
        <w:bidi w:val="0"/>
        <w:adjustRightInd w:val="0"/>
        <w:snapToGrid w:val="0"/>
        <w:spacing w:line="560" w:lineRule="exact"/>
        <w:ind w:firstLine="640" w:firstLineChars="200"/>
        <w:rPr>
          <w:rFonts w:hint="default" w:ascii="仿宋_GB2312" w:hAnsi="仿宋" w:eastAsia="仿宋_GB2312"/>
          <w:color w:val="auto"/>
          <w:sz w:val="32"/>
          <w:lang w:val="en-US" w:eastAsia="zh-CN"/>
        </w:rPr>
      </w:pPr>
      <w:r>
        <w:rPr>
          <w:rFonts w:hint="eastAsia" w:ascii="仿宋_GB2312" w:hAnsi="仿宋" w:eastAsia="仿宋_GB2312"/>
          <w:color w:val="auto"/>
          <w:sz w:val="32"/>
        </w:rPr>
        <w:t>综合评分法</w:t>
      </w:r>
    </w:p>
    <w:p>
      <w:pPr>
        <w:keepNext w:val="0"/>
        <w:keepLines w:val="0"/>
        <w:pageBreakBefore w:val="0"/>
        <w:kinsoku/>
        <w:wordWrap/>
        <w:overflowPunct/>
        <w:topLinePunct w:val="0"/>
        <w:bidi w:val="0"/>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、评分要求</w:t>
      </w:r>
    </w:p>
    <w:p>
      <w:pPr>
        <w:pStyle w:val="14"/>
        <w:keepNext w:val="0"/>
        <w:keepLines w:val="0"/>
        <w:pageBreakBefore w:val="0"/>
        <w:kinsoku/>
        <w:wordWrap/>
        <w:overflowPunct/>
        <w:topLinePunct w:val="0"/>
        <w:bidi w:val="0"/>
        <w:spacing w:line="560" w:lineRule="exact"/>
        <w:ind w:firstLine="640" w:firstLineChars="2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（一）评分规则</w:t>
      </w:r>
    </w:p>
    <w:p>
      <w:pPr>
        <w:keepNext w:val="0"/>
        <w:keepLines w:val="0"/>
        <w:pageBreakBefore w:val="0"/>
        <w:kinsoku/>
        <w:wordWrap/>
        <w:overflowPunct/>
        <w:topLinePunct w:val="0"/>
        <w:bidi w:val="0"/>
        <w:spacing w:line="560" w:lineRule="exact"/>
        <w:ind w:firstLine="640" w:firstLineChars="200"/>
        <w:rPr>
          <w:rFonts w:hint="eastAsia" w:ascii="黑体" w:hAnsi="黑体" w:eastAsia="黑体" w:cs="仿宋_GB2312"/>
          <w:bCs/>
          <w:color w:val="auto"/>
          <w:sz w:val="32"/>
          <w:szCs w:val="32"/>
        </w:rPr>
      </w:pPr>
      <w:r>
        <w:rPr>
          <w:rFonts w:hint="eastAsia" w:ascii="仿宋_GB2312" w:eastAsia="仿宋_GB2312"/>
          <w:color w:val="auto"/>
          <w:sz w:val="32"/>
          <w:szCs w:val="32"/>
        </w:rPr>
        <w:t>采取综合评分标准，</w:t>
      </w:r>
      <w:r>
        <w:rPr>
          <w:rFonts w:hint="eastAsia" w:ascii="仿宋_GB2312" w:eastAsia="仿宋_GB2312"/>
          <w:color w:val="auto"/>
          <w:sz w:val="32"/>
          <w:szCs w:val="32"/>
          <w:lang w:val="en-US" w:eastAsia="zh-CN"/>
        </w:rPr>
        <w:t>得分</w:t>
      </w:r>
      <w:r>
        <w:rPr>
          <w:rFonts w:hint="eastAsia" w:ascii="仿宋_GB2312" w:eastAsia="仿宋_GB2312"/>
          <w:color w:val="auto"/>
          <w:sz w:val="32"/>
          <w:szCs w:val="32"/>
          <w:highlight w:val="none"/>
        </w:rPr>
        <w:t>最高</w:t>
      </w:r>
      <w:r>
        <w:rPr>
          <w:rFonts w:hint="eastAsia" w:ascii="仿宋_GB2312" w:eastAsia="仿宋_GB2312"/>
          <w:color w:val="auto"/>
          <w:sz w:val="32"/>
          <w:szCs w:val="32"/>
        </w:rPr>
        <w:t>的投标人为本项目中标人。</w:t>
      </w:r>
    </w:p>
    <w:p>
      <w:pPr>
        <w:pStyle w:val="14"/>
        <w:keepNext w:val="0"/>
        <w:keepLines w:val="0"/>
        <w:pageBreakBefore w:val="0"/>
        <w:kinsoku/>
        <w:wordWrap/>
        <w:overflowPunct/>
        <w:topLinePunct w:val="0"/>
        <w:bidi w:val="0"/>
        <w:spacing w:line="560" w:lineRule="exact"/>
        <w:ind w:firstLine="640" w:firstLineChars="2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（二）评分权重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1883"/>
        <w:gridCol w:w="1681"/>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noWrap w:val="0"/>
            <w:vAlign w:val="center"/>
          </w:tcPr>
          <w:p>
            <w:pPr>
              <w:pStyle w:val="14"/>
              <w:keepNext w:val="0"/>
              <w:keepLines w:val="0"/>
              <w:pageBreakBefore w:val="0"/>
              <w:kinsoku/>
              <w:wordWrap/>
              <w:overflowPunct/>
              <w:topLinePunct w:val="0"/>
              <w:bidi w:val="0"/>
              <w:spacing w:line="560" w:lineRule="exact"/>
              <w:jc w:val="center"/>
              <w:rPr>
                <w:rFonts w:hint="eastAsia" w:ascii="仿宋_GB2312" w:hAnsi="仿宋_GB2312" w:eastAsia="仿宋_GB2312" w:cs="仿宋_GB2312"/>
                <w:b w:val="0"/>
                <w:bCs/>
                <w:color w:val="auto"/>
                <w:szCs w:val="24"/>
              </w:rPr>
            </w:pPr>
            <w:r>
              <w:rPr>
                <w:rFonts w:hint="eastAsia" w:ascii="仿宋_GB2312" w:hAnsi="仿宋_GB2312" w:eastAsia="仿宋_GB2312" w:cs="仿宋_GB2312"/>
                <w:b w:val="0"/>
                <w:bCs/>
                <w:color w:val="auto"/>
                <w:szCs w:val="24"/>
              </w:rPr>
              <w:t>评分内容</w:t>
            </w:r>
          </w:p>
        </w:tc>
        <w:tc>
          <w:tcPr>
            <w:tcW w:w="1883" w:type="dxa"/>
            <w:noWrap w:val="0"/>
            <w:vAlign w:val="center"/>
          </w:tcPr>
          <w:p>
            <w:pPr>
              <w:pStyle w:val="14"/>
              <w:keepNext w:val="0"/>
              <w:keepLines w:val="0"/>
              <w:pageBreakBefore w:val="0"/>
              <w:kinsoku/>
              <w:wordWrap/>
              <w:overflowPunct/>
              <w:topLinePunct w:val="0"/>
              <w:bidi w:val="0"/>
              <w:spacing w:line="560" w:lineRule="exact"/>
              <w:jc w:val="center"/>
              <w:rPr>
                <w:rFonts w:hint="eastAsia" w:ascii="仿宋_GB2312" w:hAnsi="仿宋_GB2312" w:eastAsia="仿宋_GB2312" w:cs="仿宋_GB2312"/>
                <w:b w:val="0"/>
                <w:bCs/>
                <w:color w:val="auto"/>
                <w:szCs w:val="24"/>
              </w:rPr>
            </w:pPr>
            <w:r>
              <w:rPr>
                <w:rFonts w:hint="eastAsia" w:ascii="仿宋_GB2312" w:hAnsi="仿宋_GB2312" w:eastAsia="仿宋_GB2312" w:cs="仿宋_GB2312"/>
                <w:b w:val="0"/>
                <w:bCs/>
                <w:color w:val="auto"/>
                <w:szCs w:val="24"/>
              </w:rPr>
              <w:t>商务能力</w:t>
            </w:r>
          </w:p>
        </w:tc>
        <w:tc>
          <w:tcPr>
            <w:tcW w:w="1681" w:type="dxa"/>
            <w:noWrap w:val="0"/>
            <w:vAlign w:val="center"/>
          </w:tcPr>
          <w:p>
            <w:pPr>
              <w:pStyle w:val="14"/>
              <w:keepNext w:val="0"/>
              <w:keepLines w:val="0"/>
              <w:pageBreakBefore w:val="0"/>
              <w:kinsoku/>
              <w:wordWrap/>
              <w:overflowPunct/>
              <w:topLinePunct w:val="0"/>
              <w:bidi w:val="0"/>
              <w:spacing w:line="560" w:lineRule="exact"/>
              <w:jc w:val="center"/>
              <w:rPr>
                <w:rFonts w:ascii="仿宋_GB2312" w:hAnsi="仿宋_GB2312" w:eastAsia="仿宋_GB2312" w:cs="仿宋_GB2312"/>
                <w:b w:val="0"/>
                <w:bCs/>
                <w:color w:val="auto"/>
                <w:szCs w:val="24"/>
              </w:rPr>
            </w:pPr>
            <w:r>
              <w:rPr>
                <w:rFonts w:hint="eastAsia" w:ascii="仿宋_GB2312" w:hAnsi="仿宋_GB2312" w:eastAsia="仿宋_GB2312" w:cs="仿宋_GB2312"/>
                <w:b w:val="0"/>
                <w:bCs/>
                <w:color w:val="auto"/>
                <w:szCs w:val="24"/>
              </w:rPr>
              <w:t>技术能力</w:t>
            </w:r>
          </w:p>
        </w:tc>
        <w:tc>
          <w:tcPr>
            <w:tcW w:w="1808" w:type="dxa"/>
            <w:noWrap w:val="0"/>
            <w:vAlign w:val="center"/>
          </w:tcPr>
          <w:p>
            <w:pPr>
              <w:pStyle w:val="14"/>
              <w:keepNext w:val="0"/>
              <w:keepLines w:val="0"/>
              <w:pageBreakBefore w:val="0"/>
              <w:kinsoku/>
              <w:wordWrap/>
              <w:overflowPunct/>
              <w:topLinePunct w:val="0"/>
              <w:bidi w:val="0"/>
              <w:spacing w:line="560" w:lineRule="exact"/>
              <w:jc w:val="center"/>
              <w:rPr>
                <w:rFonts w:hint="eastAsia" w:ascii="仿宋_GB2312" w:hAnsi="仿宋_GB2312" w:eastAsia="仿宋_GB2312" w:cs="仿宋_GB2312"/>
                <w:b w:val="0"/>
                <w:bCs/>
                <w:color w:val="auto"/>
                <w:szCs w:val="24"/>
              </w:rPr>
            </w:pPr>
            <w:r>
              <w:rPr>
                <w:rFonts w:hint="eastAsia" w:ascii="仿宋_GB2312" w:hAnsi="仿宋_GB2312" w:eastAsia="仿宋_GB2312" w:cs="仿宋_GB2312"/>
                <w:b w:val="0"/>
                <w:bCs/>
                <w:color w:val="auto"/>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noWrap w:val="0"/>
            <w:vAlign w:val="center"/>
          </w:tcPr>
          <w:p>
            <w:pPr>
              <w:pStyle w:val="14"/>
              <w:keepNext w:val="0"/>
              <w:keepLines w:val="0"/>
              <w:pageBreakBefore w:val="0"/>
              <w:kinsoku/>
              <w:wordWrap/>
              <w:overflowPunct/>
              <w:topLinePunct w:val="0"/>
              <w:bidi w:val="0"/>
              <w:spacing w:line="560" w:lineRule="exact"/>
              <w:jc w:val="center"/>
              <w:rPr>
                <w:rFonts w:hint="eastAsia" w:ascii="仿宋_GB2312" w:hAnsi="仿宋_GB2312" w:eastAsia="仿宋_GB2312" w:cs="仿宋_GB2312"/>
                <w:b w:val="0"/>
                <w:bCs/>
                <w:color w:val="auto"/>
                <w:szCs w:val="24"/>
              </w:rPr>
            </w:pPr>
            <w:r>
              <w:rPr>
                <w:rFonts w:hint="eastAsia" w:ascii="仿宋_GB2312" w:hAnsi="仿宋_GB2312" w:eastAsia="仿宋_GB2312" w:cs="仿宋_GB2312"/>
                <w:b w:val="0"/>
                <w:bCs/>
                <w:color w:val="auto"/>
                <w:szCs w:val="24"/>
              </w:rPr>
              <w:t>分值</w:t>
            </w:r>
          </w:p>
        </w:tc>
        <w:tc>
          <w:tcPr>
            <w:tcW w:w="1883" w:type="dxa"/>
            <w:noWrap w:val="0"/>
            <w:vAlign w:val="center"/>
          </w:tcPr>
          <w:p>
            <w:pPr>
              <w:pStyle w:val="14"/>
              <w:keepNext w:val="0"/>
              <w:keepLines w:val="0"/>
              <w:pageBreakBefore w:val="0"/>
              <w:kinsoku/>
              <w:wordWrap/>
              <w:overflowPunct/>
              <w:topLinePunct w:val="0"/>
              <w:bidi w:val="0"/>
              <w:spacing w:line="560" w:lineRule="exact"/>
              <w:jc w:val="center"/>
              <w:rPr>
                <w:rFonts w:hint="eastAsia" w:ascii="仿宋_GB2312" w:hAnsi="仿宋_GB2312" w:eastAsia="仿宋_GB2312" w:cs="仿宋_GB2312"/>
                <w:b w:val="0"/>
                <w:bCs/>
                <w:color w:val="auto"/>
                <w:szCs w:val="24"/>
              </w:rPr>
            </w:pPr>
            <w:r>
              <w:rPr>
                <w:rFonts w:hint="eastAsia" w:ascii="仿宋_GB2312" w:hAnsi="仿宋_GB2312" w:eastAsia="仿宋_GB2312" w:cs="仿宋_GB2312"/>
                <w:b w:val="0"/>
                <w:bCs/>
                <w:color w:val="auto"/>
                <w:szCs w:val="24"/>
                <w:lang w:val="en-US" w:eastAsia="zh-CN"/>
              </w:rPr>
              <w:t>30</w:t>
            </w:r>
            <w:r>
              <w:rPr>
                <w:rFonts w:hint="eastAsia" w:ascii="仿宋_GB2312" w:hAnsi="仿宋_GB2312" w:eastAsia="仿宋_GB2312" w:cs="仿宋_GB2312"/>
                <w:b w:val="0"/>
                <w:bCs/>
                <w:color w:val="auto"/>
                <w:szCs w:val="24"/>
              </w:rPr>
              <w:t>分</w:t>
            </w:r>
          </w:p>
        </w:tc>
        <w:tc>
          <w:tcPr>
            <w:tcW w:w="1681" w:type="dxa"/>
            <w:noWrap w:val="0"/>
            <w:vAlign w:val="center"/>
          </w:tcPr>
          <w:p>
            <w:pPr>
              <w:pStyle w:val="14"/>
              <w:keepNext w:val="0"/>
              <w:keepLines w:val="0"/>
              <w:pageBreakBefore w:val="0"/>
              <w:kinsoku/>
              <w:wordWrap/>
              <w:overflowPunct/>
              <w:topLinePunct w:val="0"/>
              <w:bidi w:val="0"/>
              <w:spacing w:line="560" w:lineRule="exact"/>
              <w:jc w:val="center"/>
              <w:rPr>
                <w:rFonts w:hint="eastAsia" w:ascii="仿宋_GB2312" w:hAnsi="仿宋_GB2312" w:eastAsia="仿宋_GB2312" w:cs="仿宋_GB2312"/>
                <w:b w:val="0"/>
                <w:bCs/>
                <w:color w:val="auto"/>
                <w:szCs w:val="24"/>
              </w:rPr>
            </w:pPr>
            <w:r>
              <w:rPr>
                <w:rFonts w:hint="eastAsia" w:ascii="仿宋_GB2312" w:hAnsi="仿宋_GB2312" w:eastAsia="仿宋_GB2312" w:cs="仿宋_GB2312"/>
                <w:b w:val="0"/>
                <w:bCs/>
                <w:color w:val="auto"/>
                <w:szCs w:val="24"/>
                <w:lang w:val="en-US" w:eastAsia="zh-CN"/>
              </w:rPr>
              <w:t>40</w:t>
            </w:r>
            <w:r>
              <w:rPr>
                <w:rFonts w:hint="eastAsia" w:ascii="仿宋_GB2312" w:hAnsi="仿宋_GB2312" w:eastAsia="仿宋_GB2312" w:cs="仿宋_GB2312"/>
                <w:b w:val="0"/>
                <w:bCs/>
                <w:color w:val="auto"/>
                <w:szCs w:val="24"/>
              </w:rPr>
              <w:t>分</w:t>
            </w:r>
          </w:p>
        </w:tc>
        <w:tc>
          <w:tcPr>
            <w:tcW w:w="1808" w:type="dxa"/>
            <w:noWrap w:val="0"/>
            <w:vAlign w:val="center"/>
          </w:tcPr>
          <w:p>
            <w:pPr>
              <w:pStyle w:val="14"/>
              <w:keepNext w:val="0"/>
              <w:keepLines w:val="0"/>
              <w:pageBreakBefore w:val="0"/>
              <w:kinsoku/>
              <w:wordWrap/>
              <w:overflowPunct/>
              <w:topLinePunct w:val="0"/>
              <w:bidi w:val="0"/>
              <w:spacing w:line="560" w:lineRule="exact"/>
              <w:jc w:val="center"/>
              <w:rPr>
                <w:rFonts w:hint="eastAsia" w:ascii="仿宋_GB2312" w:hAnsi="仿宋_GB2312" w:eastAsia="仿宋_GB2312" w:cs="仿宋_GB2312"/>
                <w:b w:val="0"/>
                <w:bCs/>
                <w:color w:val="auto"/>
                <w:szCs w:val="24"/>
              </w:rPr>
            </w:pPr>
            <w:r>
              <w:rPr>
                <w:rFonts w:hint="eastAsia" w:ascii="仿宋_GB2312" w:hAnsi="仿宋_GB2312" w:eastAsia="仿宋_GB2312" w:cs="仿宋_GB2312"/>
                <w:b w:val="0"/>
                <w:bCs/>
                <w:color w:val="auto"/>
                <w:szCs w:val="24"/>
                <w:lang w:val="en-US" w:eastAsia="zh-CN"/>
              </w:rPr>
              <w:t>30</w:t>
            </w:r>
            <w:r>
              <w:rPr>
                <w:rFonts w:hint="eastAsia" w:ascii="仿宋_GB2312" w:hAnsi="仿宋_GB2312" w:eastAsia="仿宋_GB2312" w:cs="仿宋_GB2312"/>
                <w:b w:val="0"/>
                <w:bCs/>
                <w:color w:val="auto"/>
                <w:szCs w:val="24"/>
              </w:rPr>
              <w:t>分</w:t>
            </w:r>
          </w:p>
        </w:tc>
      </w:tr>
    </w:tbl>
    <w:p>
      <w:pPr>
        <w:pStyle w:val="14"/>
        <w:keepNext w:val="0"/>
        <w:keepLines w:val="0"/>
        <w:pageBreakBefore w:val="0"/>
        <w:kinsoku/>
        <w:wordWrap/>
        <w:overflowPunct/>
        <w:topLinePunct w:val="0"/>
        <w:bidi w:val="0"/>
        <w:spacing w:line="560" w:lineRule="exact"/>
        <w:ind w:firstLine="640" w:firstLineChars="2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（三）评分标准</w:t>
      </w:r>
    </w:p>
    <w:p>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1.商务能力</w:t>
      </w:r>
    </w:p>
    <w:tbl>
      <w:tblPr>
        <w:tblStyle w:val="1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286"/>
        <w:gridCol w:w="3827"/>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632" w:type="dxa"/>
            <w:gridSpan w:val="3"/>
            <w:noWrap w:val="0"/>
            <w:vAlign w:val="center"/>
          </w:tcPr>
          <w:p>
            <w:pPr>
              <w:keepNext w:val="0"/>
              <w:keepLines w:val="0"/>
              <w:pageBreakBefore w:val="0"/>
              <w:widowControl/>
              <w:kinsoku/>
              <w:wordWrap/>
              <w:overflowPunct/>
              <w:topLinePunct w:val="0"/>
              <w:bidi w:val="0"/>
              <w:spacing w:line="560" w:lineRule="exact"/>
              <w:jc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w:t>
            </w:r>
          </w:p>
        </w:tc>
        <w:tc>
          <w:tcPr>
            <w:tcW w:w="3119" w:type="dxa"/>
            <w:noWrap w:val="0"/>
            <w:vAlign w:val="center"/>
          </w:tcPr>
          <w:p>
            <w:pPr>
              <w:keepNext w:val="0"/>
              <w:keepLines w:val="0"/>
              <w:pageBreakBefore w:val="0"/>
              <w:widowControl/>
              <w:kinsoku/>
              <w:wordWrap/>
              <w:overflowPunct/>
              <w:topLinePunct w:val="0"/>
              <w:bidi w:val="0"/>
              <w:spacing w:line="560" w:lineRule="exact"/>
              <w:jc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519" w:type="dxa"/>
            <w:vMerge w:val="restart"/>
            <w:noWrap w:val="0"/>
            <w:vAlign w:val="center"/>
          </w:tcPr>
          <w:p>
            <w:pPr>
              <w:keepNext w:val="0"/>
              <w:keepLines w:val="0"/>
              <w:pageBreakBefore w:val="0"/>
              <w:kinsoku/>
              <w:wordWrap/>
              <w:overflowPunct/>
              <w:topLinePunct w:val="0"/>
              <w:bidi w:val="0"/>
              <w:spacing w:line="560" w:lineRule="exact"/>
              <w:jc w:val="center"/>
              <w:rPr>
                <w:rFonts w:hint="eastAsia" w:ascii="仿宋_GB2312" w:hAnsi="仿宋_GB2312" w:eastAsia="仿宋_GB2312" w:cs="仿宋_GB2312"/>
                <w:bCs/>
                <w:color w:val="auto"/>
                <w:sz w:val="24"/>
                <w:szCs w:val="24"/>
                <w:lang w:eastAsia="zh-CN"/>
              </w:rPr>
            </w:pPr>
          </w:p>
          <w:p>
            <w:pPr>
              <w:keepNext w:val="0"/>
              <w:keepLines w:val="0"/>
              <w:pageBreakBefore w:val="0"/>
              <w:kinsoku/>
              <w:wordWrap/>
              <w:overflowPunct/>
              <w:topLinePunct w:val="0"/>
              <w:bidi w:val="0"/>
              <w:spacing w:line="560" w:lineRule="exact"/>
              <w:jc w:val="center"/>
              <w:rPr>
                <w:rFonts w:hint="eastAsia" w:ascii="仿宋_GB2312" w:hAnsi="仿宋_GB2312" w:eastAsia="仿宋_GB2312" w:cs="仿宋_GB2312"/>
                <w:bCs/>
                <w:color w:val="auto"/>
                <w:sz w:val="24"/>
                <w:szCs w:val="24"/>
                <w:lang w:eastAsia="zh-CN"/>
              </w:rPr>
            </w:pPr>
          </w:p>
          <w:p>
            <w:pPr>
              <w:keepNext w:val="0"/>
              <w:keepLines w:val="0"/>
              <w:pageBreakBefore w:val="0"/>
              <w:kinsoku/>
              <w:wordWrap/>
              <w:overflowPunct/>
              <w:topLinePunct w:val="0"/>
              <w:bidi w:val="0"/>
              <w:spacing w:line="560" w:lineRule="exact"/>
              <w:jc w:val="center"/>
              <w:rPr>
                <w:rFonts w:hint="eastAsia" w:ascii="仿宋_GB2312" w:hAnsi="仿宋_GB2312" w:eastAsia="仿宋_GB2312" w:cs="仿宋_GB2312"/>
                <w:bCs/>
                <w:color w:val="auto"/>
                <w:sz w:val="24"/>
                <w:szCs w:val="24"/>
                <w:lang w:eastAsia="zh-CN"/>
              </w:rPr>
            </w:pPr>
          </w:p>
          <w:p>
            <w:pPr>
              <w:keepNext w:val="0"/>
              <w:keepLines w:val="0"/>
              <w:pageBreakBefore w:val="0"/>
              <w:kinsoku/>
              <w:wordWrap/>
              <w:overflowPunct/>
              <w:topLinePunct w:val="0"/>
              <w:bidi w:val="0"/>
              <w:spacing w:line="560" w:lineRule="exact"/>
              <w:jc w:val="center"/>
              <w:rPr>
                <w:rFonts w:hint="eastAsia" w:ascii="仿宋_GB2312" w:hAnsi="仿宋_GB2312" w:eastAsia="仿宋_GB2312" w:cs="仿宋_GB2312"/>
                <w:bCs/>
                <w:color w:val="auto"/>
                <w:sz w:val="24"/>
                <w:szCs w:val="24"/>
                <w:lang w:eastAsia="zh-CN"/>
              </w:rPr>
            </w:pPr>
          </w:p>
          <w:p>
            <w:pPr>
              <w:keepNext w:val="0"/>
              <w:keepLines w:val="0"/>
              <w:pageBreakBefore w:val="0"/>
              <w:kinsoku/>
              <w:wordWrap/>
              <w:overflowPunct/>
              <w:topLinePunct w:val="0"/>
              <w:bidi w:val="0"/>
              <w:spacing w:line="560" w:lineRule="exact"/>
              <w:jc w:val="center"/>
              <w:rPr>
                <w:rFonts w:hint="eastAsia" w:ascii="仿宋_GB2312" w:hAnsi="仿宋_GB2312" w:eastAsia="仿宋_GB2312" w:cs="仿宋_GB2312"/>
                <w:bCs/>
                <w:color w:val="auto"/>
                <w:sz w:val="24"/>
                <w:szCs w:val="24"/>
                <w:lang w:eastAsia="zh-CN"/>
              </w:rPr>
            </w:pPr>
          </w:p>
          <w:p>
            <w:pPr>
              <w:keepNext w:val="0"/>
              <w:keepLines w:val="0"/>
              <w:pageBreakBefore w:val="0"/>
              <w:kinsoku/>
              <w:wordWrap/>
              <w:overflowPunct/>
              <w:topLinePunct w:val="0"/>
              <w:bidi w:val="0"/>
              <w:spacing w:line="560" w:lineRule="exact"/>
              <w:jc w:val="center"/>
              <w:rPr>
                <w:rFonts w:hint="eastAsia" w:ascii="仿宋_GB2312" w:hAnsi="仿宋_GB2312" w:eastAsia="仿宋_GB2312" w:cs="仿宋_GB2312"/>
                <w:bCs/>
                <w:color w:val="auto"/>
                <w:sz w:val="24"/>
                <w:szCs w:val="24"/>
                <w:lang w:eastAsia="zh-CN"/>
              </w:rPr>
            </w:pPr>
          </w:p>
          <w:p>
            <w:pPr>
              <w:keepNext w:val="0"/>
              <w:keepLines w:val="0"/>
              <w:pageBreakBefore w:val="0"/>
              <w:kinsoku/>
              <w:wordWrap/>
              <w:overflowPunct/>
              <w:topLinePunct w:val="0"/>
              <w:bidi w:val="0"/>
              <w:spacing w:line="560" w:lineRule="exact"/>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商务</w:t>
            </w:r>
            <w:r>
              <w:rPr>
                <w:rFonts w:hint="eastAsia" w:ascii="仿宋_GB2312" w:hAnsi="仿宋_GB2312" w:eastAsia="仿宋_GB2312" w:cs="仿宋_GB2312"/>
                <w:bCs/>
                <w:color w:val="auto"/>
                <w:sz w:val="24"/>
                <w:szCs w:val="24"/>
              </w:rPr>
              <w:t>能力评分</w:t>
            </w:r>
          </w:p>
        </w:tc>
        <w:tc>
          <w:tcPr>
            <w:tcW w:w="1286" w:type="dxa"/>
            <w:noWrap w:val="0"/>
            <w:vAlign w:val="center"/>
          </w:tcPr>
          <w:p>
            <w:pPr>
              <w:spacing w:line="276" w:lineRule="auto"/>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同类业绩（</w:t>
            </w:r>
            <w:r>
              <w:rPr>
                <w:rFonts w:hint="eastAsia" w:ascii="仿宋_GB2312" w:hAnsi="仿宋_GB2312" w:eastAsia="仿宋_GB2312" w:cs="仿宋_GB2312"/>
                <w:bCs/>
                <w:color w:val="auto"/>
                <w:sz w:val="24"/>
                <w:szCs w:val="24"/>
                <w:highlight w:val="none"/>
                <w:lang w:val="en-US" w:eastAsia="zh-CN"/>
              </w:rPr>
              <w:t>10</w:t>
            </w:r>
            <w:r>
              <w:rPr>
                <w:rFonts w:hint="eastAsia" w:ascii="仿宋_GB2312" w:hAnsi="仿宋_GB2312" w:eastAsia="仿宋_GB2312" w:cs="仿宋_GB2312"/>
                <w:bCs/>
                <w:color w:val="auto"/>
                <w:sz w:val="24"/>
                <w:szCs w:val="24"/>
                <w:highlight w:val="none"/>
              </w:rPr>
              <w:t>分）</w:t>
            </w:r>
          </w:p>
        </w:tc>
        <w:tc>
          <w:tcPr>
            <w:tcW w:w="3827" w:type="dxa"/>
            <w:noWrap w:val="0"/>
            <w:vAlign w:val="center"/>
          </w:tcPr>
          <w:p>
            <w:pPr>
              <w:spacing w:line="276" w:lineRule="auto"/>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投标</w:t>
            </w:r>
            <w:r>
              <w:rPr>
                <w:rFonts w:hint="eastAsia" w:ascii="仿宋_GB2312" w:hAnsi="仿宋_GB2312" w:eastAsia="仿宋_GB2312" w:cs="仿宋_GB2312"/>
                <w:bCs/>
                <w:color w:val="auto"/>
                <w:sz w:val="24"/>
                <w:szCs w:val="24"/>
                <w:highlight w:val="none"/>
                <w:lang w:eastAsia="zh-CN"/>
              </w:rPr>
              <w:t>团队</w:t>
            </w:r>
            <w:r>
              <w:rPr>
                <w:rFonts w:hint="eastAsia" w:ascii="仿宋_GB2312" w:hAnsi="仿宋_GB2312" w:eastAsia="仿宋_GB2312" w:cs="仿宋_GB2312"/>
                <w:bCs/>
                <w:color w:val="auto"/>
                <w:sz w:val="24"/>
                <w:szCs w:val="24"/>
                <w:highlight w:val="none"/>
              </w:rPr>
              <w:t>项目业绩涵盖</w:t>
            </w:r>
            <w:r>
              <w:rPr>
                <w:rFonts w:hint="eastAsia" w:ascii="仿宋_GB2312" w:hAnsi="仿宋_GB2312" w:eastAsia="仿宋_GB2312" w:cs="仿宋_GB2312"/>
                <w:bCs/>
                <w:color w:val="auto"/>
                <w:sz w:val="24"/>
                <w:szCs w:val="24"/>
                <w:highlight w:val="none"/>
                <w:lang w:val="en-US" w:eastAsia="zh-CN"/>
              </w:rPr>
              <w:t>宣传推广类、活动直播、视频拍摄制作类等服务，每提供一个同类业务证明得5分，满分10分。</w:t>
            </w:r>
          </w:p>
        </w:tc>
        <w:tc>
          <w:tcPr>
            <w:tcW w:w="3119" w:type="dxa"/>
            <w:noWrap w:val="0"/>
            <w:vAlign w:val="center"/>
          </w:tcPr>
          <w:p>
            <w:pPr>
              <w:spacing w:line="276"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1.需提供以上项目合同关键页或中标通知书复印件或合同甲方出具的证明文件并加盖投标人公章。</w:t>
            </w:r>
          </w:p>
          <w:p>
            <w:pPr>
              <w:spacing w:line="276" w:lineRule="auto"/>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2.未按要求提供或提供不清晰导致无法判断的不得分。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trPr>
        <w:tc>
          <w:tcPr>
            <w:tcW w:w="519" w:type="dxa"/>
            <w:vMerge w:val="continue"/>
            <w:noWrap w:val="0"/>
            <w:vAlign w:val="center"/>
          </w:tcPr>
          <w:p>
            <w:pPr>
              <w:keepNext w:val="0"/>
              <w:keepLines w:val="0"/>
              <w:pageBreakBefore w:val="0"/>
              <w:kinsoku/>
              <w:wordWrap/>
              <w:overflowPunct/>
              <w:topLinePunct w:val="0"/>
              <w:bidi w:val="0"/>
              <w:spacing w:line="560" w:lineRule="exact"/>
              <w:jc w:val="center"/>
              <w:rPr>
                <w:rFonts w:hint="eastAsia" w:ascii="仿宋_GB2312" w:hAnsi="仿宋_GB2312" w:eastAsia="仿宋_GB2312" w:cs="仿宋_GB2312"/>
                <w:bCs/>
                <w:color w:val="auto"/>
                <w:sz w:val="24"/>
                <w:szCs w:val="24"/>
              </w:rPr>
            </w:pPr>
          </w:p>
        </w:tc>
        <w:tc>
          <w:tcPr>
            <w:tcW w:w="1286" w:type="dxa"/>
            <w:noWrap w:val="0"/>
            <w:vAlign w:val="center"/>
          </w:tcPr>
          <w:p>
            <w:pPr>
              <w:spacing w:line="276"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拟安排的项目团队成员情况（</w:t>
            </w:r>
            <w:r>
              <w:rPr>
                <w:rFonts w:hint="eastAsia" w:ascii="仿宋_GB2312" w:hAnsi="仿宋_GB2312" w:eastAsia="仿宋_GB2312" w:cs="仿宋_GB2312"/>
                <w:bCs/>
                <w:color w:val="auto"/>
                <w:sz w:val="24"/>
                <w:szCs w:val="24"/>
                <w:highlight w:val="none"/>
                <w:lang w:val="en-US" w:eastAsia="zh-CN"/>
              </w:rPr>
              <w:t>10</w:t>
            </w:r>
            <w:r>
              <w:rPr>
                <w:rFonts w:hint="eastAsia" w:ascii="仿宋_GB2312" w:hAnsi="仿宋_GB2312" w:eastAsia="仿宋_GB2312" w:cs="仿宋_GB2312"/>
                <w:bCs/>
                <w:color w:val="auto"/>
                <w:sz w:val="24"/>
                <w:szCs w:val="24"/>
                <w:highlight w:val="none"/>
              </w:rPr>
              <w:t>分）</w:t>
            </w:r>
          </w:p>
        </w:tc>
        <w:tc>
          <w:tcPr>
            <w:tcW w:w="3827" w:type="dxa"/>
            <w:noWrap w:val="0"/>
            <w:vAlign w:val="center"/>
          </w:tcPr>
          <w:p>
            <w:pPr>
              <w:spacing w:line="276" w:lineRule="auto"/>
              <w:jc w:val="center"/>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团队成员需包括</w:t>
            </w:r>
            <w:r>
              <w:rPr>
                <w:rFonts w:hint="eastAsia" w:ascii="仿宋_GB2312" w:hAnsi="仿宋_GB2312" w:eastAsia="仿宋_GB2312" w:cs="仿宋_GB2312"/>
                <w:bCs/>
                <w:color w:val="auto"/>
                <w:sz w:val="24"/>
                <w:szCs w:val="24"/>
                <w:highlight w:val="none"/>
                <w:lang w:val="en-US" w:eastAsia="zh-CN"/>
              </w:rPr>
              <w:t>新闻传播</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广播电视编导</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数字媒体技术、摄影摄像、市场营销、电子商务</w:t>
            </w:r>
            <w:r>
              <w:rPr>
                <w:rFonts w:hint="eastAsia" w:ascii="仿宋_GB2312" w:hAnsi="仿宋_GB2312" w:eastAsia="仿宋_GB2312" w:cs="仿宋_GB2312"/>
                <w:bCs/>
                <w:color w:val="auto"/>
                <w:sz w:val="24"/>
                <w:szCs w:val="24"/>
                <w:highlight w:val="none"/>
              </w:rPr>
              <w:t>相关专业领域研究人员，满足</w:t>
            </w:r>
            <w:r>
              <w:rPr>
                <w:rFonts w:hint="eastAsia" w:ascii="仿宋_GB2312" w:hAnsi="仿宋_GB2312" w:eastAsia="仿宋_GB2312" w:cs="仿宋_GB2312"/>
                <w:bCs/>
                <w:color w:val="auto"/>
                <w:sz w:val="24"/>
                <w:szCs w:val="24"/>
                <w:highlight w:val="none"/>
                <w:lang w:val="en-US" w:eastAsia="zh-CN"/>
              </w:rPr>
              <w:t>1个</w:t>
            </w:r>
            <w:r>
              <w:rPr>
                <w:rFonts w:hint="eastAsia" w:ascii="仿宋_GB2312" w:hAnsi="仿宋_GB2312" w:eastAsia="仿宋_GB2312" w:cs="仿宋_GB2312"/>
                <w:bCs/>
                <w:color w:val="auto"/>
                <w:sz w:val="24"/>
                <w:szCs w:val="24"/>
                <w:highlight w:val="none"/>
              </w:rPr>
              <w:t>专业领域要求的，得</w:t>
            </w:r>
            <w:r>
              <w:rPr>
                <w:rFonts w:hint="eastAsia" w:ascii="仿宋_GB2312" w:hAnsi="仿宋_GB2312" w:eastAsia="仿宋_GB2312" w:cs="仿宋_GB2312"/>
                <w:bCs/>
                <w:color w:val="auto"/>
                <w:sz w:val="24"/>
                <w:szCs w:val="24"/>
                <w:highlight w:val="none"/>
                <w:lang w:val="en-US" w:eastAsia="zh-CN"/>
              </w:rPr>
              <w:t>2</w:t>
            </w:r>
            <w:r>
              <w:rPr>
                <w:rFonts w:hint="eastAsia" w:ascii="仿宋_GB2312" w:hAnsi="仿宋_GB2312" w:eastAsia="仿宋_GB2312" w:cs="仿宋_GB2312"/>
                <w:bCs/>
                <w:color w:val="auto"/>
                <w:sz w:val="24"/>
                <w:szCs w:val="24"/>
                <w:highlight w:val="none"/>
              </w:rPr>
              <w:t>分</w:t>
            </w:r>
            <w:r>
              <w:rPr>
                <w:rFonts w:hint="eastAsia" w:ascii="仿宋_GB2312" w:hAnsi="仿宋_GB2312" w:eastAsia="仿宋_GB2312" w:cs="仿宋_GB2312"/>
                <w:bCs/>
                <w:color w:val="auto"/>
                <w:sz w:val="24"/>
                <w:szCs w:val="24"/>
                <w:highlight w:val="none"/>
                <w:lang w:eastAsia="zh-CN"/>
              </w:rPr>
              <w:t>，重复专业领域不得分，满分</w:t>
            </w:r>
            <w:r>
              <w:rPr>
                <w:rFonts w:hint="eastAsia" w:ascii="仿宋_GB2312" w:hAnsi="仿宋_GB2312" w:eastAsia="仿宋_GB2312" w:cs="仿宋_GB2312"/>
                <w:bCs/>
                <w:color w:val="auto"/>
                <w:sz w:val="24"/>
                <w:szCs w:val="24"/>
                <w:highlight w:val="none"/>
                <w:lang w:val="en-US" w:eastAsia="zh-CN"/>
              </w:rPr>
              <w:t>10分。</w:t>
            </w:r>
          </w:p>
        </w:tc>
        <w:tc>
          <w:tcPr>
            <w:tcW w:w="3119" w:type="dxa"/>
            <w:noWrap w:val="0"/>
            <w:vAlign w:val="center"/>
          </w:tcPr>
          <w:p>
            <w:pPr>
              <w:spacing w:line="276"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需提供相关人员学历证明（毕业证，专业以毕业证书为准）复印件并加盖投标人公章。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519" w:type="dxa"/>
            <w:vMerge w:val="continue"/>
            <w:noWrap w:val="0"/>
            <w:vAlign w:val="center"/>
          </w:tcPr>
          <w:p>
            <w:pPr>
              <w:keepNext w:val="0"/>
              <w:keepLines w:val="0"/>
              <w:pageBreakBefore w:val="0"/>
              <w:kinsoku/>
              <w:wordWrap/>
              <w:overflowPunct/>
              <w:topLinePunct w:val="0"/>
              <w:bidi w:val="0"/>
              <w:spacing w:line="560" w:lineRule="exact"/>
              <w:jc w:val="center"/>
              <w:rPr>
                <w:rFonts w:hint="eastAsia" w:ascii="仿宋_GB2312" w:hAnsi="仿宋_GB2312" w:eastAsia="仿宋_GB2312" w:cs="仿宋_GB2312"/>
                <w:bCs/>
                <w:color w:val="auto"/>
                <w:sz w:val="24"/>
                <w:szCs w:val="24"/>
              </w:rPr>
            </w:pPr>
          </w:p>
        </w:tc>
        <w:tc>
          <w:tcPr>
            <w:tcW w:w="1286" w:type="dxa"/>
            <w:noWrap w:val="0"/>
            <w:vAlign w:val="center"/>
          </w:tcPr>
          <w:p>
            <w:pPr>
              <w:spacing w:line="276"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诚信评价</w:t>
            </w:r>
          </w:p>
          <w:p>
            <w:pPr>
              <w:spacing w:line="276"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5</w:t>
            </w:r>
            <w:r>
              <w:rPr>
                <w:rFonts w:hint="eastAsia" w:ascii="仿宋_GB2312" w:hAnsi="仿宋_GB2312" w:eastAsia="仿宋_GB2312" w:cs="仿宋_GB2312"/>
                <w:bCs/>
                <w:color w:val="auto"/>
                <w:sz w:val="24"/>
                <w:szCs w:val="24"/>
                <w:highlight w:val="none"/>
              </w:rPr>
              <w:t>分）</w:t>
            </w:r>
          </w:p>
        </w:tc>
        <w:tc>
          <w:tcPr>
            <w:tcW w:w="3827" w:type="dxa"/>
            <w:noWrap w:val="0"/>
            <w:vAlign w:val="center"/>
          </w:tcPr>
          <w:p>
            <w:pPr>
              <w:spacing w:line="276"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投标人在参与政府采购活动中不存在诚信相关问题且不在主管部门相关处理措施实施期限内的。</w:t>
            </w:r>
          </w:p>
        </w:tc>
        <w:tc>
          <w:tcPr>
            <w:tcW w:w="3119" w:type="dxa"/>
            <w:noWrap w:val="0"/>
            <w:vAlign w:val="center"/>
          </w:tcPr>
          <w:p>
            <w:pPr>
              <w:spacing w:line="276"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提供《诚信承诺书》得5分，未提供或内容不符不得分。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519" w:type="dxa"/>
            <w:vMerge w:val="continue"/>
            <w:noWrap w:val="0"/>
            <w:vAlign w:val="center"/>
          </w:tcPr>
          <w:p>
            <w:pPr>
              <w:keepNext w:val="0"/>
              <w:keepLines w:val="0"/>
              <w:pageBreakBefore w:val="0"/>
              <w:kinsoku/>
              <w:wordWrap/>
              <w:overflowPunct/>
              <w:topLinePunct w:val="0"/>
              <w:bidi w:val="0"/>
              <w:spacing w:line="560" w:lineRule="exact"/>
              <w:jc w:val="center"/>
              <w:rPr>
                <w:rFonts w:hint="eastAsia" w:ascii="仿宋_GB2312" w:hAnsi="仿宋_GB2312" w:eastAsia="仿宋_GB2312" w:cs="仿宋_GB2312"/>
                <w:bCs/>
                <w:color w:val="auto"/>
                <w:sz w:val="24"/>
                <w:szCs w:val="24"/>
              </w:rPr>
            </w:pPr>
          </w:p>
        </w:tc>
        <w:tc>
          <w:tcPr>
            <w:tcW w:w="1286" w:type="dxa"/>
            <w:noWrap w:val="0"/>
            <w:vAlign w:val="center"/>
          </w:tcPr>
          <w:p>
            <w:pPr>
              <w:spacing w:line="276"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服务承诺</w:t>
            </w:r>
          </w:p>
          <w:p>
            <w:pPr>
              <w:spacing w:line="276" w:lineRule="auto"/>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（5分）</w:t>
            </w:r>
          </w:p>
        </w:tc>
        <w:tc>
          <w:tcPr>
            <w:tcW w:w="3827" w:type="dxa"/>
            <w:noWrap w:val="0"/>
            <w:vAlign w:val="center"/>
          </w:tcPr>
          <w:p>
            <w:pPr>
              <w:spacing w:line="276" w:lineRule="auto"/>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根据对项目的理解及自身管理经验，提出项目完成的服务承诺。</w:t>
            </w:r>
          </w:p>
        </w:tc>
        <w:tc>
          <w:tcPr>
            <w:tcW w:w="3119" w:type="dxa"/>
            <w:noWrap w:val="0"/>
            <w:vAlign w:val="center"/>
          </w:tcPr>
          <w:p>
            <w:pPr>
              <w:spacing w:line="276" w:lineRule="auto"/>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提供《服务承诺书》得5分，未提供或内容不符不得分。</w:t>
            </w:r>
          </w:p>
        </w:tc>
      </w:tr>
    </w:tbl>
    <w:p>
      <w:pPr>
        <w:keepNext w:val="0"/>
        <w:keepLines w:val="0"/>
        <w:pageBreakBefore w:val="0"/>
        <w:kinsoku/>
        <w:wordWrap/>
        <w:overflowPunct/>
        <w:topLinePunct w:val="0"/>
        <w:bidi w:val="0"/>
        <w:spacing w:line="560" w:lineRule="exact"/>
        <w:ind w:firstLine="480" w:firstLineChars="200"/>
        <w:rPr>
          <w:rFonts w:hint="eastAsia" w:ascii="仿宋_GB2312" w:eastAsia="仿宋_GB2312"/>
          <w:color w:val="auto"/>
          <w:sz w:val="32"/>
          <w:szCs w:val="32"/>
        </w:rPr>
      </w:pPr>
      <w:r>
        <w:rPr>
          <w:rFonts w:hint="eastAsia" w:ascii="宋体" w:hAnsi="宋体" w:eastAsia="宋体"/>
          <w:bCs/>
          <w:color w:val="auto"/>
          <w:sz w:val="24"/>
        </w:rPr>
        <w:t>注：</w:t>
      </w:r>
      <w:r>
        <w:rPr>
          <w:rFonts w:hint="eastAsia" w:ascii="宋体" w:hAnsi="宋体"/>
          <w:bCs/>
          <w:color w:val="auto"/>
          <w:sz w:val="24"/>
        </w:rPr>
        <w:t>不提供证明文件或提供的证明文件不合格者，不得分。</w:t>
      </w:r>
    </w:p>
    <w:p>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2.技术能力</w:t>
      </w:r>
    </w:p>
    <w:tbl>
      <w:tblPr>
        <w:tblStyle w:val="1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266"/>
        <w:gridCol w:w="1843"/>
        <w:gridCol w:w="17"/>
        <w:gridCol w:w="4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619"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w:t>
            </w:r>
          </w:p>
        </w:tc>
        <w:tc>
          <w:tcPr>
            <w:tcW w:w="50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1" w:hRule="atLeast"/>
        </w:trPr>
        <w:tc>
          <w:tcPr>
            <w:tcW w:w="51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技术能力分</w:t>
            </w:r>
          </w:p>
        </w:tc>
        <w:tc>
          <w:tcPr>
            <w:tcW w:w="126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eastAsia="zh-CN"/>
              </w:rPr>
              <w:t>实施方案</w:t>
            </w:r>
            <w:r>
              <w:rPr>
                <w:rFonts w:hint="eastAsia" w:ascii="仿宋_GB2312" w:hAnsi="仿宋_GB2312" w:eastAsia="仿宋_GB2312" w:cs="仿宋_GB2312"/>
                <w:bCs/>
                <w:color w:val="auto"/>
                <w:kern w:val="0"/>
                <w:sz w:val="24"/>
                <w:szCs w:val="24"/>
              </w:rPr>
              <w:t>（</w:t>
            </w:r>
            <w:r>
              <w:rPr>
                <w:rFonts w:hint="eastAsia" w:ascii="仿宋_GB2312" w:hAnsi="仿宋_GB2312" w:eastAsia="仿宋_GB2312" w:cs="仿宋_GB2312"/>
                <w:bCs/>
                <w:color w:val="auto"/>
                <w:kern w:val="0"/>
                <w:sz w:val="24"/>
                <w:szCs w:val="24"/>
                <w:lang w:val="en-US" w:eastAsia="zh-CN"/>
              </w:rPr>
              <w:t>25</w:t>
            </w:r>
            <w:r>
              <w:rPr>
                <w:rFonts w:hint="eastAsia" w:ascii="仿宋_GB2312" w:hAnsi="仿宋_GB2312" w:eastAsia="仿宋_GB2312" w:cs="仿宋_GB2312"/>
                <w:bCs/>
                <w:color w:val="auto"/>
                <w:kern w:val="0"/>
                <w:sz w:val="24"/>
                <w:szCs w:val="24"/>
              </w:rPr>
              <w:t>分）</w:t>
            </w:r>
          </w:p>
        </w:tc>
        <w:tc>
          <w:tcPr>
            <w:tcW w:w="18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仿宋_GB2312" w:hAnsi="仿宋_GB2312" w:eastAsia="仿宋_GB2312" w:cs="仿宋_GB2312"/>
                <w:bCs/>
                <w:color w:val="auto"/>
                <w:kern w:val="0"/>
                <w:sz w:val="24"/>
                <w:szCs w:val="24"/>
                <w:lang w:val="en-US"/>
              </w:rPr>
            </w:pPr>
            <w:r>
              <w:rPr>
                <w:rFonts w:hint="eastAsia" w:ascii="仿宋_GB2312" w:hAnsi="仿宋_GB2312" w:eastAsia="仿宋_GB2312" w:cs="仿宋_GB2312"/>
                <w:bCs/>
                <w:color w:val="auto"/>
                <w:sz w:val="24"/>
                <w:szCs w:val="24"/>
                <w:highlight w:val="none"/>
              </w:rPr>
              <w:t>项目实施方案中包括但不限于对项目的工作措施、工作方法、工作手段、工作流程。</w:t>
            </w:r>
          </w:p>
        </w:tc>
        <w:tc>
          <w:tcPr>
            <w:tcW w:w="4983"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满足</w:t>
            </w:r>
            <w:r>
              <w:rPr>
                <w:rFonts w:hint="eastAsia" w:ascii="仿宋_GB2312" w:hAnsi="仿宋_GB2312" w:eastAsia="仿宋_GB2312" w:cs="仿宋_GB2312"/>
                <w:bCs/>
                <w:color w:val="auto"/>
                <w:sz w:val="24"/>
                <w:szCs w:val="24"/>
                <w:highlight w:val="none"/>
                <w:lang w:eastAsia="zh-CN"/>
              </w:rPr>
              <w:t>方案中</w:t>
            </w:r>
            <w:r>
              <w:rPr>
                <w:rFonts w:hint="eastAsia" w:ascii="仿宋_GB2312" w:hAnsi="仿宋_GB2312" w:eastAsia="仿宋_GB2312" w:cs="仿宋_GB2312"/>
                <w:bCs/>
                <w:color w:val="auto"/>
                <w:sz w:val="24"/>
                <w:szCs w:val="24"/>
                <w:highlight w:val="none"/>
              </w:rPr>
              <w:t>任意一项内容得</w:t>
            </w:r>
            <w:r>
              <w:rPr>
                <w:rFonts w:hint="eastAsia" w:ascii="仿宋_GB2312" w:hAnsi="仿宋_GB2312" w:eastAsia="仿宋_GB2312" w:cs="仿宋_GB2312"/>
                <w:bCs/>
                <w:color w:val="auto"/>
                <w:sz w:val="24"/>
                <w:szCs w:val="24"/>
                <w:highlight w:val="none"/>
                <w:lang w:val="en-US" w:eastAsia="zh-CN"/>
              </w:rPr>
              <w:t>4</w:t>
            </w:r>
            <w:r>
              <w:rPr>
                <w:rFonts w:hint="eastAsia" w:ascii="仿宋_GB2312" w:hAnsi="仿宋_GB2312" w:eastAsia="仿宋_GB2312" w:cs="仿宋_GB2312"/>
                <w:bCs/>
                <w:color w:val="auto"/>
                <w:sz w:val="24"/>
                <w:szCs w:val="24"/>
                <w:highlight w:val="none"/>
              </w:rPr>
              <w:t>分，最高</w:t>
            </w:r>
            <w:r>
              <w:rPr>
                <w:rFonts w:hint="eastAsia" w:ascii="仿宋_GB2312" w:hAnsi="仿宋_GB2312" w:eastAsia="仿宋_GB2312" w:cs="仿宋_GB2312"/>
                <w:bCs/>
                <w:color w:val="auto"/>
                <w:sz w:val="24"/>
                <w:szCs w:val="24"/>
                <w:highlight w:val="none"/>
                <w:lang w:val="en-US" w:eastAsia="zh-CN"/>
              </w:rPr>
              <w:t>16</w:t>
            </w:r>
            <w:r>
              <w:rPr>
                <w:rFonts w:hint="eastAsia" w:ascii="仿宋_GB2312" w:hAnsi="仿宋_GB2312" w:eastAsia="仿宋_GB2312" w:cs="仿宋_GB2312"/>
                <w:bCs/>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评分标准：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在此基础上，由评标委员会对实施方案进一步评审：</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（1）实施方案内容全面。</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（2）实施方案内容具体。</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（3）实施方案内容科学合理。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（4）实施方案内容针对性强。</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（5）实施方案内容可操作性强。</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优评分标准：满足以上五项要求的评价为优，得</w:t>
            </w:r>
            <w:r>
              <w:rPr>
                <w:rFonts w:hint="eastAsia" w:ascii="仿宋_GB2312" w:hAnsi="仿宋_GB2312" w:eastAsia="仿宋_GB2312" w:cs="仿宋_GB2312"/>
                <w:bCs/>
                <w:color w:val="auto"/>
                <w:sz w:val="24"/>
                <w:szCs w:val="24"/>
                <w:highlight w:val="none"/>
                <w:lang w:val="en-US" w:eastAsia="zh-CN"/>
              </w:rPr>
              <w:t>9</w:t>
            </w:r>
            <w:r>
              <w:rPr>
                <w:rFonts w:hint="eastAsia" w:ascii="仿宋_GB2312" w:hAnsi="仿宋_GB2312" w:eastAsia="仿宋_GB2312" w:cs="仿宋_GB2312"/>
                <w:bCs/>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良评分标准：满足以上四项要求的评价为良，得</w:t>
            </w:r>
            <w:r>
              <w:rPr>
                <w:rFonts w:hint="eastAsia" w:ascii="仿宋_GB2312" w:hAnsi="仿宋_GB2312" w:eastAsia="仿宋_GB2312" w:cs="仿宋_GB2312"/>
                <w:bCs/>
                <w:color w:val="auto"/>
                <w:sz w:val="24"/>
                <w:szCs w:val="24"/>
                <w:highlight w:val="none"/>
                <w:lang w:val="en-US" w:eastAsia="zh-CN"/>
              </w:rPr>
              <w:t>6</w:t>
            </w:r>
            <w:r>
              <w:rPr>
                <w:rFonts w:hint="eastAsia" w:ascii="仿宋_GB2312" w:hAnsi="仿宋_GB2312" w:eastAsia="仿宋_GB2312" w:cs="仿宋_GB2312"/>
                <w:bCs/>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中评分标准：满足以上三项要求的评价为中，得</w:t>
            </w:r>
            <w:r>
              <w:rPr>
                <w:rFonts w:hint="eastAsia" w:ascii="仿宋_GB2312" w:hAnsi="仿宋_GB2312" w:eastAsia="仿宋_GB2312" w:cs="仿宋_GB2312"/>
                <w:bCs/>
                <w:color w:val="auto"/>
                <w:sz w:val="24"/>
                <w:szCs w:val="24"/>
                <w:highlight w:val="none"/>
                <w:lang w:val="en-US" w:eastAsia="zh-CN"/>
              </w:rPr>
              <w:t>3</w:t>
            </w:r>
            <w:r>
              <w:rPr>
                <w:rFonts w:hint="eastAsia" w:ascii="仿宋_GB2312" w:hAnsi="仿宋_GB2312" w:eastAsia="仿宋_GB2312" w:cs="仿宋_GB2312"/>
                <w:bCs/>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sz w:val="24"/>
                <w:szCs w:val="24"/>
                <w:highlight w:val="none"/>
              </w:rPr>
              <w:t>差评分标准：上述情况之外的，评差不得分。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2" w:hRule="atLeast"/>
        </w:trPr>
        <w:tc>
          <w:tcPr>
            <w:tcW w:w="5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rPr>
            </w:pPr>
          </w:p>
        </w:tc>
        <w:tc>
          <w:tcPr>
            <w:tcW w:w="126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val="en-US" w:eastAsia="zh-CN"/>
              </w:rPr>
              <w:t>质量保障措施及方案（15分）</w:t>
            </w:r>
          </w:p>
        </w:tc>
        <w:tc>
          <w:tcPr>
            <w:tcW w:w="18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lang w:val="en" w:eastAsia="zh-CN"/>
              </w:rPr>
            </w:pPr>
            <w:r>
              <w:rPr>
                <w:rFonts w:hint="eastAsia" w:ascii="仿宋_GB2312" w:hAnsi="仿宋_GB2312" w:eastAsia="仿宋_GB2312" w:cs="仿宋_GB2312"/>
                <w:bCs/>
                <w:color w:val="auto"/>
                <w:kern w:val="0"/>
                <w:sz w:val="24"/>
                <w:szCs w:val="24"/>
              </w:rPr>
              <w:t>投标人需针对本项目相关的保障措施方案，内容包括但不限于：（1）项目人员管理措施；（2）详细项目质量管理措施。（3）阐述时间保障措施。</w:t>
            </w:r>
          </w:p>
        </w:tc>
        <w:tc>
          <w:tcPr>
            <w:tcW w:w="50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满足</w:t>
            </w:r>
            <w:r>
              <w:rPr>
                <w:rFonts w:hint="eastAsia" w:ascii="仿宋_GB2312" w:hAnsi="仿宋_GB2312" w:eastAsia="仿宋_GB2312" w:cs="仿宋_GB2312"/>
                <w:bCs/>
                <w:color w:val="auto"/>
                <w:kern w:val="0"/>
                <w:sz w:val="24"/>
                <w:szCs w:val="24"/>
                <w:lang w:eastAsia="zh-CN"/>
              </w:rPr>
              <w:t>质量保障措施及方案中</w:t>
            </w:r>
            <w:r>
              <w:rPr>
                <w:rFonts w:hint="eastAsia" w:ascii="仿宋_GB2312" w:hAnsi="仿宋_GB2312" w:eastAsia="仿宋_GB2312" w:cs="仿宋_GB2312"/>
                <w:bCs/>
                <w:color w:val="auto"/>
                <w:kern w:val="0"/>
                <w:sz w:val="24"/>
                <w:szCs w:val="24"/>
              </w:rPr>
              <w:t>任意一项内容</w:t>
            </w:r>
            <w:r>
              <w:rPr>
                <w:rFonts w:hint="eastAsia" w:ascii="仿宋_GB2312" w:hAnsi="仿宋_GB2312" w:eastAsia="仿宋_GB2312" w:cs="仿宋_GB2312"/>
                <w:bCs/>
                <w:color w:val="auto"/>
                <w:kern w:val="0"/>
                <w:sz w:val="24"/>
                <w:szCs w:val="24"/>
                <w:lang w:val="en-US" w:eastAsia="zh-CN"/>
              </w:rPr>
              <w:t>3</w:t>
            </w:r>
            <w:r>
              <w:rPr>
                <w:rFonts w:hint="eastAsia" w:ascii="仿宋_GB2312" w:hAnsi="仿宋_GB2312" w:eastAsia="仿宋_GB2312" w:cs="仿宋_GB2312"/>
                <w:bCs/>
                <w:color w:val="auto"/>
                <w:kern w:val="0"/>
                <w:sz w:val="24"/>
                <w:szCs w:val="24"/>
              </w:rPr>
              <w:t>分，最高</w:t>
            </w:r>
            <w:r>
              <w:rPr>
                <w:rFonts w:hint="eastAsia" w:ascii="仿宋_GB2312" w:hAnsi="仿宋_GB2312" w:eastAsia="仿宋_GB2312" w:cs="仿宋_GB2312"/>
                <w:bCs/>
                <w:color w:val="auto"/>
                <w:kern w:val="0"/>
                <w:sz w:val="24"/>
                <w:szCs w:val="24"/>
                <w:lang w:val="en-US" w:eastAsia="zh-CN"/>
              </w:rPr>
              <w:t>9</w:t>
            </w:r>
            <w:r>
              <w:rPr>
                <w:rFonts w:hint="eastAsia" w:ascii="仿宋_GB2312" w:hAnsi="仿宋_GB2312" w:eastAsia="仿宋_GB2312" w:cs="仿宋_GB2312"/>
                <w:bCs/>
                <w:color w:val="auto"/>
                <w:kern w:val="0"/>
                <w:sz w:val="24"/>
                <w:szCs w:val="24"/>
              </w:rPr>
              <w:t>分。</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评分标准：</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在此基础上，由评标委员会对实施方案进一步评审：</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（1）质量保障措施及方案内容全面。</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（2）质量保障措施及方案内容具体。</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（3）质量保障措施及方案内容科学合理。</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（4）质量保障措施及方案内容针对性强。</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（5）质量保障措施及方案内容可操作性强。</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优评分标准：满足以上五项要求的评价为优，得</w:t>
            </w:r>
            <w:r>
              <w:rPr>
                <w:rFonts w:hint="eastAsia" w:ascii="仿宋_GB2312" w:hAnsi="仿宋_GB2312" w:eastAsia="仿宋_GB2312" w:cs="仿宋_GB2312"/>
                <w:bCs/>
                <w:color w:val="auto"/>
                <w:kern w:val="0"/>
                <w:sz w:val="24"/>
                <w:szCs w:val="24"/>
                <w:lang w:val="en-US" w:eastAsia="zh-CN"/>
              </w:rPr>
              <w:t>6</w:t>
            </w:r>
            <w:r>
              <w:rPr>
                <w:rFonts w:hint="eastAsia" w:ascii="仿宋_GB2312" w:hAnsi="仿宋_GB2312" w:eastAsia="仿宋_GB2312" w:cs="仿宋_GB2312"/>
                <w:bCs/>
                <w:color w:val="auto"/>
                <w:kern w:val="0"/>
                <w:sz w:val="24"/>
                <w:szCs w:val="24"/>
              </w:rPr>
              <w:t>分。</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良评分标准：满足以上四项要求的评价为良，得</w:t>
            </w:r>
            <w:r>
              <w:rPr>
                <w:rFonts w:hint="eastAsia" w:ascii="仿宋_GB2312" w:hAnsi="仿宋_GB2312" w:eastAsia="仿宋_GB2312" w:cs="仿宋_GB2312"/>
                <w:bCs/>
                <w:color w:val="auto"/>
                <w:kern w:val="0"/>
                <w:sz w:val="24"/>
                <w:szCs w:val="24"/>
                <w:lang w:val="en-US" w:eastAsia="zh-CN"/>
              </w:rPr>
              <w:t>4</w:t>
            </w:r>
            <w:r>
              <w:rPr>
                <w:rFonts w:hint="eastAsia" w:ascii="仿宋_GB2312" w:hAnsi="仿宋_GB2312" w:eastAsia="仿宋_GB2312" w:cs="仿宋_GB2312"/>
                <w:bCs/>
                <w:color w:val="auto"/>
                <w:kern w:val="0"/>
                <w:sz w:val="24"/>
                <w:szCs w:val="24"/>
              </w:rPr>
              <w:t>分。</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中评分标准：满足以上三项要求的评价为中，得</w:t>
            </w:r>
            <w:r>
              <w:rPr>
                <w:rFonts w:hint="eastAsia" w:ascii="仿宋_GB2312" w:hAnsi="仿宋_GB2312" w:eastAsia="仿宋_GB2312" w:cs="仿宋_GB2312"/>
                <w:bCs/>
                <w:color w:val="auto"/>
                <w:kern w:val="0"/>
                <w:sz w:val="24"/>
                <w:szCs w:val="24"/>
                <w:lang w:val="en-US" w:eastAsia="zh-CN"/>
              </w:rPr>
              <w:t>2</w:t>
            </w:r>
            <w:r>
              <w:rPr>
                <w:rFonts w:hint="eastAsia" w:ascii="仿宋_GB2312" w:hAnsi="仿宋_GB2312" w:eastAsia="仿宋_GB2312" w:cs="仿宋_GB2312"/>
                <w:bCs/>
                <w:color w:val="auto"/>
                <w:kern w:val="0"/>
                <w:sz w:val="24"/>
                <w:szCs w:val="24"/>
              </w:rPr>
              <w:t>分。</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差评分标准：上述情况之外的，评差不得分。</w:t>
            </w:r>
          </w:p>
        </w:tc>
      </w:tr>
    </w:tbl>
    <w:p>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.报价</w:t>
      </w:r>
    </w:p>
    <w:p>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以本次</w:t>
      </w:r>
      <w:r>
        <w:rPr>
          <w:rFonts w:hint="eastAsia" w:ascii="仿宋_GB2312" w:hAnsi="仿宋" w:eastAsia="仿宋_GB2312" w:cs="仿宋_GB2312"/>
          <w:color w:val="auto"/>
          <w:sz w:val="32"/>
          <w:szCs w:val="32"/>
        </w:rPr>
        <w:t>报价或投标</w:t>
      </w:r>
      <w:r>
        <w:rPr>
          <w:rFonts w:hint="eastAsia" w:ascii="仿宋_GB2312" w:eastAsia="仿宋_GB2312"/>
          <w:color w:val="auto"/>
          <w:sz w:val="32"/>
          <w:szCs w:val="32"/>
        </w:rPr>
        <w:t>人所报的有效报价中的最低价作为基准报价。投标人报价得分=（基准价/投标人报价）*</w:t>
      </w:r>
      <w:r>
        <w:rPr>
          <w:rFonts w:hint="eastAsia" w:ascii="仿宋_GB2312" w:eastAsia="仿宋_GB2312"/>
          <w:color w:val="auto"/>
          <w:sz w:val="32"/>
          <w:szCs w:val="32"/>
          <w:lang w:val="en-US" w:eastAsia="zh-CN"/>
        </w:rPr>
        <w:t>30</w:t>
      </w:r>
      <w:r>
        <w:rPr>
          <w:rFonts w:hint="eastAsia" w:ascii="仿宋_GB2312" w:eastAsia="仿宋_GB2312"/>
          <w:color w:val="auto"/>
          <w:sz w:val="32"/>
          <w:szCs w:val="32"/>
        </w:rPr>
        <w:t>分。</w:t>
      </w:r>
    </w:p>
    <w:p>
      <w:pPr>
        <w:keepNext w:val="0"/>
        <w:keepLines w:val="0"/>
        <w:pageBreakBefore w:val="0"/>
        <w:kinsoku/>
        <w:wordWrap/>
        <w:overflowPunct/>
        <w:topLinePunct w:val="0"/>
        <w:bidi w:val="0"/>
        <w:spacing w:line="560" w:lineRule="exact"/>
        <w:rPr>
          <w:rFonts w:hint="eastAsia" w:ascii="楷体" w:hAnsi="楷体" w:eastAsia="楷体" w:cs="楷体"/>
          <w:color w:val="auto"/>
          <w:sz w:val="32"/>
          <w:szCs w:val="32"/>
        </w:rPr>
      </w:pPr>
      <w:r>
        <w:rPr>
          <w:rFonts w:hint="eastAsia"/>
          <w:color w:val="auto"/>
        </w:rPr>
        <w:t xml:space="preserve">      </w:t>
      </w:r>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）供应商提供资料清单</w:t>
      </w:r>
    </w:p>
    <w:p>
      <w:pPr>
        <w:keepNext w:val="0"/>
        <w:keepLines w:val="0"/>
        <w:pageBreakBefore w:val="0"/>
        <w:kinsoku/>
        <w:wordWrap/>
        <w:overflowPunct/>
        <w:topLinePunct w:val="0"/>
        <w:bidi w:val="0"/>
        <w:spacing w:line="560" w:lineRule="exact"/>
        <w:ind w:firstLine="640" w:firstLineChars="200"/>
        <w:rPr>
          <w:rFonts w:hint="eastAsia" w:ascii="仿宋_GB2312" w:hAnsi="Calibri" w:eastAsia="仿宋_GB2312"/>
          <w:color w:val="auto"/>
          <w:sz w:val="32"/>
          <w:szCs w:val="32"/>
        </w:rPr>
      </w:pPr>
      <w:r>
        <w:rPr>
          <w:rFonts w:hint="eastAsia" w:ascii="仿宋_GB2312" w:hAnsi="Calibri" w:eastAsia="仿宋_GB2312"/>
          <w:color w:val="auto"/>
          <w:sz w:val="32"/>
          <w:szCs w:val="32"/>
        </w:rPr>
        <w:t>1.营业执照、事业</w:t>
      </w:r>
      <w:r>
        <w:rPr>
          <w:rFonts w:hint="eastAsia" w:ascii="仿宋_GB2312" w:hAnsi="Calibri" w:eastAsia="仿宋_GB2312"/>
          <w:color w:val="auto"/>
          <w:sz w:val="32"/>
          <w:szCs w:val="32"/>
          <w:lang w:val="en-US" w:eastAsia="zh-CN"/>
        </w:rPr>
        <w:t>单位</w:t>
      </w:r>
      <w:r>
        <w:rPr>
          <w:rFonts w:hint="eastAsia" w:ascii="仿宋_GB2312" w:hAnsi="Calibri" w:eastAsia="仿宋_GB2312"/>
          <w:color w:val="auto"/>
          <w:sz w:val="32"/>
          <w:szCs w:val="32"/>
        </w:rPr>
        <w:t>法人证书、社会团体法人登记证书（加盖公章）；</w:t>
      </w:r>
    </w:p>
    <w:p>
      <w:pPr>
        <w:keepNext w:val="0"/>
        <w:keepLines w:val="0"/>
        <w:pageBreakBefore w:val="0"/>
        <w:kinsoku/>
        <w:wordWrap/>
        <w:overflowPunct/>
        <w:topLinePunct w:val="0"/>
        <w:bidi w:val="0"/>
        <w:spacing w:line="560" w:lineRule="exact"/>
        <w:ind w:firstLine="640" w:firstLineChars="200"/>
        <w:rPr>
          <w:rFonts w:hint="eastAsia" w:ascii="仿宋_GB2312" w:hAnsi="Calibri" w:eastAsia="仿宋_GB2312"/>
          <w:color w:val="auto"/>
          <w:sz w:val="32"/>
          <w:szCs w:val="32"/>
        </w:rPr>
      </w:pPr>
      <w:r>
        <w:rPr>
          <w:rFonts w:hint="eastAsia" w:ascii="仿宋_GB2312" w:hAnsi="Calibri" w:eastAsia="仿宋_GB2312"/>
          <w:color w:val="auto"/>
          <w:sz w:val="32"/>
          <w:szCs w:val="32"/>
        </w:rPr>
        <w:t>2.法定代表人身份证复印件（加盖公章）；</w:t>
      </w:r>
    </w:p>
    <w:p>
      <w:pPr>
        <w:keepNext w:val="0"/>
        <w:keepLines w:val="0"/>
        <w:pageBreakBefore w:val="0"/>
        <w:kinsoku/>
        <w:wordWrap/>
        <w:overflowPunct/>
        <w:topLinePunct w:val="0"/>
        <w:bidi w:val="0"/>
        <w:spacing w:line="560" w:lineRule="exact"/>
        <w:ind w:firstLine="640" w:firstLineChars="200"/>
        <w:rPr>
          <w:rFonts w:hint="eastAsia" w:ascii="仿宋_GB2312" w:hAnsi="Calibri" w:eastAsia="仿宋_GB2312"/>
          <w:color w:val="auto"/>
          <w:sz w:val="32"/>
          <w:szCs w:val="32"/>
        </w:rPr>
      </w:pPr>
      <w:r>
        <w:rPr>
          <w:rFonts w:hint="eastAsia" w:ascii="仿宋_GB2312" w:hAnsi="Calibri" w:eastAsia="仿宋_GB2312"/>
          <w:color w:val="auto"/>
          <w:sz w:val="32"/>
          <w:szCs w:val="32"/>
        </w:rPr>
        <w:t>3.项目报价清单（加盖公章）；</w:t>
      </w:r>
    </w:p>
    <w:p>
      <w:pPr>
        <w:keepNext w:val="0"/>
        <w:keepLines w:val="0"/>
        <w:pageBreakBefore w:val="0"/>
        <w:kinsoku/>
        <w:wordWrap/>
        <w:overflowPunct/>
        <w:topLinePunct w:val="0"/>
        <w:bidi w:val="0"/>
        <w:spacing w:line="560" w:lineRule="exact"/>
        <w:ind w:firstLine="640" w:firstLineChars="200"/>
        <w:rPr>
          <w:rFonts w:hint="eastAsia" w:ascii="仿宋_GB2312" w:hAnsi="Calibri" w:eastAsia="仿宋_GB2312"/>
          <w:color w:val="auto"/>
          <w:sz w:val="32"/>
          <w:szCs w:val="32"/>
        </w:rPr>
      </w:pPr>
      <w:r>
        <w:rPr>
          <w:rFonts w:hint="eastAsia" w:ascii="仿宋_GB2312" w:hAnsi="Calibri" w:eastAsia="仿宋_GB2312"/>
          <w:color w:val="auto"/>
          <w:sz w:val="32"/>
          <w:szCs w:val="32"/>
        </w:rPr>
        <w:t>4.评分规则所需资料（同类业绩证明、方案等）。</w:t>
      </w:r>
    </w:p>
    <w:p>
      <w:pPr>
        <w:keepNext w:val="0"/>
        <w:keepLines w:val="0"/>
        <w:pageBreakBefore w:val="0"/>
        <w:kinsoku/>
        <w:wordWrap/>
        <w:overflowPunct/>
        <w:topLinePunct w:val="0"/>
        <w:bidi w:val="0"/>
        <w:spacing w:line="560" w:lineRule="exact"/>
        <w:ind w:firstLine="642" w:firstLineChars="200"/>
        <w:rPr>
          <w:rFonts w:hint="eastAsia" w:ascii="仿宋_GB2312" w:hAnsi="Calibri" w:eastAsia="仿宋_GB2312"/>
          <w:color w:val="auto"/>
          <w:sz w:val="32"/>
          <w:szCs w:val="32"/>
          <w:highlight w:val="yellow"/>
        </w:rPr>
      </w:pPr>
      <w:r>
        <w:rPr>
          <w:rFonts w:hint="eastAsia" w:ascii="仿宋_GB2312" w:hAnsi="Calibri" w:eastAsia="仿宋_GB2312"/>
          <w:b/>
          <w:bCs/>
          <w:color w:val="auto"/>
          <w:sz w:val="32"/>
          <w:szCs w:val="32"/>
        </w:rPr>
        <w:t>注：</w:t>
      </w:r>
      <w:r>
        <w:rPr>
          <w:rFonts w:hint="eastAsia" w:ascii="仿宋_GB2312" w:hAnsi="Calibri" w:eastAsia="仿宋_GB2312"/>
          <w:color w:val="auto"/>
          <w:sz w:val="32"/>
          <w:szCs w:val="32"/>
        </w:rPr>
        <w:t>供应商需以邮寄方式提供7份密封纸质版投标资料至本单位，并在封面备注“</w:t>
      </w:r>
      <w:r>
        <w:rPr>
          <w:rFonts w:hint="eastAsia" w:ascii="仿宋_GB2312" w:hAnsi="Calibri" w:eastAsia="仿宋_GB2312"/>
          <w:color w:val="auto"/>
          <w:sz w:val="32"/>
          <w:szCs w:val="32"/>
          <w:lang w:val="en-US" w:eastAsia="zh-CN"/>
        </w:rPr>
        <w:t>202</w:t>
      </w:r>
      <w:r>
        <w:rPr>
          <w:rFonts w:hint="default" w:ascii="仿宋_GB2312" w:hAnsi="Calibri" w:eastAsia="仿宋_GB2312"/>
          <w:color w:val="auto"/>
          <w:sz w:val="32"/>
          <w:szCs w:val="32"/>
          <w:lang w:val="en-US" w:eastAsia="zh-CN"/>
        </w:rPr>
        <w:t>5</w:t>
      </w:r>
      <w:r>
        <w:rPr>
          <w:rFonts w:hint="eastAsia" w:ascii="仿宋_GB2312" w:hAnsi="Calibri" w:eastAsia="仿宋_GB2312"/>
          <w:color w:val="auto"/>
          <w:sz w:val="32"/>
          <w:szCs w:val="32"/>
          <w:lang w:val="en-US" w:eastAsia="zh-CN"/>
        </w:rPr>
        <w:t>年龙华区文旅形象推广项目</w:t>
      </w:r>
      <w:r>
        <w:rPr>
          <w:rFonts w:hint="eastAsia" w:ascii="仿宋_GB2312" w:hAnsi="Calibri" w:eastAsia="仿宋_GB2312"/>
          <w:color w:val="auto"/>
          <w:sz w:val="32"/>
          <w:szCs w:val="32"/>
        </w:rPr>
        <w:t>+公司全称+日期+联系人+联系方式”。</w:t>
      </w:r>
    </w:p>
    <w:p>
      <w:pPr>
        <w:keepNext w:val="0"/>
        <w:keepLines w:val="0"/>
        <w:pageBreakBefore w:val="0"/>
        <w:kinsoku/>
        <w:wordWrap/>
        <w:overflowPunct/>
        <w:topLinePunct w:val="0"/>
        <w:bidi w:val="0"/>
        <w:spacing w:line="560" w:lineRule="exact"/>
        <w:ind w:firstLine="640" w:firstLineChars="200"/>
        <w:rPr>
          <w:rFonts w:hint="eastAsia" w:ascii="仿宋_GB2312" w:hAnsi="Calibri" w:eastAsia="仿宋_GB2312"/>
          <w:color w:val="auto"/>
          <w:sz w:val="32"/>
          <w:szCs w:val="32"/>
        </w:rPr>
      </w:pPr>
      <w:r>
        <w:rPr>
          <w:rFonts w:hint="eastAsia" w:ascii="仿宋_GB2312" w:hAnsi="Calibri" w:eastAsia="仿宋_GB2312"/>
          <w:color w:val="auto"/>
          <w:sz w:val="32"/>
          <w:szCs w:val="32"/>
        </w:rPr>
        <w:t>地址：深圳市龙华区维雅德大厦富康行政办公区</w:t>
      </w:r>
    </w:p>
    <w:p>
      <w:pPr>
        <w:keepNext w:val="0"/>
        <w:keepLines w:val="0"/>
        <w:pageBreakBefore w:val="0"/>
        <w:kinsoku/>
        <w:wordWrap/>
        <w:overflowPunct/>
        <w:topLinePunct w:val="0"/>
        <w:bidi w:val="0"/>
        <w:spacing w:line="560" w:lineRule="exact"/>
        <w:ind w:firstLine="640" w:firstLineChars="200"/>
        <w:rPr>
          <w:rFonts w:hint="eastAsia" w:ascii="仿宋_GB2312" w:hAnsi="Calibri" w:eastAsia="仿宋_GB2312"/>
          <w:color w:val="auto"/>
          <w:sz w:val="32"/>
          <w:szCs w:val="32"/>
          <w:lang w:eastAsia="zh-CN"/>
        </w:rPr>
      </w:pPr>
      <w:r>
        <w:rPr>
          <w:rFonts w:hint="eastAsia" w:ascii="仿宋_GB2312" w:hAnsi="Calibri" w:eastAsia="仿宋_GB2312"/>
          <w:color w:val="auto"/>
          <w:sz w:val="32"/>
          <w:szCs w:val="32"/>
        </w:rPr>
        <w:t>收件人：</w:t>
      </w:r>
      <w:r>
        <w:rPr>
          <w:rFonts w:hint="eastAsia" w:ascii="仿宋_GB2312" w:hAnsi="Calibri" w:eastAsia="仿宋_GB2312"/>
          <w:color w:val="auto"/>
          <w:sz w:val="32"/>
          <w:szCs w:val="32"/>
          <w:lang w:eastAsia="zh-CN"/>
        </w:rPr>
        <w:t>吴先生</w:t>
      </w:r>
    </w:p>
    <w:p>
      <w:pPr>
        <w:keepNext w:val="0"/>
        <w:keepLines w:val="0"/>
        <w:pageBreakBefore w:val="0"/>
        <w:kinsoku/>
        <w:wordWrap/>
        <w:overflowPunct/>
        <w:topLinePunct w:val="0"/>
        <w:bidi w:val="0"/>
        <w:spacing w:line="560" w:lineRule="exact"/>
        <w:ind w:firstLine="640" w:firstLineChars="200"/>
        <w:rPr>
          <w:rFonts w:hint="default" w:ascii="仿宋_GB2312" w:hAnsi="Calibri" w:eastAsia="仿宋_GB2312"/>
          <w:color w:val="auto"/>
          <w:sz w:val="32"/>
          <w:szCs w:val="32"/>
          <w:lang w:val="en-US" w:eastAsia="zh-CN"/>
        </w:rPr>
      </w:pPr>
      <w:r>
        <w:rPr>
          <w:rFonts w:hint="eastAsia" w:ascii="仿宋_GB2312" w:hAnsi="Calibri" w:eastAsia="仿宋_GB2312"/>
          <w:color w:val="auto"/>
          <w:sz w:val="32"/>
          <w:szCs w:val="32"/>
          <w:lang w:eastAsia="zh-CN"/>
        </w:rPr>
        <w:t>联系</w:t>
      </w:r>
      <w:r>
        <w:rPr>
          <w:rFonts w:hint="eastAsia" w:ascii="仿宋_GB2312" w:hAnsi="Calibri" w:eastAsia="仿宋_GB2312"/>
          <w:color w:val="auto"/>
          <w:sz w:val="32"/>
          <w:szCs w:val="32"/>
        </w:rPr>
        <w:t>电话：</w:t>
      </w:r>
      <w:r>
        <w:rPr>
          <w:rFonts w:hint="eastAsia" w:ascii="仿宋_GB2312" w:hAnsi="Calibri" w:eastAsia="仿宋_GB2312"/>
          <w:color w:val="auto"/>
          <w:sz w:val="32"/>
          <w:szCs w:val="32"/>
          <w:lang w:val="en-US" w:eastAsia="zh-CN"/>
        </w:rPr>
        <w:t>0755-23338140</w:t>
      </w: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82"/>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1B3B8F"/>
    <w:multiLevelType w:val="singleLevel"/>
    <w:tmpl w:val="0B1B3B8F"/>
    <w:lvl w:ilvl="0" w:tentative="0">
      <w:start w:val="1"/>
      <w:numFmt w:val="chineseCounting"/>
      <w:suff w:val="nothing"/>
      <w:lvlText w:val="（%1）"/>
      <w:lvlJc w:val="left"/>
      <w:rPr>
        <w:rFonts w:hint="eastAsia"/>
      </w:rPr>
    </w:lvl>
  </w:abstractNum>
  <w:abstractNum w:abstractNumId="1">
    <w:nsid w:val="3E0ECA92"/>
    <w:multiLevelType w:val="singleLevel"/>
    <w:tmpl w:val="3E0ECA92"/>
    <w:lvl w:ilvl="0" w:tentative="0">
      <w:start w:val="1"/>
      <w:numFmt w:val="chineseCounting"/>
      <w:suff w:val="nothing"/>
      <w:lvlText w:val="%1、"/>
      <w:lvlJc w:val="left"/>
      <w:rPr>
        <w:rFonts w:hint="eastAsia" w:ascii="黑体" w:hAnsi="黑体" w:eastAsia="黑体" w:cs="黑体"/>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yZmE4NjA3YTA4MTczMThkZDIyMTRjNDI0MWMwYTEifQ=="/>
  </w:docVars>
  <w:rsids>
    <w:rsidRoot w:val="6A902462"/>
    <w:rsid w:val="03163E1D"/>
    <w:rsid w:val="062F5BCA"/>
    <w:rsid w:val="06DF3687"/>
    <w:rsid w:val="0D090175"/>
    <w:rsid w:val="14AA3E63"/>
    <w:rsid w:val="14B24AC5"/>
    <w:rsid w:val="160B7597"/>
    <w:rsid w:val="19596DA8"/>
    <w:rsid w:val="1AA107BB"/>
    <w:rsid w:val="1C2D2070"/>
    <w:rsid w:val="203329C9"/>
    <w:rsid w:val="234F161F"/>
    <w:rsid w:val="239F7653"/>
    <w:rsid w:val="24715220"/>
    <w:rsid w:val="24F92139"/>
    <w:rsid w:val="2D7F3DEB"/>
    <w:rsid w:val="30475B4A"/>
    <w:rsid w:val="3829130F"/>
    <w:rsid w:val="3F5F251B"/>
    <w:rsid w:val="43813731"/>
    <w:rsid w:val="46143D1C"/>
    <w:rsid w:val="48223734"/>
    <w:rsid w:val="491F5084"/>
    <w:rsid w:val="49579B44"/>
    <w:rsid w:val="4C0B4CD8"/>
    <w:rsid w:val="4DFBE690"/>
    <w:rsid w:val="523429E2"/>
    <w:rsid w:val="54FD8E29"/>
    <w:rsid w:val="5CFFD942"/>
    <w:rsid w:val="5DD12DA4"/>
    <w:rsid w:val="658E6848"/>
    <w:rsid w:val="671373A4"/>
    <w:rsid w:val="691D98E3"/>
    <w:rsid w:val="6A0B3169"/>
    <w:rsid w:val="6A902462"/>
    <w:rsid w:val="6EEBD87A"/>
    <w:rsid w:val="6F9BADD5"/>
    <w:rsid w:val="728F68A9"/>
    <w:rsid w:val="74FBAB7D"/>
    <w:rsid w:val="76DC3070"/>
    <w:rsid w:val="77187545"/>
    <w:rsid w:val="77EB9DCB"/>
    <w:rsid w:val="77ED2C21"/>
    <w:rsid w:val="78565301"/>
    <w:rsid w:val="78C6553F"/>
    <w:rsid w:val="79F75FCC"/>
    <w:rsid w:val="7BFB85BF"/>
    <w:rsid w:val="7CFB3F8D"/>
    <w:rsid w:val="7D7818DB"/>
    <w:rsid w:val="7F7FAFB8"/>
    <w:rsid w:val="7FBD1546"/>
    <w:rsid w:val="7FCECBCF"/>
    <w:rsid w:val="7FDF8D7E"/>
    <w:rsid w:val="7FFCB44A"/>
    <w:rsid w:val="9EDE2F2C"/>
    <w:rsid w:val="BFFAF221"/>
    <w:rsid w:val="D3F9E3A3"/>
    <w:rsid w:val="DBE5CC46"/>
    <w:rsid w:val="EFEB37D6"/>
    <w:rsid w:val="EFFEC079"/>
    <w:rsid w:val="F3FFE72E"/>
    <w:rsid w:val="FFF746D4"/>
    <w:rsid w:val="FFFBD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_Style 3"/>
    <w:basedOn w:val="1"/>
    <w:next w:val="1"/>
    <w:qFormat/>
    <w:uiPriority w:val="99"/>
    <w:pPr>
      <w:spacing w:line="360" w:lineRule="auto"/>
      <w:ind w:firstLine="420" w:firstLineChars="200"/>
    </w:pPr>
    <w:rPr>
      <w:sz w:val="24"/>
    </w:rPr>
  </w:style>
  <w:style w:type="paragraph" w:styleId="3">
    <w:name w:val="index 8"/>
    <w:basedOn w:val="1"/>
    <w:next w:val="1"/>
    <w:qFormat/>
    <w:uiPriority w:val="0"/>
    <w:pPr>
      <w:ind w:left="2940"/>
    </w:pPr>
    <w:rPr>
      <w:rFonts w:ascii="Times New Roman" w:hAnsi="Times New Roman" w:eastAsia="宋体" w:cs="Times New Roman"/>
    </w:rPr>
  </w:style>
  <w:style w:type="paragraph" w:styleId="4">
    <w:name w:val="Normal Indent"/>
    <w:basedOn w:val="1"/>
    <w:next w:val="5"/>
    <w:unhideWhenUsed/>
    <w:qFormat/>
    <w:uiPriority w:val="99"/>
    <w:pPr>
      <w:ind w:firstLine="420" w:firstLineChars="200"/>
    </w:pPr>
    <w:rPr>
      <w:rFonts w:ascii="Calibri" w:hAnsi="Calibri" w:eastAsia="宋体" w:cs="Times New Roman"/>
    </w:rPr>
  </w:style>
  <w:style w:type="paragraph" w:styleId="5">
    <w:name w:val="Body Text"/>
    <w:basedOn w:val="1"/>
    <w:qFormat/>
    <w:uiPriority w:val="0"/>
    <w:pPr>
      <w:spacing w:afterLines="0" w:afterAutospacing="0"/>
    </w:pPr>
  </w:style>
  <w:style w:type="paragraph" w:styleId="6">
    <w:name w:val="Block Text"/>
    <w:basedOn w:val="1"/>
    <w:qFormat/>
    <w:uiPriority w:val="0"/>
    <w:pPr>
      <w:tabs>
        <w:tab w:val="left" w:pos="426"/>
      </w:tabs>
      <w:spacing w:after="120"/>
      <w:ind w:left="1440" w:leftChars="700" w:right="1440" w:rightChars="700"/>
    </w:pPr>
  </w:style>
  <w:style w:type="paragraph" w:styleId="7">
    <w:name w:val="Plain Text"/>
    <w:basedOn w:val="1"/>
    <w:next w:val="3"/>
    <w:qFormat/>
    <w:uiPriority w:val="0"/>
    <w:rPr>
      <w:rFonts w:ascii="宋体" w:cs="Courier New"/>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Title"/>
    <w:basedOn w:val="1"/>
    <w:next w:val="1"/>
    <w:qFormat/>
    <w:uiPriority w:val="0"/>
    <w:pPr>
      <w:spacing w:before="240" w:after="60"/>
      <w:jc w:val="center"/>
      <w:outlineLvl w:val="0"/>
    </w:pPr>
    <w:rPr>
      <w:rFonts w:ascii="Arial" w:hAnsi="Arial" w:eastAsia="宋体" w:cs="Times New Roman"/>
      <w:b/>
      <w:sz w:val="32"/>
    </w:rPr>
  </w:style>
  <w:style w:type="paragraph" w:styleId="10">
    <w:name w:val="Body Text First Indent"/>
    <w:basedOn w:val="5"/>
    <w:qFormat/>
    <w:uiPriority w:val="0"/>
    <w:pPr>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USE 1"/>
    <w:basedOn w:val="1"/>
    <w:qFormat/>
    <w:uiPriority w:val="0"/>
    <w:pPr>
      <w:spacing w:line="200" w:lineRule="atLeast"/>
      <w:jc w:val="left"/>
    </w:pPr>
    <w:rPr>
      <w:rFonts w:ascii="宋体" w:hAnsi="宋体"/>
      <w:b/>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2488</Words>
  <Characters>2539</Characters>
  <Lines>0</Lines>
  <Paragraphs>0</Paragraphs>
  <TotalTime>13</TotalTime>
  <ScaleCrop>false</ScaleCrop>
  <LinksUpToDate>false</LinksUpToDate>
  <CharactersWithSpaces>2550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2021-12-19T16:49:00Z</dcterms:created>
  <dc:creator>陈秋燕</dc:creator>
  <cp:lastModifiedBy>lxy</cp:lastModifiedBy>
  <cp:lastPrinted>2022-12-03T03:33:00Z</cp:lastPrinted>
  <dcterms:modified xsi:type="dcterms:W3CDTF">2025-03-10T16:44:09Z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A8EC11CC041616400C0F8E6779503339</vt:lpwstr>
  </property>
  <property fmtid="{D5CDD505-2E9C-101B-9397-08002B2CF9AE}" pid="4" name="KSOTemplateDocerSaveRecord">
    <vt:lpwstr>eyJoZGlkIjoiYWRlZmI0ZDQwMTRhNTQ1MTE0YTEzM2RhMDYyODA4MjAiLCJ1c2VySWQiOiI0MTgxMDY2NzkifQ==</vt:lpwstr>
  </property>
</Properties>
</file>