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23" w:rightChars="11" w:hanging="7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龙华区工业和信息化局关于委托专业机构协助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23" w:rightChars="11" w:hanging="7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开展2025年对口帮扶工作服务项目采购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23" w:rightChars="11" w:hanging="7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3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一、项目目的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持续推进我区东西部协作、省内帮扶和援疆援藏等对口帮扶工作，促进对口帮扶地区巩固拓展脱贫攻坚成果同乡村振兴有效衔接，全面推进乡村振兴，做好我区赴汕头市潮阳区、河源市紫金县、广西罗城、东兰、凤山、新疆、西藏、安远等地区帮扶调研、对接、指导检查等工作，</w:t>
      </w:r>
      <w:r>
        <w:rPr>
          <w:rFonts w:hint="eastAsia" w:ascii="仿宋_GB2312" w:eastAsia="仿宋_GB2312"/>
          <w:sz w:val="32"/>
          <w:szCs w:val="32"/>
          <w:lang w:eastAsia="zh-CN"/>
        </w:rPr>
        <w:t>我科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通过公开征集方式、采取综合评分法选取专业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服务机构，协助处理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赴对口帮扶地区开展对口帮扶工作中涉及的住宿、交通、伙</w:t>
      </w:r>
      <w:r>
        <w:rPr>
          <w:rStyle w:val="11"/>
          <w:rFonts w:hint="eastAsia" w:ascii="仿宋_GB2312" w:hAnsi="仿宋_GB2312" w:eastAsia="仿宋_GB2312" w:cs="仿宋_GB2312"/>
          <w:i w:val="0"/>
          <w:iCs/>
          <w:color w:val="auto"/>
          <w:kern w:val="2"/>
          <w:sz w:val="32"/>
          <w:szCs w:val="32"/>
          <w:lang w:val="en-US" w:eastAsia="zh-CN"/>
        </w:rPr>
        <w:t>食等差旅事项。</w:t>
      </w:r>
    </w:p>
    <w:p>
      <w:pPr>
        <w:pStyle w:val="4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420" w:leftChars="200" w:right="1470" w:rightChars="700"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二、项目形式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-92" w:rightChars="-44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由服务机构协助处理赴对口帮扶地区开展对口帮扶工作涉及住宿、交通、伙食等</w:t>
      </w:r>
      <w:r>
        <w:rPr>
          <w:rStyle w:val="11"/>
          <w:rFonts w:hint="eastAsia" w:ascii="仿宋_GB2312" w:hAnsi="仿宋_GB2312" w:eastAsia="仿宋_GB2312" w:cs="仿宋_GB2312"/>
          <w:i w:val="0"/>
          <w:iCs/>
          <w:color w:val="auto"/>
          <w:kern w:val="2"/>
          <w:sz w:val="32"/>
          <w:szCs w:val="32"/>
          <w:lang w:val="en-US" w:eastAsia="zh-CN"/>
        </w:rPr>
        <w:t>差旅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事项。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Chars="200" w:right="1470" w:rightChars="70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三、时间安排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1470" w:rightChars="70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自合同签订之日起，为期1年。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Chars="200" w:right="1470" w:rightChars="70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内容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及要求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服务内容：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高铁票订购；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6" w:leftChars="0" w:right="23" w:rightChars="11" w:firstLine="630" w:firstLineChars="197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2、安排人员餐饮住宿；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6" w:leftChars="0" w:right="23" w:rightChars="11" w:firstLine="630" w:firstLineChars="197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3、安排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帮扶地区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市内交通：中巴、商务车、越野车等；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6" w:leftChars="0" w:right="23" w:rightChars="11" w:firstLine="630" w:firstLineChars="197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4、购买出行人员保险；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6" w:leftChars="0" w:right="23" w:rightChars="11" w:firstLine="630" w:firstLineChars="197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5、购买出行物资：饮用水、应急药品、应急食品、应急物资等;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6、根据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赴对口帮扶地区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调研所需的其他协助事项。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明黒" w:eastAsia="仿宋_GB2312" w:cs="明黒"/>
          <w:kern w:val="2"/>
          <w:sz w:val="32"/>
          <w:szCs w:val="32"/>
          <w:highlight w:val="none"/>
          <w:lang w:val="en-US" w:eastAsia="zh-CN" w:bidi="en-US"/>
        </w:rPr>
        <w:t>验收要求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6" w:leftChars="0" w:right="23" w:rightChars="11" w:firstLine="630" w:firstLineChars="197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1、提供总结报告；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6" w:leftChars="0" w:right="23" w:rightChars="11" w:firstLine="630" w:firstLineChars="197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2、每次据实结算提供相应的发票；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五、报价要求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（一）伙食费（餐费）每人每天不超100元。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二）广西罗城、东兰、凤山县住宿费每人每天不超330元，紫金、潮阳住宿费每人每天不超400元，西藏、新疆住宿费每人每天不超300元；西藏旺季（6-9月）住宿费上限为每人每天不超350元；赣州市安远县住宿费每人每天不超350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三）机票费、高铁票费不需报价，据实结算；需在政府采购机票管理网站购买经济舱机票，如购买在市场上公务机票销售渠道外低于政府采购机票票价的，必须保留出行日期机票市场价格截图等书面材料，证明低于购票时点的政府采购票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（四）其他以服务内容单价报价。本服务项目总预算不超48万元。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  <w:highlight w:val="none"/>
          <w:lang w:eastAsia="zh-CN"/>
        </w:rPr>
        <w:t>六、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highlight w:val="none"/>
        </w:rPr>
        <w:t>评分要求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eastAsia="zh-CN"/>
        </w:rPr>
        <w:t>（一）评分规则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采取综合评分标准，平均分最高的报价单位或投标人为本项目中标单位或中标人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" w:leftChars="0" w:firstLine="640" w:firstLineChars="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</w:rPr>
        <w:t>评分权重</w:t>
      </w:r>
    </w:p>
    <w:tbl>
      <w:tblPr>
        <w:tblStyle w:val="8"/>
        <w:tblW w:w="8714" w:type="dxa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883"/>
        <w:gridCol w:w="1724"/>
        <w:gridCol w:w="1724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评分内容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商务能力</w:t>
            </w:r>
          </w:p>
        </w:tc>
        <w:tc>
          <w:tcPr>
            <w:tcW w:w="1724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技术能力</w:t>
            </w:r>
          </w:p>
        </w:tc>
        <w:tc>
          <w:tcPr>
            <w:tcW w:w="1724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人员配备</w:t>
            </w:r>
          </w:p>
        </w:tc>
        <w:tc>
          <w:tcPr>
            <w:tcW w:w="1724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724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40分</w:t>
            </w:r>
          </w:p>
        </w:tc>
        <w:tc>
          <w:tcPr>
            <w:tcW w:w="1724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0分</w:t>
            </w:r>
          </w:p>
        </w:tc>
        <w:tc>
          <w:tcPr>
            <w:tcW w:w="1724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0分</w:t>
            </w:r>
          </w:p>
        </w:tc>
      </w:tr>
    </w:tbl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eastAsia="zh-CN"/>
        </w:rPr>
        <w:t>（三）评分标准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1.商务能力</w:t>
      </w:r>
    </w:p>
    <w:tbl>
      <w:tblPr>
        <w:tblStyle w:val="7"/>
        <w:tblW w:w="889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41"/>
        <w:gridCol w:w="5386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0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商务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0分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经验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具有同类服务经验，每提供一项项目经验得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5分，最高得15分。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须提供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相关佐证材料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5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信誉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在业界具有良好的诚信和公信力。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近三年内无行贿犯罪记录、无不良记录承诺函；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highlight w:val="none"/>
          <w:lang w:eastAsia="zh-CN"/>
        </w:rPr>
        <w:t>注：</w:t>
      </w:r>
      <w:r>
        <w:rPr>
          <w:rFonts w:hint="eastAsia" w:ascii="宋体" w:hAnsi="宋体"/>
          <w:b w:val="0"/>
          <w:bCs/>
          <w:color w:val="auto"/>
          <w:sz w:val="24"/>
          <w:highlight w:val="none"/>
        </w:rPr>
        <w:t>不提供证明文件或提供的证明文件不合格者，不得分。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2.技术能力</w:t>
      </w:r>
    </w:p>
    <w:tbl>
      <w:tblPr>
        <w:tblStyle w:val="7"/>
        <w:tblW w:w="875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34"/>
        <w:gridCol w:w="5183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9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技术能力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项目方案（工作措施、工作方法、工作计划等）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根据方案优劣程度打0-15分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重难点分析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针对项目实施过程中可能遇到的重难点问题进行分析，并提出解决方案，根据方案优劣情况打0-10分。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成果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根据项目预期效果与项目需求的切合程度打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0-10分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服务承诺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签订服务违约承诺得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5分，不签订承诺书不得分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需配备项目负责人1名，得基础分10分，小组成员每多1人加5分，最多加10分，人员配备最高不超过20分。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4.报价（20分）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以本次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所报的有效报价中的最低价作为基准报价。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报价得分=（基准价/投标人报价）*20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（四）采购评审小组构成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采购评审小组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，由龙华区工业和信息化局各科室（中心）代表（在编人员）5人，随机抽签选择。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23" w:rightChars="11" w:hanging="7" w:firstLineChars="0"/>
        <w:jc w:val="center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明黒">
    <w:altName w:val="Noto Sans Mono CJK HK"/>
    <w:panose1 w:val="020B0300000000000000"/>
    <w:charset w:val="00"/>
    <w:family w:val="swiss"/>
    <w:pitch w:val="default"/>
    <w:sig w:usb0="00000000" w:usb1="00000000" w:usb2="00000016" w:usb3="00000000" w:csb0="00060007" w:csb1="00000000"/>
  </w:font>
  <w:font w:name="Noto Sans Mono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71E64"/>
    <w:multiLevelType w:val="singleLevel"/>
    <w:tmpl w:val="5C871E64"/>
    <w:lvl w:ilvl="0" w:tentative="0">
      <w:start w:val="2"/>
      <w:numFmt w:val="chineseCounting"/>
      <w:suff w:val="nothing"/>
      <w:lvlText w:val="（%1）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E39A2"/>
    <w:rsid w:val="05D92430"/>
    <w:rsid w:val="07483F3F"/>
    <w:rsid w:val="07FF6187"/>
    <w:rsid w:val="084E4868"/>
    <w:rsid w:val="0AAE39A2"/>
    <w:rsid w:val="0ACB0DE1"/>
    <w:rsid w:val="0D042E24"/>
    <w:rsid w:val="10FE2E78"/>
    <w:rsid w:val="12171917"/>
    <w:rsid w:val="12216966"/>
    <w:rsid w:val="13244892"/>
    <w:rsid w:val="147E3D72"/>
    <w:rsid w:val="1614570E"/>
    <w:rsid w:val="16684F6C"/>
    <w:rsid w:val="16BC122C"/>
    <w:rsid w:val="1E2A2656"/>
    <w:rsid w:val="1FB25386"/>
    <w:rsid w:val="1FE6ADEC"/>
    <w:rsid w:val="230C56A1"/>
    <w:rsid w:val="23960CCB"/>
    <w:rsid w:val="26B70774"/>
    <w:rsid w:val="273B86DA"/>
    <w:rsid w:val="279F3A2D"/>
    <w:rsid w:val="2BEFA749"/>
    <w:rsid w:val="2CD967EB"/>
    <w:rsid w:val="2ECC7202"/>
    <w:rsid w:val="2F5FE951"/>
    <w:rsid w:val="2FF80D62"/>
    <w:rsid w:val="31520F55"/>
    <w:rsid w:val="31E34398"/>
    <w:rsid w:val="32FC57FD"/>
    <w:rsid w:val="337826D8"/>
    <w:rsid w:val="36EF41E2"/>
    <w:rsid w:val="3A636A94"/>
    <w:rsid w:val="3BFE71FA"/>
    <w:rsid w:val="3C76DA9A"/>
    <w:rsid w:val="3DA4131F"/>
    <w:rsid w:val="3DF66353"/>
    <w:rsid w:val="40C63860"/>
    <w:rsid w:val="40CA2CE5"/>
    <w:rsid w:val="41241F19"/>
    <w:rsid w:val="458055E7"/>
    <w:rsid w:val="463A30D7"/>
    <w:rsid w:val="4FB10B34"/>
    <w:rsid w:val="4FBD36E4"/>
    <w:rsid w:val="5054631B"/>
    <w:rsid w:val="5296B739"/>
    <w:rsid w:val="52F313C2"/>
    <w:rsid w:val="54423326"/>
    <w:rsid w:val="54AD0F60"/>
    <w:rsid w:val="5AD003AA"/>
    <w:rsid w:val="5AD389F0"/>
    <w:rsid w:val="5AFE27E9"/>
    <w:rsid w:val="5BDE7A05"/>
    <w:rsid w:val="5E3E0F7D"/>
    <w:rsid w:val="5EBF0524"/>
    <w:rsid w:val="5F7DA965"/>
    <w:rsid w:val="5F9716FD"/>
    <w:rsid w:val="600769DB"/>
    <w:rsid w:val="60366708"/>
    <w:rsid w:val="631C21CF"/>
    <w:rsid w:val="65C030D8"/>
    <w:rsid w:val="67463E5C"/>
    <w:rsid w:val="6BBF7241"/>
    <w:rsid w:val="6CBAC809"/>
    <w:rsid w:val="6FBFBC77"/>
    <w:rsid w:val="70BB12F9"/>
    <w:rsid w:val="77EDED19"/>
    <w:rsid w:val="7A64233F"/>
    <w:rsid w:val="7CD17D21"/>
    <w:rsid w:val="7E994C70"/>
    <w:rsid w:val="7F9B27F6"/>
    <w:rsid w:val="7F9FE9A8"/>
    <w:rsid w:val="7FCBC7FC"/>
    <w:rsid w:val="9BFBFF2D"/>
    <w:rsid w:val="9D9CFC7F"/>
    <w:rsid w:val="9FF70E5A"/>
    <w:rsid w:val="B3BB3594"/>
    <w:rsid w:val="BD76ED17"/>
    <w:rsid w:val="BE3C583A"/>
    <w:rsid w:val="CFF76C8E"/>
    <w:rsid w:val="D7FF40AE"/>
    <w:rsid w:val="DABFB13D"/>
    <w:rsid w:val="DAF41AD7"/>
    <w:rsid w:val="DBF758C7"/>
    <w:rsid w:val="DF979336"/>
    <w:rsid w:val="DFB54F41"/>
    <w:rsid w:val="DFFE15A6"/>
    <w:rsid w:val="EB7A3484"/>
    <w:rsid w:val="EBFF5CE9"/>
    <w:rsid w:val="EDFF45AF"/>
    <w:rsid w:val="F6BDC11C"/>
    <w:rsid w:val="F7FF5032"/>
    <w:rsid w:val="F8F703D9"/>
    <w:rsid w:val="FBFF0663"/>
    <w:rsid w:val="FED7E380"/>
    <w:rsid w:val="FF4F46B5"/>
    <w:rsid w:val="FF7D81D6"/>
    <w:rsid w:val="FFD7A930"/>
    <w:rsid w:val="FFFF214B"/>
    <w:rsid w:val="FFFFF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 w:firstLineChars="200"/>
    </w:pPr>
    <w:rPr>
      <w:szCs w:val="24"/>
    </w:rPr>
  </w:style>
  <w:style w:type="paragraph" w:styleId="3">
    <w:name w:val="Body Text"/>
    <w:basedOn w:val="1"/>
    <w:qFormat/>
    <w:uiPriority w:val="1"/>
    <w:rPr>
      <w:rFonts w:ascii="明黒" w:hAnsi="明黒" w:eastAsia="明黒" w:cs="明黒"/>
      <w:sz w:val="24"/>
      <w:szCs w:val="24"/>
      <w:lang w:val="en-US" w:eastAsia="en-US" w:bidi="en-US"/>
    </w:rPr>
  </w:style>
  <w:style w:type="paragraph" w:styleId="4">
    <w:name w:val="Block Text"/>
    <w:basedOn w:val="1"/>
    <w:qFormat/>
    <w:uiPriority w:val="0"/>
    <w:pPr>
      <w:tabs>
        <w:tab w:val="left" w:pos="426"/>
      </w:tabs>
      <w:spacing w:after="120"/>
      <w:ind w:left="1440" w:leftChars="700" w:right="1440" w:rightChars="700"/>
    </w:p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00"/>
      <w:u w:val="none"/>
    </w:rPr>
  </w:style>
  <w:style w:type="character" w:customStyle="1" w:styleId="11">
    <w:name w:val="_Style 4"/>
    <w:basedOn w:val="9"/>
    <w:qFormat/>
    <w:uiPriority w:val="0"/>
    <w:rPr>
      <w:i/>
      <w:iCs/>
      <w:color w:val="808080"/>
    </w:rPr>
  </w:style>
  <w:style w:type="paragraph" w:customStyle="1" w:styleId="12">
    <w:name w:val="USE 1"/>
    <w:basedOn w:val="1"/>
    <w:qFormat/>
    <w:uiPriority w:val="0"/>
    <w:pPr>
      <w:spacing w:line="200" w:lineRule="atLeast"/>
      <w:jc w:val="left"/>
    </w:pPr>
    <w:rPr>
      <w:rFonts w:ascii="宋体" w:hAnsi="宋体"/>
      <w:b/>
      <w:sz w:val="24"/>
      <w:szCs w:val="28"/>
    </w:r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2021-01-04T09:06:00Z</dcterms:created>
  <dc:creator>杨少庆1</dc:creator>
  <cp:lastModifiedBy>longhua</cp:lastModifiedBy>
  <cp:lastPrinted>2023-02-28T20:44:00Z</cp:lastPrinted>
  <dcterms:modified xsi:type="dcterms:W3CDTF">2025-02-24T15:29:01Z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C359B42A901FA9C7961CAC67164BE2BA</vt:lpwstr>
  </property>
</Properties>
</file>