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560" w:lineRule="exact"/>
        <w:rPr>
          <w:rFonts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龙华区</w:t>
      </w: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年度工业楼宇转让受让人</w:t>
      </w:r>
    </w:p>
    <w:p>
      <w:pPr>
        <w:pStyle w:val="6"/>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产业资格条件审核及现场核查</w:t>
      </w:r>
    </w:p>
    <w:p>
      <w:pPr>
        <w:pStyle w:val="6"/>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辅助服务项目</w:t>
      </w:r>
      <w:r>
        <w:rPr>
          <w:rFonts w:hint="eastAsia" w:ascii="方正小标宋简体" w:hAnsi="方正小标宋简体" w:eastAsia="方正小标宋简体" w:cs="方正小标宋简体"/>
          <w:b w:val="0"/>
          <w:bCs w:val="0"/>
          <w:sz w:val="44"/>
          <w:szCs w:val="44"/>
        </w:rPr>
        <w:t>需求书</w:t>
      </w:r>
    </w:p>
    <w:p>
      <w:pPr>
        <w:spacing w:line="560" w:lineRule="exact"/>
        <w:ind w:firstLine="640" w:firstLineChars="200"/>
        <w:rPr>
          <w:rFonts w:ascii="仿宋" w:hAnsi="仿宋" w:eastAsia="仿宋" w:cs="仿宋"/>
          <w:sz w:val="32"/>
          <w:szCs w:val="32"/>
        </w:rPr>
      </w:pP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一、项目目标</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根据《深圳市工业楼宇及配套用房转让管理办法》（</w:t>
      </w:r>
      <w:r>
        <w:rPr>
          <w:rFonts w:ascii="仿宋_GB2312" w:hAnsi="宋体" w:eastAsia="仿宋_GB2312" w:cs="仿宋_GB2312"/>
          <w:color w:val="000000"/>
          <w:kern w:val="0"/>
          <w:sz w:val="32"/>
          <w:szCs w:val="32"/>
          <w:lang w:bidi="ar"/>
        </w:rPr>
        <w:t>深府办规〔2020〕2号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《关于进一步加强龙华区房地产项目全链条监管的指导意见（2023年修订）》(深龙华府办函〔2023〕37号)等相关政策要求，为做好工业楼宇转让</w:t>
      </w:r>
      <w:r>
        <w:rPr>
          <w:rFonts w:hint="eastAsia" w:ascii="仿宋_GB2312" w:hAnsi="仿宋_GB2312" w:eastAsia="仿宋_GB2312" w:cs="仿宋_GB2312"/>
          <w:sz w:val="32"/>
          <w:szCs w:val="32"/>
          <w:lang w:eastAsia="zh-CN"/>
        </w:rPr>
        <w:t>受让人产业资格审核、</w:t>
      </w:r>
      <w:r>
        <w:rPr>
          <w:rFonts w:hint="eastAsia" w:ascii="仿宋_GB2312" w:hAnsi="仿宋_GB2312" w:eastAsia="仿宋_GB2312" w:cs="仿宋_GB2312"/>
          <w:sz w:val="32"/>
          <w:szCs w:val="32"/>
        </w:rPr>
        <w:t>巡查及产业监管等工作，我科室拟</w:t>
      </w:r>
      <w:r>
        <w:rPr>
          <w:rFonts w:hint="eastAsia" w:ascii="仿宋_GB2312" w:hAnsi="仿宋_GB2312" w:eastAsia="仿宋_GB2312" w:cs="仿宋_GB2312"/>
          <w:sz w:val="32"/>
          <w:szCs w:val="32"/>
          <w:lang w:eastAsia="zh-CN"/>
        </w:rPr>
        <w:t>聘请</w:t>
      </w:r>
      <w:r>
        <w:rPr>
          <w:rFonts w:hint="eastAsia" w:ascii="仿宋_GB2312" w:hAnsi="仿宋_GB2312" w:eastAsia="仿宋_GB2312" w:cs="仿宋_GB2312"/>
          <w:sz w:val="32"/>
          <w:szCs w:val="32"/>
        </w:rPr>
        <w:t>第三方机构协助我局开展工业楼宇转让受让人产业资格条件审核及现场巡查工作。</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二、项目形式</w:t>
      </w:r>
    </w:p>
    <w:p>
      <w:pPr>
        <w:tabs>
          <w:tab w:val="left" w:pos="1820"/>
        </w:tabs>
        <w:snapToGrid w:val="0"/>
        <w:spacing w:line="560" w:lineRule="exact"/>
        <w:rPr>
          <w:rFonts w:ascii="仿宋_GB2312" w:hAnsi="宋体" w:eastAsia="仿宋_GB2312" w:cs="仿宋_GB2312"/>
          <w:sz w:val="32"/>
          <w:szCs w:val="32"/>
        </w:rPr>
      </w:pPr>
      <w:r>
        <w:rPr>
          <w:rFonts w:hint="eastAsia" w:ascii="黑体" w:hAnsi="黑体" w:eastAsia="黑体" w:cs="黑体"/>
          <w:bCs/>
          <w:sz w:val="32"/>
          <w:szCs w:val="32"/>
        </w:rPr>
        <w:t xml:space="preserve">   </w:t>
      </w:r>
      <w:r>
        <w:rPr>
          <w:rFonts w:hint="eastAsia" w:ascii="仿宋_GB2312" w:hAnsi="仿宋_GB2312" w:eastAsia="仿宋_GB2312" w:cs="仿宋_GB2312"/>
          <w:bCs/>
          <w:sz w:val="32"/>
          <w:szCs w:val="32"/>
        </w:rPr>
        <w:t xml:space="preserve"> 根据龙华区工业和信息化局要求，对项目进行跟踪，并以现场实地核查、拍照、撰写报告等方式留存工作记录，积极配合龙华区工业和信息化局及住建部门开展产业用地房地产项目售前联合检查等事前、事中、事后监管工作</w:t>
      </w:r>
      <w:r>
        <w:rPr>
          <w:rFonts w:hint="eastAsia" w:ascii="仿宋_GB2312" w:hAnsi="宋体" w:eastAsia="仿宋_GB2312" w:cs="仿宋_GB2312"/>
          <w:sz w:val="32"/>
          <w:szCs w:val="32"/>
        </w:rPr>
        <w:t>。</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三、时间安排</w:t>
      </w:r>
    </w:p>
    <w:p>
      <w:pPr>
        <w:tabs>
          <w:tab w:val="left" w:pos="182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2026年1月</w:t>
      </w:r>
      <w:r>
        <w:rPr>
          <w:rFonts w:hint="eastAsia" w:ascii="仿宋_GB2312" w:hAnsi="仿宋_GB2312" w:eastAsia="仿宋_GB2312" w:cs="仿宋_GB2312"/>
          <w:sz w:val="32"/>
          <w:szCs w:val="32"/>
        </w:rPr>
        <w:t>。</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四、服务内容及要求</w:t>
      </w:r>
    </w:p>
    <w:p>
      <w:pPr>
        <w:numPr>
          <w:ilvl w:val="0"/>
          <w:numId w:val="0"/>
        </w:numPr>
        <w:snapToGrid/>
        <w:spacing w:line="560" w:lineRule="exact"/>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eastAsia="zh-CN"/>
        </w:rPr>
        <w:t>协助龙华区工业和信息化局</w:t>
      </w:r>
      <w:r>
        <w:rPr>
          <w:rFonts w:hint="eastAsia" w:ascii="仿宋_GB2312" w:hAnsi="仿宋_GB2312" w:eastAsia="仿宋_GB2312" w:cs="仿宋_GB2312"/>
          <w:bCs/>
          <w:sz w:val="32"/>
          <w:szCs w:val="32"/>
          <w:lang w:val="zh-CN"/>
        </w:rPr>
        <w:t>受理预计</w:t>
      </w:r>
      <w:r>
        <w:rPr>
          <w:rFonts w:hint="eastAsia" w:ascii="仿宋_GB2312" w:hAnsi="仿宋_GB2312" w:eastAsia="仿宋_GB2312" w:cs="仿宋_GB2312"/>
          <w:bCs/>
          <w:sz w:val="32"/>
          <w:szCs w:val="32"/>
          <w:lang w:val="en-US" w:eastAsia="zh-CN"/>
        </w:rPr>
        <w:t>110家企业</w:t>
      </w:r>
      <w:r>
        <w:rPr>
          <w:rFonts w:hint="eastAsia" w:ascii="仿宋_GB2312" w:hAnsi="仿宋_GB2312" w:eastAsia="仿宋_GB2312" w:cs="仿宋_GB2312"/>
          <w:bCs/>
          <w:sz w:val="32"/>
          <w:szCs w:val="32"/>
          <w:lang w:val="zh-CN"/>
        </w:rPr>
        <w:t>工业楼宇转让受让人产业资格审核并出具意见，建立并每月更新审核台账。</w:t>
      </w:r>
      <w:r>
        <w:rPr>
          <w:rFonts w:hint="eastAsia" w:ascii="仿宋_GB2312" w:hAnsi="仿宋_GB2312" w:eastAsia="仿宋_GB2312" w:cs="仿宋_GB2312"/>
          <w:bCs/>
          <w:color w:val="auto"/>
          <w:sz w:val="32"/>
          <w:szCs w:val="32"/>
          <w:lang w:val="en-US" w:eastAsia="zh-CN"/>
        </w:rPr>
        <w:t>现场勘察拟受让工业楼宇情况并开展以下工作：告知业主签订承诺函，并做好相关资料记录存档；根据实际勘察情况</w:t>
      </w:r>
      <w:r>
        <w:rPr>
          <w:rFonts w:hint="eastAsia" w:ascii="仿宋_GB2312" w:hAnsi="仿宋_GB2312" w:eastAsia="仿宋_GB2312" w:cs="仿宋_GB2312"/>
          <w:bCs/>
          <w:sz w:val="32"/>
          <w:szCs w:val="32"/>
          <w:vertAlign w:val="baseline"/>
          <w:lang w:val="en-US" w:eastAsia="zh-CN"/>
        </w:rPr>
        <w:t>出具审核意见；</w:t>
      </w:r>
      <w:r>
        <w:rPr>
          <w:rFonts w:hint="eastAsia" w:ascii="仿宋_GB2312" w:hAnsi="仿宋_GB2312" w:eastAsia="仿宋_GB2312" w:cs="仿宋_GB2312"/>
          <w:bCs/>
          <w:color w:val="auto"/>
          <w:sz w:val="32"/>
          <w:szCs w:val="32"/>
          <w:lang w:val="en-US" w:eastAsia="zh-CN"/>
        </w:rPr>
        <w:t>审核意见存档并更新台账</w:t>
      </w:r>
      <w:r>
        <w:rPr>
          <w:rFonts w:hint="eastAsia" w:ascii="仿宋_GB2312" w:hAnsi="仿宋_GB2312" w:eastAsia="仿宋_GB2312" w:cs="仿宋_GB2312"/>
          <w:bCs/>
          <w:sz w:val="32"/>
          <w:szCs w:val="32"/>
          <w:vertAlign w:val="baseline"/>
          <w:lang w:val="en-US" w:eastAsia="zh-CN"/>
        </w:rPr>
        <w:t>。</w:t>
      </w:r>
    </w:p>
    <w:p>
      <w:pPr>
        <w:tabs>
          <w:tab w:val="left" w:pos="1820"/>
        </w:tabs>
        <w:snapToGrid w:val="0"/>
        <w:spacing w:line="56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（二）每月</w:t>
      </w:r>
      <w:r>
        <w:rPr>
          <w:rFonts w:hint="eastAsia" w:ascii="仿宋_GB2312" w:hAnsi="仿宋_GB2312" w:eastAsia="仿宋_GB2312" w:cs="仿宋_GB2312"/>
          <w:bCs/>
          <w:sz w:val="32"/>
          <w:szCs w:val="32"/>
          <w:lang w:eastAsia="zh-CN"/>
        </w:rPr>
        <w:t>协助龙华区工业和信息化局</w:t>
      </w:r>
      <w:r>
        <w:rPr>
          <w:rFonts w:hint="eastAsia" w:ascii="仿宋_GB2312" w:hAnsi="仿宋_GB2312" w:eastAsia="仿宋_GB2312" w:cs="仿宋_GB2312"/>
          <w:bCs/>
          <w:sz w:val="32"/>
          <w:szCs w:val="32"/>
        </w:rPr>
        <w:t>分2-4组对</w:t>
      </w:r>
      <w:r>
        <w:rPr>
          <w:rFonts w:hint="eastAsia" w:ascii="仿宋_GB2312" w:hAnsi="仿宋_GB2312" w:eastAsia="仿宋_GB2312" w:cs="仿宋_GB2312"/>
          <w:bCs/>
          <w:sz w:val="32"/>
          <w:szCs w:val="32"/>
          <w:lang w:val="zh-CN"/>
        </w:rPr>
        <w:t>龙华区内可分割销售的不少于</w:t>
      </w:r>
      <w:r>
        <w:rPr>
          <w:rFonts w:hint="eastAsia" w:ascii="仿宋_GB2312" w:hAnsi="仿宋_GB2312" w:eastAsia="仿宋_GB2312" w:cs="仿宋_GB2312"/>
          <w:bCs/>
          <w:sz w:val="32"/>
          <w:szCs w:val="32"/>
          <w:lang w:val="en-US" w:eastAsia="zh-CN"/>
        </w:rPr>
        <w:t>9栋</w:t>
      </w:r>
      <w:r>
        <w:rPr>
          <w:rFonts w:hint="eastAsia" w:ascii="仿宋_GB2312" w:hAnsi="仿宋_GB2312" w:eastAsia="仿宋_GB2312" w:cs="仿宋_GB2312"/>
          <w:bCs/>
          <w:sz w:val="32"/>
          <w:szCs w:val="32"/>
          <w:lang w:val="zh-CN"/>
        </w:rPr>
        <w:t>工业楼宇开展现场逐个实地核查、拍照，对现场核查的实际情况进行存档记录，确保工业楼宇不用作非工业用途，如发现违法违规线索及时移交相关单位进行处理并跟进处理情况，推动形成监管闭环。</w:t>
      </w:r>
    </w:p>
    <w:p>
      <w:pPr>
        <w:tabs>
          <w:tab w:val="left" w:pos="1820"/>
        </w:tabs>
        <w:snapToGrid w:val="0"/>
        <w:spacing w:line="560" w:lineRule="exact"/>
        <w:ind w:firstLine="640" w:firstLineChars="200"/>
        <w:rPr>
          <w:lang w:val="zh-CN"/>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lang w:val="zh-CN"/>
        </w:rPr>
        <w:t>按照《关于进一步加强龙华区房地产项目全链条监管的指导意见》等相关政策要求，协助龙华区工业和信息化局配合住建部门开展产业用地房地产项目售前联合检查</w:t>
      </w:r>
      <w:r>
        <w:rPr>
          <w:rFonts w:hint="eastAsia" w:ascii="仿宋_GB2312" w:hAnsi="仿宋_GB2312" w:eastAsia="仿宋_GB2312" w:cs="仿宋_GB2312"/>
          <w:bCs/>
          <w:color w:val="auto"/>
          <w:sz w:val="32"/>
          <w:szCs w:val="32"/>
          <w:lang w:val="zh-CN"/>
        </w:rPr>
        <w:t>等事前、事中、事后监管工作，</w:t>
      </w:r>
      <w:r>
        <w:rPr>
          <w:rFonts w:hint="eastAsia" w:ascii="仿宋_GB2312" w:hAnsi="仿宋_GB2312" w:eastAsia="仿宋_GB2312" w:cs="仿宋_GB2312"/>
          <w:bCs/>
          <w:sz w:val="32"/>
          <w:szCs w:val="32"/>
          <w:lang w:val="zh-CN"/>
        </w:rPr>
        <w:t>审查产业项目是否符合监管协议或相关政策文件，并做好相应记录。参与住建部门牵头开展的对于处于销售过程中的项目的联合检查，并做好检查记录，预计不超过2个预售项目，按项目个数据实结算。</w:t>
      </w:r>
    </w:p>
    <w:p>
      <w:pPr>
        <w:tabs>
          <w:tab w:val="left" w:pos="1820"/>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五、报价限额</w:t>
      </w:r>
    </w:p>
    <w:p>
      <w:pPr>
        <w:tabs>
          <w:tab w:val="left" w:pos="1820"/>
        </w:tabs>
        <w:adjustRightInd w:val="0"/>
        <w:snapToGrid w:val="0"/>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该项目费用总计最高不超过</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万元。</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六、评分要求</w:t>
      </w:r>
    </w:p>
    <w:p>
      <w:pPr>
        <w:pStyle w:val="19"/>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采取综合评分标准，平均分最高的报价单位或投标人为本项目中标单位或中标人。</w:t>
      </w:r>
    </w:p>
    <w:p>
      <w:pPr>
        <w:pStyle w:val="19"/>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8"/>
        <w:tblW w:w="846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评分内容</w:t>
            </w:r>
          </w:p>
        </w:tc>
        <w:tc>
          <w:tcPr>
            <w:tcW w:w="1883"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商务能力</w:t>
            </w:r>
          </w:p>
        </w:tc>
        <w:tc>
          <w:tcPr>
            <w:tcW w:w="1681"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技术能力</w:t>
            </w:r>
          </w:p>
        </w:tc>
        <w:tc>
          <w:tcPr>
            <w:tcW w:w="1724"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人员配备</w:t>
            </w:r>
          </w:p>
        </w:tc>
        <w:tc>
          <w:tcPr>
            <w:tcW w:w="1513"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分值</w:t>
            </w:r>
          </w:p>
        </w:tc>
        <w:tc>
          <w:tcPr>
            <w:tcW w:w="1883"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c>
          <w:tcPr>
            <w:tcW w:w="1681"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40分</w:t>
            </w:r>
          </w:p>
        </w:tc>
        <w:tc>
          <w:tcPr>
            <w:tcW w:w="1724"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c>
          <w:tcPr>
            <w:tcW w:w="1513" w:type="dxa"/>
          </w:tcPr>
          <w:p>
            <w:pPr>
              <w:pStyle w:val="19"/>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r>
    </w:tbl>
    <w:p>
      <w:pPr>
        <w:pStyle w:val="19"/>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（三）评分标准</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1.商务能力（20分）</w:t>
      </w:r>
    </w:p>
    <w:tbl>
      <w:tblPr>
        <w:tblStyle w:val="7"/>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200"/>
        <w:gridCol w:w="4441"/>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149" w:type="dxa"/>
            <w:gridSpan w:val="3"/>
            <w:vAlign w:val="center"/>
          </w:tcPr>
          <w:p>
            <w:pPr>
              <w:widowControl/>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w:t>
            </w:r>
          </w:p>
        </w:tc>
        <w:tc>
          <w:tcPr>
            <w:tcW w:w="1890" w:type="dxa"/>
            <w:vAlign w:val="center"/>
          </w:tcPr>
          <w:p>
            <w:pPr>
              <w:widowControl/>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08" w:type="dxa"/>
            <w:vMerge w:val="restart"/>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商务能力评分20分</w:t>
            </w:r>
          </w:p>
        </w:tc>
        <w:tc>
          <w:tcPr>
            <w:tcW w:w="120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bCs/>
                <w:color w:val="000000"/>
                <w:kern w:val="0"/>
                <w:sz w:val="24"/>
                <w:szCs w:val="24"/>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4441" w:type="dxa"/>
            <w:vAlign w:val="center"/>
          </w:tcPr>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highlight w:val="none"/>
                <w:lang w:eastAsia="zh-CN"/>
              </w:rPr>
              <w:t>有同类项目经</w:t>
            </w:r>
            <w:r>
              <w:rPr>
                <w:rFonts w:hint="eastAsia" w:ascii="仿宋_GB2312" w:hAnsi="仿宋_GB2312" w:eastAsia="仿宋_GB2312" w:cs="仿宋_GB2312"/>
                <w:b w:val="0"/>
                <w:bCs/>
                <w:color w:val="000000"/>
                <w:sz w:val="24"/>
                <w:szCs w:val="24"/>
                <w:highlight w:val="none"/>
                <w:lang w:eastAsia="zh-CN"/>
              </w:rPr>
              <w:t>验一个可得</w:t>
            </w:r>
            <w:r>
              <w:rPr>
                <w:rFonts w:hint="eastAsia" w:ascii="仿宋_GB2312" w:hAnsi="仿宋_GB2312" w:eastAsia="仿宋_GB2312" w:cs="仿宋_GB2312"/>
                <w:b w:val="0"/>
                <w:bCs/>
                <w:color w:val="000000"/>
                <w:sz w:val="24"/>
                <w:szCs w:val="24"/>
                <w:highlight w:val="none"/>
                <w:lang w:val="en-US" w:eastAsia="zh-CN"/>
              </w:rPr>
              <w:t>5分，三</w:t>
            </w:r>
            <w:r>
              <w:rPr>
                <w:rFonts w:hint="eastAsia" w:ascii="仿宋_GB2312" w:hAnsi="仿宋_GB2312" w:eastAsia="仿宋_GB2312" w:cs="仿宋_GB2312"/>
                <w:b w:val="0"/>
                <w:bCs/>
                <w:color w:val="000000"/>
                <w:sz w:val="24"/>
                <w:szCs w:val="24"/>
                <w:highlight w:val="none"/>
                <w:lang w:eastAsia="zh-CN"/>
              </w:rPr>
              <w:t>个可得满分。</w:t>
            </w: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ascii="仿宋_GB2312" w:hAnsi="仿宋_GB2312" w:eastAsia="仿宋_GB2312" w:cs="仿宋_GB2312"/>
                <w:bCs/>
                <w:color w:val="000000"/>
                <w:sz w:val="24"/>
                <w:szCs w:val="24"/>
              </w:rPr>
            </w:pPr>
            <w:r>
              <w:rPr>
                <w:rFonts w:hint="eastAsia" w:ascii="仿宋_GB2312" w:hAnsi="仿宋_GB2312" w:eastAsia="仿宋_GB2312" w:cs="仿宋_GB2312"/>
                <w:b w:val="0"/>
                <w:bCs/>
                <w:color w:val="000000"/>
                <w:sz w:val="24"/>
                <w:szCs w:val="24"/>
                <w:highlight w:val="none"/>
              </w:rPr>
              <w:t>提供</w:t>
            </w:r>
            <w:r>
              <w:rPr>
                <w:rFonts w:hint="eastAsia" w:ascii="仿宋_GB2312" w:hAnsi="仿宋_GB2312" w:eastAsia="仿宋_GB2312" w:cs="仿宋_GB2312"/>
                <w:b w:val="0"/>
                <w:bCs/>
                <w:color w:val="000000"/>
                <w:sz w:val="24"/>
                <w:szCs w:val="24"/>
                <w:highlight w:val="none"/>
                <w:lang w:eastAsia="zh-CN"/>
              </w:rPr>
              <w:t>项目经验材料（如合同、成果）</w:t>
            </w:r>
            <w:r>
              <w:rPr>
                <w:rFonts w:hint="eastAsia" w:ascii="仿宋_GB2312" w:hAnsi="仿宋_GB2312" w:eastAsia="仿宋_GB2312" w:cs="仿宋_GB2312"/>
                <w:b w:val="0"/>
                <w:bCs/>
                <w:color w:val="000000"/>
                <w:sz w:val="24"/>
                <w:szCs w:val="24"/>
                <w:highlight w:val="none"/>
              </w:rPr>
              <w:t>证明复印件</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并加盖公章</w:t>
            </w:r>
            <w:r>
              <w:rPr>
                <w:rFonts w:hint="eastAsia" w:ascii="仿宋_GB2312" w:hAnsi="仿宋_GB2312" w:eastAsia="仿宋_GB2312" w:cs="仿宋_GB2312"/>
                <w:b w:val="0"/>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08" w:type="dxa"/>
            <w:vMerge w:val="continue"/>
            <w:vAlign w:val="center"/>
          </w:tcPr>
          <w:p>
            <w:pPr>
              <w:spacing w:line="560" w:lineRule="exact"/>
              <w:jc w:val="center"/>
              <w:rPr>
                <w:rFonts w:ascii="仿宋_GB2312" w:hAnsi="仿宋_GB2312" w:eastAsia="仿宋_GB2312" w:cs="仿宋_GB2312"/>
                <w:bCs/>
                <w:color w:val="000000"/>
                <w:sz w:val="24"/>
                <w:szCs w:val="24"/>
              </w:rPr>
            </w:pPr>
          </w:p>
        </w:tc>
        <w:tc>
          <w:tcPr>
            <w:tcW w:w="120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441" w:type="dxa"/>
            <w:vAlign w:val="center"/>
          </w:tcPr>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val="0"/>
                <w:bCs/>
                <w:color w:val="000000"/>
                <w:sz w:val="24"/>
                <w:szCs w:val="24"/>
                <w:highlight w:val="none"/>
                <w:lang w:eastAsia="zh-CN"/>
              </w:rPr>
              <w:t>在业界具有良好的诚信和美誉度，公共信用信息报告时间需在一个月内，无投标诚信问题，可得满分</w:t>
            </w:r>
            <w:r>
              <w:rPr>
                <w:rFonts w:hint="eastAsia" w:ascii="仿宋_GB2312" w:hAnsi="仿宋_GB2312" w:eastAsia="仿宋_GB2312" w:cs="仿宋_GB2312"/>
                <w:b w:val="0"/>
                <w:bCs/>
                <w:color w:val="000000"/>
                <w:sz w:val="24"/>
                <w:szCs w:val="24"/>
                <w:highlight w:val="none"/>
                <w:lang w:val="en-US" w:eastAsia="zh-CN"/>
              </w:rPr>
              <w:t>。</w:t>
            </w:r>
            <w:r>
              <w:rPr>
                <w:rFonts w:hint="eastAsia" w:ascii="仿宋_GB2312" w:hAnsi="仿宋_GB2312" w:eastAsia="仿宋_GB2312" w:cs="仿宋_GB2312"/>
                <w:sz w:val="24"/>
                <w:szCs w:val="24"/>
                <w:highlight w:val="none"/>
                <w:lang w:eastAsia="zh-CN"/>
              </w:rPr>
              <w:t>根据《深圳市政府采购供应商诚信管理暂行办法》相关规定，投标单位在参与政府采购活动中出现诚信相关问题且在相关主管部门处理措施实施期限内的本项不得分。</w:t>
            </w:r>
          </w:p>
        </w:tc>
        <w:tc>
          <w:tcPr>
            <w:tcW w:w="1890" w:type="dxa"/>
            <w:vAlign w:val="center"/>
          </w:tcPr>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 w:val="0"/>
                <w:bCs/>
                <w:color w:val="000000"/>
                <w:sz w:val="24"/>
                <w:szCs w:val="24"/>
                <w:highlight w:val="none"/>
              </w:rPr>
              <w:t>须提供《诚信承诺函》原件加盖投标人公章，按招标文件格式要求提供，不提供不得分。如被认定提供的陈述与事实不符的，依法追究其责任。近三年内无行贿犯罪记录、无不良记录承诺函</w:t>
            </w:r>
            <w:r>
              <w:rPr>
                <w:rFonts w:hint="eastAsia" w:ascii="仿宋_GB2312" w:hAnsi="仿宋_GB2312" w:eastAsia="仿宋_GB2312" w:cs="仿宋_GB2312"/>
                <w:b w:val="0"/>
                <w:bCs/>
                <w:color w:val="000000"/>
                <w:sz w:val="24"/>
                <w:szCs w:val="24"/>
                <w:highlight w:val="none"/>
                <w:lang w:eastAsia="zh-CN"/>
              </w:rPr>
              <w:t>。</w:t>
            </w:r>
          </w:p>
        </w:tc>
      </w:tr>
    </w:tbl>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注：不提供证明文件或提供的证明文件不合格者，不得分。</w:t>
      </w:r>
    </w:p>
    <w:p>
      <w:pPr>
        <w:numPr>
          <w:ilvl w:val="-1"/>
          <w:numId w:val="0"/>
        </w:numPr>
        <w:spacing w:line="560" w:lineRule="exact"/>
        <w:ind w:firstLine="640" w:firstLineChars="200"/>
        <w:rPr>
          <w:rFonts w:ascii="仿宋_GB2312" w:hAnsi="Times New Roman" w:eastAsia="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技术能力（40分）</w:t>
      </w:r>
    </w:p>
    <w:tbl>
      <w:tblPr>
        <w:tblStyle w:val="7"/>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89"/>
        <w:gridCol w:w="445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163" w:type="dxa"/>
            <w:gridSpan w:val="3"/>
            <w:vAlign w:val="center"/>
          </w:tcPr>
          <w:p>
            <w:pPr>
              <w:widowControl/>
              <w:spacing w:line="560" w:lineRule="exact"/>
              <w:jc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项目</w:t>
            </w:r>
          </w:p>
        </w:tc>
        <w:tc>
          <w:tcPr>
            <w:tcW w:w="1890" w:type="dxa"/>
            <w:vAlign w:val="center"/>
          </w:tcPr>
          <w:p>
            <w:pPr>
              <w:widowControl/>
              <w:spacing w:line="560" w:lineRule="exact"/>
              <w:jc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9" w:type="dxa"/>
            <w:vMerge w:val="restart"/>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技术能力评分40分</w:t>
            </w:r>
          </w:p>
        </w:tc>
        <w:tc>
          <w:tcPr>
            <w:tcW w:w="1189" w:type="dxa"/>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方案</w:t>
            </w:r>
          </w:p>
          <w:p>
            <w:pPr>
              <w:spacing w:line="560" w:lineRule="exact"/>
              <w:jc w:val="center"/>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分）</w:t>
            </w:r>
          </w:p>
        </w:tc>
        <w:tc>
          <w:tcPr>
            <w:tcW w:w="4455" w:type="dxa"/>
            <w:vAlign w:val="center"/>
          </w:tcPr>
          <w:p>
            <w:pPr>
              <w:spacing w:line="56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服务方案包含工作内容、时间安排及相关后续服务等；根据方案优劣程度打0-10分。</w:t>
            </w:r>
          </w:p>
        </w:tc>
        <w:tc>
          <w:tcPr>
            <w:tcW w:w="1890" w:type="dxa"/>
            <w:vAlign w:val="center"/>
          </w:tcPr>
          <w:p>
            <w:pPr>
              <w:spacing w:line="56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9" w:type="dxa"/>
            <w:vMerge w:val="continue"/>
            <w:vAlign w:val="center"/>
          </w:tcPr>
          <w:p>
            <w:pPr>
              <w:spacing w:line="560" w:lineRule="exact"/>
              <w:jc w:val="center"/>
              <w:rPr>
                <w:rFonts w:ascii="仿宋_GB2312" w:hAnsi="仿宋_GB2312" w:eastAsia="仿宋_GB2312" w:cs="仿宋_GB2312"/>
                <w:bCs/>
                <w:color w:val="000000"/>
                <w:sz w:val="24"/>
                <w:szCs w:val="24"/>
              </w:rPr>
            </w:pPr>
          </w:p>
        </w:tc>
        <w:tc>
          <w:tcPr>
            <w:tcW w:w="1189" w:type="dxa"/>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重点分析（10分）</w:t>
            </w:r>
          </w:p>
        </w:tc>
        <w:tc>
          <w:tcPr>
            <w:tcW w:w="4455" w:type="dxa"/>
            <w:vAlign w:val="center"/>
          </w:tcPr>
          <w:p>
            <w:pPr>
              <w:spacing w:line="56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针对项目实施过程中可能遇到的重难点问题进行分析，并提出解决方案，根据方案优劣情况打0-10分。</w:t>
            </w:r>
          </w:p>
        </w:tc>
        <w:tc>
          <w:tcPr>
            <w:tcW w:w="1890" w:type="dxa"/>
            <w:vAlign w:val="center"/>
          </w:tcPr>
          <w:p>
            <w:pPr>
              <w:spacing w:line="56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19" w:type="dxa"/>
            <w:vMerge w:val="continue"/>
            <w:vAlign w:val="center"/>
          </w:tcPr>
          <w:p>
            <w:pPr>
              <w:spacing w:line="560" w:lineRule="exact"/>
              <w:jc w:val="center"/>
              <w:rPr>
                <w:rFonts w:ascii="仿宋_GB2312" w:hAnsi="仿宋_GB2312" w:eastAsia="仿宋_GB2312" w:cs="仿宋_GB2312"/>
                <w:bCs/>
                <w:color w:val="000000"/>
                <w:sz w:val="24"/>
                <w:szCs w:val="24"/>
              </w:rPr>
            </w:pPr>
          </w:p>
        </w:tc>
        <w:tc>
          <w:tcPr>
            <w:tcW w:w="1189" w:type="dxa"/>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成果</w:t>
            </w:r>
          </w:p>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分）</w:t>
            </w:r>
          </w:p>
        </w:tc>
        <w:tc>
          <w:tcPr>
            <w:tcW w:w="4455" w:type="dxa"/>
            <w:vAlign w:val="center"/>
          </w:tcPr>
          <w:p>
            <w:pPr>
              <w:spacing w:line="560" w:lineRule="exac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根据项目预期效果与项目需求的切合程度打0-15分。</w:t>
            </w:r>
          </w:p>
        </w:tc>
        <w:tc>
          <w:tcPr>
            <w:tcW w:w="1890" w:type="dxa"/>
            <w:vAlign w:val="center"/>
          </w:tcPr>
          <w:p>
            <w:pPr>
              <w:spacing w:line="56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19" w:type="dxa"/>
            <w:vMerge w:val="continue"/>
            <w:vAlign w:val="center"/>
          </w:tcPr>
          <w:p>
            <w:pPr>
              <w:spacing w:line="560" w:lineRule="exact"/>
              <w:jc w:val="center"/>
              <w:rPr>
                <w:rFonts w:ascii="仿宋_GB2312" w:hAnsi="仿宋_GB2312" w:eastAsia="仿宋_GB2312" w:cs="仿宋_GB2312"/>
                <w:bCs/>
                <w:color w:val="000000"/>
                <w:sz w:val="24"/>
                <w:szCs w:val="24"/>
              </w:rPr>
            </w:pPr>
          </w:p>
        </w:tc>
        <w:tc>
          <w:tcPr>
            <w:tcW w:w="1189" w:type="dxa"/>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服务承诺</w:t>
            </w:r>
          </w:p>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（5分）</w:t>
            </w:r>
          </w:p>
        </w:tc>
        <w:tc>
          <w:tcPr>
            <w:tcW w:w="4455" w:type="dxa"/>
            <w:vAlign w:val="center"/>
          </w:tcPr>
          <w:p>
            <w:pPr>
              <w:spacing w:line="560" w:lineRule="exac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项目完成后的服务承诺和违约承诺。签订得5分，不签订不得分。</w:t>
            </w:r>
          </w:p>
        </w:tc>
        <w:tc>
          <w:tcPr>
            <w:tcW w:w="1890" w:type="dxa"/>
            <w:vAlign w:val="center"/>
          </w:tcPr>
          <w:p>
            <w:pPr>
              <w:spacing w:line="560" w:lineRule="exact"/>
              <w:jc w:val="left"/>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bl>
    <w:p>
      <w:pPr>
        <w:spacing w:line="560" w:lineRule="exact"/>
        <w:rPr>
          <w:rFonts w:ascii="仿宋_GB2312" w:eastAsia="仿宋_GB2312"/>
          <w:color w:val="000000"/>
          <w:sz w:val="32"/>
          <w:szCs w:val="32"/>
        </w:rPr>
      </w:pPr>
      <w:r>
        <w:rPr>
          <w:rFonts w:hint="eastAsia"/>
        </w:rPr>
        <w:t xml:space="preserve">      </w:t>
      </w:r>
      <w:r>
        <w:rPr>
          <w:rFonts w:hint="eastAsia" w:ascii="仿宋_GB2312" w:eastAsia="仿宋_GB2312"/>
          <w:color w:val="000000"/>
          <w:sz w:val="32"/>
          <w:szCs w:val="32"/>
        </w:rPr>
        <w:t>3.人员配备（20分）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项目成员不低于</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名，其中1人为项目负责人。项目负责人具有注册咨询工程师（投资）、注册建筑师或注册建造师资质</w:t>
      </w:r>
      <w:r>
        <w:rPr>
          <w:rFonts w:hint="eastAsia" w:ascii="仿宋_GB2312" w:eastAsia="仿宋_GB2312"/>
          <w:color w:val="000000"/>
          <w:sz w:val="32"/>
          <w:szCs w:val="32"/>
          <w:lang w:eastAsia="zh-CN"/>
        </w:rPr>
        <w:t>的</w:t>
      </w:r>
      <w:r>
        <w:rPr>
          <w:rFonts w:hint="eastAsia" w:ascii="仿宋_GB2312" w:eastAsia="仿宋_GB2312"/>
          <w:color w:val="000000"/>
          <w:sz w:val="32"/>
          <w:szCs w:val="32"/>
        </w:rPr>
        <w:t>，</w:t>
      </w:r>
      <w:r>
        <w:rPr>
          <w:rFonts w:hint="eastAsia" w:ascii="仿宋_GB2312" w:eastAsia="仿宋_GB2312"/>
          <w:color w:val="000000"/>
          <w:sz w:val="32"/>
          <w:szCs w:val="32"/>
          <w:lang w:eastAsia="zh-CN"/>
        </w:rPr>
        <w:t>得</w:t>
      </w:r>
      <w:r>
        <w:rPr>
          <w:rFonts w:hint="eastAsia" w:ascii="仿宋_GB2312" w:eastAsia="仿宋_GB2312"/>
          <w:color w:val="000000"/>
          <w:sz w:val="32"/>
          <w:szCs w:val="32"/>
          <w:lang w:val="en-US" w:eastAsia="zh-CN"/>
        </w:rPr>
        <w:t>5分，</w:t>
      </w:r>
      <w:r>
        <w:rPr>
          <w:rFonts w:hint="eastAsia" w:ascii="仿宋_GB2312" w:eastAsia="仿宋_GB2312"/>
          <w:color w:val="000000"/>
          <w:sz w:val="32"/>
          <w:szCs w:val="32"/>
        </w:rPr>
        <w:t>项目成员不低于</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名的，得基础分</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分</w:t>
      </w:r>
      <w:r>
        <w:rPr>
          <w:rFonts w:hint="eastAsia" w:ascii="仿宋_GB2312" w:eastAsia="仿宋_GB2312"/>
          <w:color w:val="000000"/>
          <w:sz w:val="32"/>
          <w:szCs w:val="32"/>
          <w:lang w:eastAsia="zh-CN"/>
        </w:rPr>
        <w:t>，低于</w:t>
      </w:r>
      <w:r>
        <w:rPr>
          <w:rFonts w:hint="eastAsia" w:ascii="仿宋_GB2312" w:eastAsia="仿宋_GB2312"/>
          <w:color w:val="000000"/>
          <w:sz w:val="32"/>
          <w:szCs w:val="32"/>
          <w:lang w:val="en-US" w:eastAsia="zh-CN"/>
        </w:rPr>
        <w:t>10名</w:t>
      </w:r>
      <w:r>
        <w:rPr>
          <w:rFonts w:hint="eastAsia" w:ascii="仿宋_GB2312" w:eastAsia="仿宋_GB2312"/>
          <w:color w:val="000000"/>
          <w:sz w:val="32"/>
          <w:szCs w:val="32"/>
          <w:lang w:eastAsia="zh-CN"/>
        </w:rPr>
        <w:t>的不得基础分</w:t>
      </w:r>
      <w:r>
        <w:rPr>
          <w:rFonts w:hint="eastAsia" w:ascii="仿宋_GB2312" w:eastAsia="仿宋_GB2312"/>
          <w:color w:val="000000"/>
          <w:sz w:val="32"/>
          <w:szCs w:val="32"/>
        </w:rPr>
        <w:t>。项目成员分（</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分）：除项目负责人外，其他项目成员具有注册咨询工程师（投资）、注册建筑师或注册建造师资质的，每多1人得</w:t>
      </w:r>
      <w:r>
        <w:rPr>
          <w:rFonts w:ascii="仿宋_GB2312" w:eastAsia="仿宋_GB2312"/>
          <w:color w:val="000000"/>
          <w:sz w:val="32"/>
          <w:szCs w:val="32"/>
        </w:rPr>
        <w:t>2</w:t>
      </w:r>
      <w:r>
        <w:rPr>
          <w:rFonts w:hint="eastAsia" w:ascii="仿宋_GB2312" w:eastAsia="仿宋_GB2312"/>
          <w:color w:val="000000"/>
          <w:sz w:val="32"/>
          <w:szCs w:val="32"/>
        </w:rPr>
        <w:t>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4.报价（20分）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以本次供应商所报的有效报价中的最低价作为基准报价。供应商报价得分=（基准价/投标人报价）*20分。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（四）采购评审小组构成</w:t>
      </w:r>
    </w:p>
    <w:p>
      <w:pPr>
        <w:spacing w:line="560" w:lineRule="exact"/>
        <w:ind w:firstLine="640" w:firstLineChars="200"/>
      </w:pPr>
      <w:r>
        <w:rPr>
          <w:rFonts w:hint="eastAsia" w:ascii="仿宋_GB2312" w:hAnsi="仿宋" w:eastAsia="仿宋_GB2312" w:cs="仿宋_GB2312"/>
          <w:sz w:val="32"/>
          <w:szCs w:val="32"/>
        </w:rPr>
        <w:t>采购评审小组为5人，由龙华区工业和信息化局各科室（中心）代表（在编人员）5人，随机抽签选择。</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1A"/>
    <w:rsid w:val="00074E75"/>
    <w:rsid w:val="000D27D6"/>
    <w:rsid w:val="000E76D9"/>
    <w:rsid w:val="00164890"/>
    <w:rsid w:val="001A647D"/>
    <w:rsid w:val="004015E4"/>
    <w:rsid w:val="00425691"/>
    <w:rsid w:val="00457A4C"/>
    <w:rsid w:val="00482DAE"/>
    <w:rsid w:val="004D2CEE"/>
    <w:rsid w:val="005A6DA4"/>
    <w:rsid w:val="00656F86"/>
    <w:rsid w:val="00704137"/>
    <w:rsid w:val="0075371A"/>
    <w:rsid w:val="00871D54"/>
    <w:rsid w:val="008924C8"/>
    <w:rsid w:val="00BB4675"/>
    <w:rsid w:val="00DE26CC"/>
    <w:rsid w:val="018B5E23"/>
    <w:rsid w:val="01D7442F"/>
    <w:rsid w:val="04E61460"/>
    <w:rsid w:val="07407918"/>
    <w:rsid w:val="074B2039"/>
    <w:rsid w:val="082A4024"/>
    <w:rsid w:val="088D6C72"/>
    <w:rsid w:val="08955D08"/>
    <w:rsid w:val="08C80F89"/>
    <w:rsid w:val="0A0A13D8"/>
    <w:rsid w:val="0A1C3CAD"/>
    <w:rsid w:val="0A2B2820"/>
    <w:rsid w:val="0BE044C5"/>
    <w:rsid w:val="0BEB736E"/>
    <w:rsid w:val="0C1D001B"/>
    <w:rsid w:val="0C49101F"/>
    <w:rsid w:val="0C6F245A"/>
    <w:rsid w:val="0C822E86"/>
    <w:rsid w:val="0CB200B7"/>
    <w:rsid w:val="0D4D33EF"/>
    <w:rsid w:val="0D774AD2"/>
    <w:rsid w:val="0EEF4317"/>
    <w:rsid w:val="0F3626DE"/>
    <w:rsid w:val="0FD43CEB"/>
    <w:rsid w:val="1176214A"/>
    <w:rsid w:val="11EE3C19"/>
    <w:rsid w:val="13E53ECC"/>
    <w:rsid w:val="14C7436C"/>
    <w:rsid w:val="16296743"/>
    <w:rsid w:val="166C4BCA"/>
    <w:rsid w:val="18294415"/>
    <w:rsid w:val="1868662E"/>
    <w:rsid w:val="18BE260A"/>
    <w:rsid w:val="18FF0E87"/>
    <w:rsid w:val="191F76D8"/>
    <w:rsid w:val="199A6A1D"/>
    <w:rsid w:val="1BDAF435"/>
    <w:rsid w:val="1D227A9D"/>
    <w:rsid w:val="1DCC1A0E"/>
    <w:rsid w:val="1DF66690"/>
    <w:rsid w:val="1E744877"/>
    <w:rsid w:val="1F9B29AE"/>
    <w:rsid w:val="1FC67174"/>
    <w:rsid w:val="2060185F"/>
    <w:rsid w:val="21B4262A"/>
    <w:rsid w:val="221F7B4B"/>
    <w:rsid w:val="22CE2A71"/>
    <w:rsid w:val="22D84842"/>
    <w:rsid w:val="23C310E8"/>
    <w:rsid w:val="27634715"/>
    <w:rsid w:val="276663F3"/>
    <w:rsid w:val="2814043E"/>
    <w:rsid w:val="2873427F"/>
    <w:rsid w:val="28FC0FDB"/>
    <w:rsid w:val="2ADF1071"/>
    <w:rsid w:val="2BB6317D"/>
    <w:rsid w:val="2BF31B2B"/>
    <w:rsid w:val="2BF71C22"/>
    <w:rsid w:val="2C38629A"/>
    <w:rsid w:val="2C667C5E"/>
    <w:rsid w:val="2DA655D7"/>
    <w:rsid w:val="2E184FB1"/>
    <w:rsid w:val="2EF54533"/>
    <w:rsid w:val="2F312190"/>
    <w:rsid w:val="307FFFBE"/>
    <w:rsid w:val="31A70468"/>
    <w:rsid w:val="326900DB"/>
    <w:rsid w:val="32710991"/>
    <w:rsid w:val="33941296"/>
    <w:rsid w:val="33BE7438"/>
    <w:rsid w:val="341A25CD"/>
    <w:rsid w:val="363B0FEE"/>
    <w:rsid w:val="366420CB"/>
    <w:rsid w:val="37C36520"/>
    <w:rsid w:val="37DFBDEE"/>
    <w:rsid w:val="37E68596"/>
    <w:rsid w:val="37F46ED3"/>
    <w:rsid w:val="38004CEE"/>
    <w:rsid w:val="391B61AE"/>
    <w:rsid w:val="39442600"/>
    <w:rsid w:val="397B1241"/>
    <w:rsid w:val="39B12B08"/>
    <w:rsid w:val="3A090A9A"/>
    <w:rsid w:val="3A224432"/>
    <w:rsid w:val="3A597FE2"/>
    <w:rsid w:val="3ACA0A54"/>
    <w:rsid w:val="3B0C6052"/>
    <w:rsid w:val="3C0A7791"/>
    <w:rsid w:val="3C7CB36C"/>
    <w:rsid w:val="3D095241"/>
    <w:rsid w:val="3D979446"/>
    <w:rsid w:val="3F4537FE"/>
    <w:rsid w:val="3FC7737D"/>
    <w:rsid w:val="40D1106B"/>
    <w:rsid w:val="40F13B48"/>
    <w:rsid w:val="410618CA"/>
    <w:rsid w:val="414C3967"/>
    <w:rsid w:val="41BE66EC"/>
    <w:rsid w:val="438176F0"/>
    <w:rsid w:val="44F54FB3"/>
    <w:rsid w:val="469A1E9B"/>
    <w:rsid w:val="469C1C03"/>
    <w:rsid w:val="482C105A"/>
    <w:rsid w:val="489F0BBD"/>
    <w:rsid w:val="48BA624D"/>
    <w:rsid w:val="49555CB8"/>
    <w:rsid w:val="49725CC2"/>
    <w:rsid w:val="4B5E50E6"/>
    <w:rsid w:val="4C180565"/>
    <w:rsid w:val="4DC11618"/>
    <w:rsid w:val="4FB6AF00"/>
    <w:rsid w:val="4FD22EA9"/>
    <w:rsid w:val="53641163"/>
    <w:rsid w:val="54043D51"/>
    <w:rsid w:val="54B50759"/>
    <w:rsid w:val="55E42FA2"/>
    <w:rsid w:val="56214C22"/>
    <w:rsid w:val="56CF0A36"/>
    <w:rsid w:val="57030C30"/>
    <w:rsid w:val="580F4A44"/>
    <w:rsid w:val="590761BB"/>
    <w:rsid w:val="5B6B4801"/>
    <w:rsid w:val="5CA97241"/>
    <w:rsid w:val="5CD77B89"/>
    <w:rsid w:val="5E5BD25E"/>
    <w:rsid w:val="5F577C86"/>
    <w:rsid w:val="5F635B2E"/>
    <w:rsid w:val="5F75B6FF"/>
    <w:rsid w:val="600C2CA7"/>
    <w:rsid w:val="61C07042"/>
    <w:rsid w:val="62C5769C"/>
    <w:rsid w:val="62FD1931"/>
    <w:rsid w:val="63D90AB6"/>
    <w:rsid w:val="64FDB869"/>
    <w:rsid w:val="676BE357"/>
    <w:rsid w:val="67813E00"/>
    <w:rsid w:val="6823710F"/>
    <w:rsid w:val="68870C69"/>
    <w:rsid w:val="690073B6"/>
    <w:rsid w:val="690C67C2"/>
    <w:rsid w:val="69292D03"/>
    <w:rsid w:val="696F27F4"/>
    <w:rsid w:val="6A112C1A"/>
    <w:rsid w:val="6A4E5DF2"/>
    <w:rsid w:val="6A541B01"/>
    <w:rsid w:val="6A9707B9"/>
    <w:rsid w:val="6AEDBE85"/>
    <w:rsid w:val="6B150C65"/>
    <w:rsid w:val="6B7FA494"/>
    <w:rsid w:val="6BDF5869"/>
    <w:rsid w:val="6BF0021F"/>
    <w:rsid w:val="6C5C7B68"/>
    <w:rsid w:val="6D2154B9"/>
    <w:rsid w:val="6DBD4EED"/>
    <w:rsid w:val="6DCB6142"/>
    <w:rsid w:val="6E74403C"/>
    <w:rsid w:val="6E95523D"/>
    <w:rsid w:val="6EAE4364"/>
    <w:rsid w:val="6F7B5AF7"/>
    <w:rsid w:val="6FDF106C"/>
    <w:rsid w:val="70BA2CCF"/>
    <w:rsid w:val="712140ED"/>
    <w:rsid w:val="7171514E"/>
    <w:rsid w:val="736D4BB2"/>
    <w:rsid w:val="73BF0E62"/>
    <w:rsid w:val="74F41EEF"/>
    <w:rsid w:val="752E11EB"/>
    <w:rsid w:val="75316BF5"/>
    <w:rsid w:val="75615E86"/>
    <w:rsid w:val="756526D7"/>
    <w:rsid w:val="7582014E"/>
    <w:rsid w:val="758FB8A0"/>
    <w:rsid w:val="75C34C65"/>
    <w:rsid w:val="76866A48"/>
    <w:rsid w:val="76EDC36B"/>
    <w:rsid w:val="775711A4"/>
    <w:rsid w:val="77971AA1"/>
    <w:rsid w:val="77EE8B35"/>
    <w:rsid w:val="78BB6F51"/>
    <w:rsid w:val="797766FC"/>
    <w:rsid w:val="79917D18"/>
    <w:rsid w:val="79E9120E"/>
    <w:rsid w:val="7ABE673C"/>
    <w:rsid w:val="7BAF48B0"/>
    <w:rsid w:val="7BF32F1C"/>
    <w:rsid w:val="7BF46C06"/>
    <w:rsid w:val="7BFB2419"/>
    <w:rsid w:val="7C5E2E23"/>
    <w:rsid w:val="7D164555"/>
    <w:rsid w:val="7E7F585E"/>
    <w:rsid w:val="7EBB72CF"/>
    <w:rsid w:val="7EBD2F50"/>
    <w:rsid w:val="7EDE6A76"/>
    <w:rsid w:val="7F417DA9"/>
    <w:rsid w:val="7F672D18"/>
    <w:rsid w:val="7F76BF13"/>
    <w:rsid w:val="7F7C78B7"/>
    <w:rsid w:val="7FF374D9"/>
    <w:rsid w:val="7FF7585E"/>
    <w:rsid w:val="7FFD9092"/>
    <w:rsid w:val="7FFE8B5D"/>
    <w:rsid w:val="8EFF8BB9"/>
    <w:rsid w:val="95A6ECCF"/>
    <w:rsid w:val="97FA9696"/>
    <w:rsid w:val="98CEB8EC"/>
    <w:rsid w:val="9A974A1E"/>
    <w:rsid w:val="A17B2599"/>
    <w:rsid w:val="ABCD1882"/>
    <w:rsid w:val="B7FD0B68"/>
    <w:rsid w:val="BFBFD389"/>
    <w:rsid w:val="CF996C87"/>
    <w:rsid w:val="DEBE50FD"/>
    <w:rsid w:val="DF7B1DC6"/>
    <w:rsid w:val="DFB7B1A4"/>
    <w:rsid w:val="E6F9E3CB"/>
    <w:rsid w:val="EAA3B871"/>
    <w:rsid w:val="EBE845E3"/>
    <w:rsid w:val="EE6D1F16"/>
    <w:rsid w:val="EEEB6DB7"/>
    <w:rsid w:val="EFF31E4D"/>
    <w:rsid w:val="F2EB89AA"/>
    <w:rsid w:val="F7F6E57E"/>
    <w:rsid w:val="FAFD3F4B"/>
    <w:rsid w:val="FBED326A"/>
    <w:rsid w:val="FCFFE455"/>
    <w:rsid w:val="FDF2C966"/>
    <w:rsid w:val="FE270198"/>
    <w:rsid w:val="FE971328"/>
    <w:rsid w:val="FEBDE0AD"/>
    <w:rsid w:val="FEF5199D"/>
    <w:rsid w:val="FF671386"/>
    <w:rsid w:val="FFD4D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21"/>
    <w:qFormat/>
    <w:uiPriority w:val="0"/>
    <w:pP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paragraph" w:styleId="6">
    <w:name w:val="Title"/>
    <w:basedOn w:val="1"/>
    <w:next w:val="1"/>
    <w:qFormat/>
    <w:uiPriority w:val="0"/>
    <w:pPr>
      <w:spacing w:before="240" w:after="60"/>
      <w:jc w:val="center"/>
      <w:outlineLvl w:val="0"/>
    </w:pPr>
    <w:rPr>
      <w:rFonts w:ascii="等线 Light" w:hAnsi="等线 Light" w:eastAsia="宋体"/>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656565"/>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656565"/>
      <w:u w:val="none"/>
    </w:rPr>
  </w:style>
  <w:style w:type="character" w:styleId="15">
    <w:name w:val="HTML Code"/>
    <w:basedOn w:val="9"/>
    <w:qFormat/>
    <w:uiPriority w:val="0"/>
    <w:rPr>
      <w:rFonts w:hint="default" w:ascii="Courier New" w:hAnsi="Courier New" w:eastAsia="Courier New" w:cs="Courier New"/>
      <w:sz w:val="20"/>
    </w:rPr>
  </w:style>
  <w:style w:type="character" w:styleId="16">
    <w:name w:val="HTML Cite"/>
    <w:basedOn w:val="9"/>
    <w:qFormat/>
    <w:uiPriority w:val="0"/>
  </w:style>
  <w:style w:type="character" w:styleId="17">
    <w:name w:val="HTML Keyboard"/>
    <w:basedOn w:val="9"/>
    <w:qFormat/>
    <w:uiPriority w:val="0"/>
    <w:rPr>
      <w:rFonts w:ascii="Courier New" w:hAnsi="Courier New" w:eastAsia="Courier New" w:cs="Courier New"/>
      <w:sz w:val="20"/>
    </w:rPr>
  </w:style>
  <w:style w:type="character" w:styleId="18">
    <w:name w:val="HTML Sample"/>
    <w:basedOn w:val="9"/>
    <w:qFormat/>
    <w:uiPriority w:val="0"/>
    <w:rPr>
      <w:rFonts w:hint="default" w:ascii="Courier New" w:hAnsi="Courier New" w:eastAsia="Courier New" w:cs="Courier New"/>
    </w:rPr>
  </w:style>
  <w:style w:type="paragraph" w:customStyle="1" w:styleId="19">
    <w:name w:val="USE 1"/>
    <w:basedOn w:val="1"/>
    <w:qFormat/>
    <w:uiPriority w:val="0"/>
    <w:pPr>
      <w:spacing w:line="200" w:lineRule="atLeast"/>
      <w:jc w:val="left"/>
    </w:pPr>
    <w:rPr>
      <w:rFonts w:ascii="宋体" w:hAnsi="宋体"/>
      <w:b/>
      <w:sz w:val="24"/>
      <w:szCs w:val="28"/>
    </w:rPr>
  </w:style>
  <w:style w:type="paragraph" w:customStyle="1" w:styleId="20">
    <w:name w:val="Revision"/>
    <w:hidden/>
    <w:unhideWhenUsed/>
    <w:qFormat/>
    <w:uiPriority w:val="99"/>
    <w:rPr>
      <w:rFonts w:ascii="等线" w:hAnsi="等线" w:eastAsia="等线" w:cs="Times New Roman"/>
      <w:kern w:val="2"/>
      <w:sz w:val="21"/>
      <w:szCs w:val="22"/>
      <w:lang w:val="en-US" w:eastAsia="zh-CN" w:bidi="ar-SA"/>
    </w:rPr>
  </w:style>
  <w:style w:type="character" w:customStyle="1" w:styleId="21">
    <w:name w:val="页眉 字符"/>
    <w:basedOn w:val="9"/>
    <w:link w:val="4"/>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1485</Characters>
  <Lines>12</Lines>
  <Paragraphs>3</Paragraphs>
  <TotalTime>20</TotalTime>
  <ScaleCrop>false</ScaleCrop>
  <LinksUpToDate>false</LinksUpToDate>
  <CharactersWithSpaces>1742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2023-10-19T15:20:00Z</dcterms:created>
  <dc:creator>cx</dc:creator>
  <cp:lastModifiedBy>longhua</cp:lastModifiedBy>
  <cp:lastPrinted>2024-11-01T01:53:00Z</cp:lastPrinted>
  <dcterms:modified xsi:type="dcterms:W3CDTF">2024-11-28T15:05:57Z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84971050506C688B55164867A53B9089</vt:lpwstr>
  </property>
</Properties>
</file>