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法人单位基本情况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ＭＬＫ１０１－１表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年１月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4"/>
        <w:tblW w:w="944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457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ind w:firstLine="900" w:firstLineChars="5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4366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4366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是否为“视同法人单位”？如是，请勾选  □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4" w:hRule="atLeast"/>
          <w:jc w:val="center"/>
        </w:trPr>
        <w:tc>
          <w:tcPr>
            <w:tcW w:w="491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单位所在地区划及详细地址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hint="eastAsia" w:asci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  <w:jc w:val="center"/>
        </w:trPr>
        <w:tc>
          <w:tcPr>
            <w:tcW w:w="491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hint="eastAsia" w:asci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8956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0"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电话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0"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snapToGrid w:val="0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登记注册统计类别    □□□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内资企业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>119 其他有限责任公司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 xml:space="preserve">121 私营股份有限公司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129 其他股份有限公司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131 全民所有制企业（国有企业）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132 集体所有制企业（集体企业） 133 股份合作企业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>134 联营企业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140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个人独资企业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150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合伙企业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190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其他内资企业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港澳台投资企业</w:t>
            </w:r>
          </w:p>
          <w:p>
            <w:pPr>
              <w:tabs>
                <w:tab w:val="left" w:pos="630"/>
              </w:tabs>
              <w:spacing w:line="300" w:lineRule="atLeast"/>
              <w:ind w:left="178" w:leftChars="85" w:firstLine="0" w:firstLineChars="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210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港澳台投资有限责任公司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220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港澳台投资股份有限公司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230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港澳台投资合伙企业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290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其他港澳台投资企业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外商投资企业</w:t>
            </w:r>
          </w:p>
          <w:p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310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外商投资有限责任公司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320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外商投资股份有限公司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330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外商投资合伙企业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390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其他外商投资企业</w:t>
            </w:r>
          </w:p>
          <w:p>
            <w:pPr>
              <w:snapToGrid w:val="0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400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农民专业合作社（联合社）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500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个体工商户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spacing w:line="240" w:lineRule="exact"/>
              <w:ind w:firstLine="12" w:firstLineChars="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港澳台商投资情况（限港澳台投资企业填报）（可多选）</w:t>
            </w:r>
          </w:p>
          <w:p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"/>
              </w:rPr>
              <w:t>4暂未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投资□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(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限国有控股企业填报）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 中央    11 地方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02" w:firstLineChars="5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left="1905" w:leftChars="7" w:hanging="1890" w:hangingChars="10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>
            <w:pPr>
              <w:spacing w:line="220" w:lineRule="exact"/>
              <w:ind w:left="1935" w:leftChars="107" w:hanging="1710" w:hangingChars="9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执行企业会计准则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制度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情况     □ 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 执行《企业会计准则》             2  执行《小企业会计准则》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 执行《企业会计制度》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个（有下属产业活动单位的法人填写本项）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>
            <w:pPr>
              <w:spacing w:line="22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零售业态（可多选，不超过3个）    □□□□   □□□□    □□□□</w:t>
            </w:r>
          </w:p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有店铺零售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1010  便利店    1020  超市    1030  折扣店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1040  仓储会员店    1050  百货店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1060  购物中心  1070  专业店  1080  品牌专卖店    1090  集合店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1100  无人值守商店</w:t>
            </w:r>
          </w:p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无店铺零售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2010  网络零售    2020  电视/广播零售    2030  邮寄零售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2040  无人售货设备零售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2050  电话零售    2060  直销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2070  流动货摊零售   2090  其他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单位负责人：    统计负责人：     填表人： 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hint="eastAsia" w:ascii="宋体" w:hAnsi="宋体"/>
          <w:sz w:val="18"/>
          <w:szCs w:val="18"/>
        </w:rPr>
        <w:t xml:space="preserve">填表人联系电话（手机）：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>
      <w:pPr>
        <w:spacing w:line="26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260" w:lineRule="exact"/>
        <w:jc w:val="right"/>
        <w:rPr>
          <w:rFonts w:hint="eastAsia" w:ascii="宋体" w:hAnsi="宋体" w:cs="宋体"/>
          <w:sz w:val="18"/>
          <w:szCs w:val="18"/>
        </w:rPr>
      </w:pPr>
    </w:p>
    <w:p>
      <w:r>
        <w:rPr>
          <w:rFonts w:hint="eastAsia" w:ascii="宋体" w:hAnsi="宋体" w:cs="宋体"/>
          <w:color w:val="auto"/>
          <w:sz w:val="18"/>
          <w:szCs w:val="18"/>
        </w:rPr>
        <w:t>说明：新增单位填报时，表中主要经济指标填全年预计数。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C9FB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0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马健</cp:lastModifiedBy>
  <dcterms:modified xsi:type="dcterms:W3CDTF">2024-10-17T11:22:02Z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