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2024年龙华图书馆总馆及街道分馆系列</w:t>
      </w:r>
    </w:p>
    <w:p>
      <w:pPr>
        <w:pStyle w:val="5"/>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sz w:val="44"/>
          <w:szCs w:val="44"/>
          <w:lang w:val="en-US" w:eastAsia="zh-CN"/>
        </w:rPr>
        <w:t>阅读推广活动</w:t>
      </w:r>
      <w:r>
        <w:rPr>
          <w:rFonts w:hint="eastAsia" w:ascii="方正小标宋简体" w:hAnsi="方正小标宋简体" w:eastAsia="方正小标宋简体" w:cs="方正小标宋简体"/>
          <w:b w:val="0"/>
          <w:bCs w:val="0"/>
          <w:sz w:val="44"/>
          <w:szCs w:val="44"/>
          <w:lang w:val="en-US" w:eastAsia="zh-CN"/>
        </w:rPr>
        <w:t>项目需求书</w:t>
      </w:r>
    </w:p>
    <w:p>
      <w:pPr>
        <w:keepNext w:val="0"/>
        <w:keepLines w:val="0"/>
        <w:pageBreakBefore w:val="0"/>
        <w:numPr>
          <w:ilvl w:val="0"/>
          <w:numId w:val="0"/>
        </w:numPr>
        <w:tabs>
          <w:tab w:val="left" w:pos="1820"/>
        </w:tabs>
        <w:kinsoku/>
        <w:wordWrap/>
        <w:overflowPunct/>
        <w:topLinePunct w:val="0"/>
        <w:autoSpaceDE/>
        <w:autoSpaceDN/>
        <w:bidi w:val="0"/>
        <w:snapToGrid w:val="0"/>
        <w:spacing w:after="0" w:line="560" w:lineRule="atLeast"/>
        <w:jc w:val="both"/>
        <w:textAlignment w:val="auto"/>
        <w:rPr>
          <w:rFonts w:hint="eastAsia" w:ascii="黑体" w:hAnsi="黑体" w:eastAsia="黑体" w:cs="黑体"/>
          <w:bCs/>
          <w:sz w:val="32"/>
          <w:szCs w:val="32"/>
          <w:highlight w:val="none"/>
          <w:lang w:eastAsia="zh-CN"/>
        </w:rPr>
      </w:pPr>
    </w:p>
    <w:p>
      <w:pPr>
        <w:keepNext w:val="0"/>
        <w:keepLines w:val="0"/>
        <w:pageBreakBefore w:val="0"/>
        <w:numPr>
          <w:ilvl w:val="0"/>
          <w:numId w:val="1"/>
        </w:numPr>
        <w:tabs>
          <w:tab w:val="left" w:pos="1820"/>
        </w:tabs>
        <w:kinsoku/>
        <w:wordWrap/>
        <w:overflowPunct/>
        <w:topLinePunct w:val="0"/>
        <w:autoSpaceDE/>
        <w:autoSpaceDN/>
        <w:bidi w:val="0"/>
        <w:snapToGrid w:val="0"/>
        <w:spacing w:after="0" w:line="560" w:lineRule="exact"/>
        <w:ind w:left="0" w:leftChars="0" w:right="0" w:rightChars="0" w:firstLine="640" w:firstLineChars="200"/>
        <w:jc w:val="both"/>
        <w:textAlignment w:val="auto"/>
        <w:rPr>
          <w:rFonts w:hint="eastAsia" w:ascii="黑体" w:hAnsi="黑体" w:eastAsia="黑体" w:cs="黑体"/>
          <w:bCs/>
          <w:sz w:val="32"/>
          <w:szCs w:val="32"/>
          <w:highlight w:val="none"/>
          <w:lang w:eastAsia="zh-CN"/>
        </w:rPr>
      </w:pPr>
      <w:r>
        <w:rPr>
          <w:rFonts w:hint="eastAsia" w:ascii="黑体" w:hAnsi="黑体" w:eastAsia="黑体" w:cs="黑体"/>
          <w:bCs/>
          <w:sz w:val="32"/>
          <w:szCs w:val="32"/>
          <w:highlight w:val="none"/>
          <w:lang w:eastAsia="zh-CN"/>
        </w:rPr>
        <w:t>项目</w:t>
      </w:r>
      <w:r>
        <w:rPr>
          <w:rFonts w:hint="eastAsia" w:ascii="黑体" w:hAnsi="黑体" w:eastAsia="黑体" w:cs="黑体"/>
          <w:bCs/>
          <w:sz w:val="32"/>
          <w:szCs w:val="32"/>
          <w:highlight w:val="none"/>
        </w:rPr>
        <w:t>目</w:t>
      </w:r>
      <w:r>
        <w:rPr>
          <w:rFonts w:hint="eastAsia" w:ascii="黑体" w:hAnsi="黑体" w:eastAsia="黑体" w:cs="黑体"/>
          <w:bCs/>
          <w:sz w:val="32"/>
          <w:szCs w:val="32"/>
          <w:highlight w:val="none"/>
          <w:lang w:eastAsia="zh-CN"/>
        </w:rPr>
        <w:t>标</w:t>
      </w:r>
    </w:p>
    <w:p>
      <w:pPr>
        <w:spacing w:line="560" w:lineRule="exact"/>
        <w:ind w:firstLine="640" w:firstLineChars="200"/>
        <w:rPr>
          <w:rFonts w:hint="default" w:ascii="仿宋_GB2312" w:hAnsi="仿宋_GB2312" w:eastAsia="仿宋_GB2312" w:cs="仿宋_GB2312"/>
          <w:sz w:val="32"/>
          <w:szCs w:val="32"/>
          <w:lang w:val="en" w:eastAsia="zh-CN"/>
        </w:rPr>
      </w:pPr>
      <w:r>
        <w:rPr>
          <w:rFonts w:hint="eastAsia" w:ascii="仿宋_GB2312" w:hAnsi="仿宋_GB2312" w:eastAsia="仿宋_GB2312" w:cs="仿宋_GB2312"/>
          <w:sz w:val="32"/>
          <w:szCs w:val="32"/>
        </w:rPr>
        <w:t>为全面贯彻落实党的二十大精神以及习近平总书记给国图老专家的回信精神，充分发挥公共图书馆事业在深圳建设中国特色社会主义先行示范区和粤港澳大湾区中的重要作用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切实</w:t>
      </w:r>
      <w:r>
        <w:rPr>
          <w:rFonts w:hint="eastAsia" w:ascii="仿宋_GB2312" w:hAnsi="仿宋_GB2312" w:eastAsia="仿宋_GB2312" w:cs="仿宋_GB2312"/>
          <w:sz w:val="32"/>
          <w:szCs w:val="32"/>
        </w:rPr>
        <w:t>推进和完善我区公共图书馆总分馆制建设，规范总馆的管理体系，实现资源共享化、服务体系化，</w:t>
      </w:r>
      <w:r>
        <w:rPr>
          <w:rFonts w:hint="eastAsia" w:ascii="仿宋_GB2312" w:hAnsi="仿宋_GB2312" w:eastAsia="仿宋_GB2312" w:cs="仿宋_GB2312"/>
          <w:sz w:val="32"/>
          <w:szCs w:val="32"/>
          <w:lang w:val="en-US" w:eastAsia="zh-CN"/>
        </w:rPr>
        <w:t>根据中心馆、分馆的职责及功能部署，拟在</w:t>
      </w:r>
      <w:r>
        <w:rPr>
          <w:rFonts w:hint="eastAsia" w:ascii="仿宋_GB2312" w:hAnsi="仿宋_GB2312" w:eastAsia="仿宋_GB2312" w:cs="仿宋_GB2312"/>
          <w:sz w:val="32"/>
          <w:szCs w:val="32"/>
        </w:rPr>
        <w:t>龙华图书馆</w:t>
      </w:r>
      <w:r>
        <w:rPr>
          <w:rFonts w:hint="eastAsia" w:ascii="仿宋_GB2312" w:hAnsi="仿宋_GB2312" w:eastAsia="仿宋_GB2312" w:cs="仿宋_GB2312"/>
          <w:sz w:val="32"/>
          <w:szCs w:val="32"/>
          <w:lang w:val="en-US" w:eastAsia="zh-CN"/>
        </w:rPr>
        <w:t>总馆及街道分馆开展</w:t>
      </w:r>
      <w:r>
        <w:rPr>
          <w:rFonts w:hint="eastAsia" w:ascii="仿宋_GB2312" w:hAnsi="仿宋_GB2312" w:eastAsia="仿宋_GB2312" w:cs="仿宋_GB2312"/>
          <w:sz w:val="32"/>
          <w:szCs w:val="32"/>
        </w:rPr>
        <w:t>系列阅读</w:t>
      </w:r>
      <w:r>
        <w:rPr>
          <w:rFonts w:hint="eastAsia" w:ascii="仿宋_GB2312" w:hAnsi="仿宋_GB2312" w:eastAsia="仿宋_GB2312" w:cs="仿宋_GB2312"/>
          <w:sz w:val="32"/>
          <w:szCs w:val="32"/>
          <w:lang w:val="en-US" w:eastAsia="zh-CN"/>
        </w:rPr>
        <w:t>推广活动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进一步提升公共图书馆服务均等化水平，</w:t>
      </w:r>
      <w:r>
        <w:rPr>
          <w:rFonts w:hint="eastAsia" w:ascii="仿宋_GB2312" w:hAnsi="仿宋_GB2312" w:eastAsia="仿宋_GB2312" w:cs="仿宋_GB2312"/>
          <w:sz w:val="32"/>
          <w:szCs w:val="32"/>
        </w:rPr>
        <w:t>让广大基层群众享受的基本公共文化服务内容更加丰</w:t>
      </w:r>
      <w:r>
        <w:rPr>
          <w:rFonts w:hint="eastAsia" w:ascii="仿宋_GB2312" w:hAnsi="仿宋_GB2312" w:eastAsia="仿宋_GB2312" w:cs="仿宋_GB2312"/>
          <w:sz w:val="32"/>
          <w:szCs w:val="32"/>
          <w:lang w:val="en-US" w:eastAsia="zh-CN"/>
        </w:rPr>
        <w:t>富，</w:t>
      </w:r>
      <w:r>
        <w:rPr>
          <w:rFonts w:hint="eastAsia" w:ascii="仿宋_GB2312" w:hAnsi="仿宋_GB2312" w:eastAsia="仿宋_GB2312" w:cs="仿宋_GB2312"/>
          <w:sz w:val="32"/>
          <w:szCs w:val="32"/>
        </w:rPr>
        <w:t>进一步营造市民</w:t>
      </w:r>
      <w:r>
        <w:rPr>
          <w:rFonts w:hint="eastAsia" w:ascii="仿宋_GB2312" w:hAnsi="仿宋_GB2312" w:eastAsia="仿宋_GB2312" w:cs="仿宋_GB2312"/>
          <w:sz w:val="32"/>
          <w:szCs w:val="32"/>
          <w:lang w:val="en-US" w:eastAsia="zh-CN"/>
        </w:rPr>
        <w:t>读者浓厚的</w:t>
      </w:r>
      <w:r>
        <w:rPr>
          <w:rFonts w:hint="eastAsia" w:ascii="仿宋_GB2312" w:hAnsi="仿宋_GB2312" w:eastAsia="仿宋_GB2312" w:cs="仿宋_GB2312"/>
          <w:sz w:val="32"/>
          <w:szCs w:val="32"/>
        </w:rPr>
        <w:t>阅读氛围</w:t>
      </w:r>
      <w:r>
        <w:rPr>
          <w:rFonts w:hint="eastAsia" w:ascii="仿宋_GB2312" w:hAnsi="仿宋_GB2312" w:eastAsia="仿宋_GB2312" w:cs="仿宋_GB2312"/>
          <w:sz w:val="32"/>
          <w:szCs w:val="32"/>
          <w:lang w:eastAsia="zh-CN"/>
        </w:rPr>
        <w:t>。</w:t>
      </w:r>
    </w:p>
    <w:p>
      <w:pPr>
        <w:keepNext w:val="0"/>
        <w:keepLines w:val="0"/>
        <w:pageBreakBefore w:val="0"/>
        <w:widowControl/>
        <w:tabs>
          <w:tab w:val="left" w:pos="1820"/>
        </w:tabs>
        <w:kinsoku/>
        <w:wordWrap/>
        <w:overflowPunct/>
        <w:topLinePunct w:val="0"/>
        <w:autoSpaceDE/>
        <w:autoSpaceDN/>
        <w:bidi w:val="0"/>
        <w:adjustRightInd w:val="0"/>
        <w:snapToGrid w:val="0"/>
        <w:spacing w:after="0" w:line="560" w:lineRule="exact"/>
        <w:ind w:left="0" w:leftChars="0" w:right="0" w:rightChars="0" w:firstLine="640" w:firstLineChars="200"/>
        <w:jc w:val="both"/>
        <w:textAlignment w:val="auto"/>
        <w:rPr>
          <w:rFonts w:hint="eastAsia" w:ascii="黑体" w:hAnsi="黑体" w:eastAsia="黑体" w:cs="黑体"/>
          <w:bCs/>
          <w:sz w:val="32"/>
          <w:szCs w:val="32"/>
          <w:highlight w:val="none"/>
        </w:rPr>
      </w:pPr>
      <w:r>
        <w:rPr>
          <w:rFonts w:hint="eastAsia" w:ascii="黑体" w:hAnsi="黑体" w:eastAsia="黑体" w:cs="黑体"/>
          <w:bCs/>
          <w:sz w:val="32"/>
          <w:szCs w:val="32"/>
          <w:highlight w:val="none"/>
          <w:lang w:eastAsia="zh-CN"/>
        </w:rPr>
        <w:t>二</w:t>
      </w:r>
      <w:r>
        <w:rPr>
          <w:rFonts w:hint="eastAsia" w:ascii="黑体" w:hAnsi="黑体" w:eastAsia="黑体" w:cs="黑体"/>
          <w:bCs/>
          <w:sz w:val="32"/>
          <w:szCs w:val="32"/>
          <w:highlight w:val="none"/>
        </w:rPr>
        <w:t>、时间安排</w:t>
      </w:r>
    </w:p>
    <w:p>
      <w:pPr>
        <w:keepNext w:val="0"/>
        <w:keepLines w:val="0"/>
        <w:pageBreakBefore w:val="0"/>
        <w:numPr>
          <w:ilvl w:val="0"/>
          <w:numId w:val="0"/>
        </w:numPr>
        <w:kinsoku/>
        <w:wordWrap/>
        <w:overflowPunct/>
        <w:topLinePunct w:val="0"/>
        <w:autoSpaceDE/>
        <w:autoSpaceDN/>
        <w:bidi w:val="0"/>
        <w:spacing w:line="560" w:lineRule="exact"/>
        <w:ind w:right="0" w:rightChars="0" w:firstLine="640" w:firstLineChars="200"/>
        <w:textAlignment w:val="auto"/>
        <w:rPr>
          <w:rFonts w:hint="eastAsia"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2024年9</w:t>
      </w:r>
      <w:r>
        <w:rPr>
          <w:rFonts w:hint="eastAsia" w:ascii="仿宋_GB2312" w:hAnsi="宋体" w:eastAsia="仿宋_GB2312"/>
          <w:sz w:val="32"/>
          <w:szCs w:val="32"/>
          <w:highlight w:val="none"/>
          <w:lang w:val="en" w:eastAsia="zh-CN"/>
        </w:rPr>
        <w:t>月</w:t>
      </w:r>
      <w:r>
        <w:rPr>
          <w:rFonts w:hint="eastAsia" w:ascii="仿宋_GB2312" w:hAnsi="宋体" w:eastAsia="仿宋_GB2312"/>
          <w:sz w:val="32"/>
          <w:szCs w:val="32"/>
          <w:highlight w:val="none"/>
          <w:lang w:val="en-US" w:eastAsia="zh-CN"/>
        </w:rPr>
        <w:t>-12月</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三、</w:t>
      </w:r>
      <w:r>
        <w:rPr>
          <w:rFonts w:hint="eastAsia" w:ascii="黑体" w:hAnsi="黑体" w:eastAsia="黑体" w:cs="黑体"/>
          <w:b w:val="0"/>
          <w:bCs/>
          <w:sz w:val="32"/>
          <w:szCs w:val="32"/>
          <w:highlight w:val="none"/>
          <w:lang w:eastAsia="zh-CN"/>
        </w:rPr>
        <w:t>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及要求</w:t>
      </w:r>
    </w:p>
    <w:p>
      <w:pPr>
        <w:pStyle w:val="18"/>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楷体_GB2312" w:hAnsi="仿宋" w:eastAsia="楷体_GB2312" w:cs="宋体"/>
          <w:color w:val="000000"/>
          <w:kern w:val="0"/>
          <w:sz w:val="32"/>
          <w:szCs w:val="32"/>
          <w:highlight w:val="none"/>
          <w:lang w:val="en-US" w:eastAsia="zh-CN" w:bidi="ar-SA"/>
        </w:rPr>
      </w:pPr>
      <w:r>
        <w:rPr>
          <w:rFonts w:hint="eastAsia" w:ascii="楷体_GB2312" w:hAnsi="仿宋" w:eastAsia="楷体_GB2312" w:cs="宋体"/>
          <w:color w:val="000000"/>
          <w:kern w:val="0"/>
          <w:sz w:val="32"/>
          <w:szCs w:val="32"/>
          <w:highlight w:val="none"/>
          <w:lang w:val="en-US" w:eastAsia="zh-CN" w:bidi="ar-SA"/>
        </w:rPr>
        <w:t>（一）项目内容</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项目包括8场主题阅读活动、40场系列阅读活动、40场绘本阅读活动。</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1.主题阅读活动</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邀专家教授、作家学者、行业知名人士、省市级阅读推广人等作为嘉宾，以讲座分享形式开展丰富多彩的主题阅读活动，讲座主题不限于传统文化、文学艺术、自然科普、绘本阅读等，引领广大读者遇见阅读，爱上阅读，助力书香龙华建设，让书香润泽人生。拟开展8期。</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jc w:val="both"/>
        <w:textAlignment w:val="auto"/>
        <w:rPr>
          <w:rFonts w:hint="eastAsia"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2.系列阅读活动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通过好书共读及延伸阅读体验的形式，开展系列阅读推广活动，包括但不限于自然阅读、红色文化、传统文化、人文历史等主题，让阅读融入生活。拟开展40期。</w:t>
      </w:r>
    </w:p>
    <w:p>
      <w:pPr>
        <w:keepNext w:val="0"/>
        <w:keepLines w:val="0"/>
        <w:pageBreakBefore w:val="0"/>
        <w:widowControl w:val="0"/>
        <w:numPr>
          <w:ilvl w:val="0"/>
          <w:numId w:val="0"/>
        </w:numPr>
        <w:kinsoku/>
        <w:wordWrap/>
        <w:overflowPunct/>
        <w:topLinePunct w:val="0"/>
        <w:autoSpaceDE/>
        <w:autoSpaceDN/>
        <w:bidi w:val="0"/>
        <w:spacing w:line="560" w:lineRule="exact"/>
        <w:ind w:left="640" w:leftChars="0"/>
        <w:jc w:val="both"/>
        <w:textAlignment w:val="auto"/>
        <w:rPr>
          <w:rFonts w:hint="default" w:ascii="楷体_GB2312" w:hAnsi="楷体_GB2312" w:eastAsia="楷体_GB2312" w:cs="楷体_GB2312"/>
          <w:color w:val="auto"/>
          <w:sz w:val="32"/>
          <w:szCs w:val="32"/>
          <w:highlight w:val="none"/>
          <w:lang w:val="en-US" w:eastAsia="zh-CN"/>
        </w:rPr>
      </w:pPr>
      <w:r>
        <w:rPr>
          <w:rFonts w:hint="eastAsia" w:ascii="楷体_GB2312" w:hAnsi="楷体_GB2312" w:eastAsia="楷体_GB2312" w:cs="楷体_GB2312"/>
          <w:color w:val="auto"/>
          <w:sz w:val="32"/>
          <w:szCs w:val="32"/>
          <w:highlight w:val="none"/>
          <w:lang w:val="en-US" w:eastAsia="zh-CN"/>
        </w:rPr>
        <w:t>3.绘本阅读活动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邀请专业的儿童绘本老师到馆与亲子家庭共读主题绘本，开展亲子阅读活动，助力孩子语言表达能力，培养儿童早期阅读习惯。拟开展40期。</w:t>
      </w:r>
    </w:p>
    <w:p>
      <w:pPr>
        <w:pStyle w:val="18"/>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0" w:right="0" w:rightChars="0" w:firstLine="640" w:firstLineChars="200"/>
        <w:textAlignment w:val="auto"/>
        <w:rPr>
          <w:rFonts w:hint="eastAsia" w:ascii="楷体_GB2312" w:hAnsi="仿宋" w:eastAsia="楷体_GB2312" w:cs="宋体"/>
          <w:color w:val="000000"/>
          <w:kern w:val="0"/>
          <w:sz w:val="32"/>
          <w:szCs w:val="32"/>
          <w:lang w:val="en-US" w:eastAsia="zh-CN" w:bidi="ar-SA"/>
        </w:rPr>
      </w:pPr>
      <w:r>
        <w:rPr>
          <w:rFonts w:hint="eastAsia" w:ascii="楷体_GB2312" w:hAnsi="仿宋" w:eastAsia="楷体_GB2312" w:cs="宋体"/>
          <w:color w:val="000000"/>
          <w:kern w:val="0"/>
          <w:sz w:val="32"/>
          <w:szCs w:val="32"/>
          <w:lang w:val="en-US" w:eastAsia="zh-CN" w:bidi="ar-SA"/>
        </w:rPr>
        <w:t>（二）具体需求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1.负责</w:t>
      </w:r>
      <w:r>
        <w:rPr>
          <w:rFonts w:hint="eastAsia" w:ascii="仿宋_GB2312" w:hAnsi="仿宋_GB2312" w:eastAsia="仿宋_GB2312" w:cs="仿宋_GB2312"/>
          <w:kern w:val="0"/>
          <w:sz w:val="32"/>
          <w:szCs w:val="32"/>
          <w:highlight w:val="none"/>
          <w:lang w:val="en-US" w:eastAsia="zh-CN"/>
        </w:rPr>
        <w:t>活动</w:t>
      </w:r>
      <w:r>
        <w:rPr>
          <w:rFonts w:hint="eastAsia" w:ascii="仿宋_GB2312" w:hAnsi="仿宋_GB2312" w:eastAsia="仿宋_GB2312" w:cs="仿宋_GB2312"/>
          <w:kern w:val="0"/>
          <w:sz w:val="32"/>
          <w:szCs w:val="32"/>
          <w:highlight w:val="none"/>
        </w:rPr>
        <w:t>内容设计，</w:t>
      </w:r>
      <w:r>
        <w:rPr>
          <w:rFonts w:hint="eastAsia" w:ascii="仿宋_GB2312" w:hAnsi="仿宋_GB2312" w:eastAsia="仿宋_GB2312" w:cs="仿宋_GB2312"/>
          <w:kern w:val="0"/>
          <w:sz w:val="32"/>
          <w:szCs w:val="32"/>
          <w:highlight w:val="none"/>
          <w:lang w:val="en-US" w:eastAsia="zh-CN"/>
        </w:rPr>
        <w:t>需</w:t>
      </w:r>
      <w:r>
        <w:rPr>
          <w:rFonts w:hint="eastAsia" w:ascii="仿宋_GB2312" w:hAnsi="仿宋_GB2312" w:eastAsia="仿宋_GB2312" w:cs="仿宋_GB2312"/>
          <w:kern w:val="0"/>
          <w:sz w:val="32"/>
          <w:szCs w:val="32"/>
          <w:highlight w:val="none"/>
        </w:rPr>
        <w:t>含所有类别</w:t>
      </w:r>
      <w:r>
        <w:rPr>
          <w:rFonts w:hint="eastAsia" w:ascii="仿宋_GB2312" w:hAnsi="仿宋_GB2312" w:eastAsia="仿宋_GB2312" w:cs="仿宋_GB2312"/>
          <w:kern w:val="0"/>
          <w:sz w:val="32"/>
          <w:szCs w:val="32"/>
          <w:highlight w:val="none"/>
          <w:lang w:val="en-US" w:eastAsia="zh-CN"/>
        </w:rPr>
        <w:t>活动</w:t>
      </w:r>
      <w:r>
        <w:rPr>
          <w:rFonts w:hint="eastAsia" w:ascii="仿宋_GB2312" w:hAnsi="仿宋_GB2312" w:eastAsia="仿宋_GB2312" w:cs="仿宋_GB2312"/>
          <w:kern w:val="0"/>
          <w:sz w:val="32"/>
          <w:szCs w:val="32"/>
          <w:highlight w:val="none"/>
        </w:rPr>
        <w:t>的具体</w:t>
      </w:r>
      <w:r>
        <w:rPr>
          <w:rFonts w:hint="eastAsia" w:ascii="仿宋_GB2312" w:hAnsi="仿宋_GB2312" w:eastAsia="仿宋_GB2312" w:cs="仿宋_GB2312"/>
          <w:kern w:val="0"/>
          <w:sz w:val="32"/>
          <w:szCs w:val="32"/>
          <w:highlight w:val="none"/>
          <w:lang w:val="en-US" w:eastAsia="zh-CN"/>
        </w:rPr>
        <w:t>内容</w:t>
      </w:r>
      <w:r>
        <w:rPr>
          <w:rFonts w:hint="eastAsia" w:ascii="仿宋_GB2312" w:hAnsi="仿宋_GB2312" w:eastAsia="仿宋_GB2312" w:cs="仿宋_GB2312"/>
          <w:kern w:val="0"/>
          <w:sz w:val="32"/>
          <w:szCs w:val="32"/>
          <w:highlight w:val="none"/>
        </w:rPr>
        <w:t>设计及策划</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具体</w:t>
      </w:r>
      <w:r>
        <w:rPr>
          <w:rFonts w:hint="eastAsia" w:ascii="仿宋_GB2312" w:hAnsi="仿宋_GB2312" w:eastAsia="仿宋_GB2312" w:cs="仿宋_GB2312"/>
          <w:sz w:val="32"/>
          <w:szCs w:val="32"/>
          <w:highlight w:val="none"/>
          <w:lang w:val="en-US" w:eastAsia="zh-CN"/>
        </w:rPr>
        <w:t>包含</w:t>
      </w:r>
      <w:r>
        <w:rPr>
          <w:rFonts w:hint="eastAsia" w:ascii="仿宋_GB2312" w:hAnsi="仿宋_GB2312" w:eastAsia="仿宋_GB2312" w:cs="仿宋_GB2312"/>
          <w:sz w:val="32"/>
          <w:szCs w:val="32"/>
          <w:lang w:val="en-US" w:eastAsia="zh-CN"/>
        </w:rPr>
        <w:t>8场主题阅读活动、40场系列阅读活动、40场绘本阅读活动</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kern w:val="0"/>
          <w:sz w:val="32"/>
          <w:szCs w:val="32"/>
          <w:highlight w:val="none"/>
          <w:lang w:val="en-US" w:eastAsia="zh-CN"/>
        </w:rPr>
        <w:t>其中主题阅读活动需面向所有人员、系列阅读活动需面向少年儿童群体、绘本</w:t>
      </w:r>
      <w:r>
        <w:rPr>
          <w:rFonts w:hint="eastAsia" w:ascii="仿宋_GB2312" w:hAnsi="仿宋_GB2312" w:eastAsia="仿宋_GB2312" w:cs="仿宋_GB2312"/>
          <w:sz w:val="32"/>
          <w:szCs w:val="32"/>
          <w:lang w:val="en-US" w:eastAsia="zh-CN"/>
        </w:rPr>
        <w:t>阅读活动</w:t>
      </w:r>
      <w:r>
        <w:rPr>
          <w:rFonts w:hint="eastAsia" w:ascii="仿宋_GB2312" w:hAnsi="仿宋_GB2312" w:eastAsia="仿宋_GB2312" w:cs="仿宋_GB2312"/>
          <w:kern w:val="0"/>
          <w:sz w:val="32"/>
          <w:szCs w:val="32"/>
          <w:highlight w:val="none"/>
          <w:lang w:val="en-US" w:eastAsia="zh-CN"/>
        </w:rPr>
        <w:t>需面向亲子家庭</w:t>
      </w:r>
      <w:r>
        <w:rPr>
          <w:rFonts w:hint="eastAsia" w:ascii="仿宋_GB2312" w:hAnsi="仿宋_GB2312" w:eastAsia="仿宋_GB2312" w:cs="仿宋_GB2312"/>
          <w:kern w:val="0"/>
          <w:sz w:val="32"/>
          <w:szCs w:val="32"/>
          <w:highlight w:val="none"/>
        </w:rPr>
        <w:t>；</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.负责活动的摄影摄像及档案管理，包含</w:t>
      </w:r>
      <w:r>
        <w:rPr>
          <w:rFonts w:hint="eastAsia" w:ascii="仿宋_GB2312" w:hAnsi="仿宋_GB2312" w:eastAsia="仿宋_GB2312" w:cs="仿宋_GB2312"/>
          <w:sz w:val="32"/>
          <w:szCs w:val="32"/>
          <w:lang w:val="en-US" w:eastAsia="zh-CN"/>
        </w:rPr>
        <w:t>8场主题阅读活动、40场系列阅读活动、40场绘本阅读活动</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kern w:val="0"/>
          <w:sz w:val="32"/>
          <w:szCs w:val="32"/>
          <w:highlight w:val="none"/>
          <w:lang w:val="en-US" w:eastAsia="zh-CN"/>
        </w:rPr>
        <w:t>现场</w:t>
      </w:r>
      <w:r>
        <w:rPr>
          <w:rFonts w:hint="eastAsia" w:ascii="仿宋_GB2312" w:hAnsi="仿宋_GB2312" w:eastAsia="仿宋_GB2312" w:cs="仿宋_GB2312"/>
          <w:kern w:val="0"/>
          <w:sz w:val="32"/>
          <w:szCs w:val="32"/>
          <w:highlight w:val="none"/>
        </w:rPr>
        <w:t>照片拍摄及</w:t>
      </w:r>
      <w:r>
        <w:rPr>
          <w:rFonts w:hint="eastAsia" w:ascii="仿宋_GB2312" w:hAnsi="仿宋_GB2312" w:eastAsia="仿宋_GB2312" w:cs="仿宋_GB2312"/>
          <w:kern w:val="0"/>
          <w:sz w:val="32"/>
          <w:szCs w:val="32"/>
          <w:highlight w:val="none"/>
          <w:lang w:val="en-US" w:eastAsia="zh-CN"/>
        </w:rPr>
        <w:t>影像资料整理</w:t>
      </w:r>
      <w:r>
        <w:rPr>
          <w:rFonts w:hint="eastAsia" w:ascii="仿宋_GB2312" w:hAnsi="仿宋_GB2312" w:eastAsia="仿宋_GB2312" w:cs="仿宋_GB2312"/>
          <w:kern w:val="0"/>
          <w:sz w:val="32"/>
          <w:szCs w:val="32"/>
          <w:highlight w:val="none"/>
        </w:rPr>
        <w:t>管理工作；</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负责物料设计，包含活动主海报设计、宣传物料、手举牌等设计；</w:t>
      </w:r>
    </w:p>
    <w:p>
      <w:pPr>
        <w:spacing w:line="56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.负责物料制作，包含活动宣传语手举牌，立牌，活动介绍展示；</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highlight w:val="none"/>
          <w:lang w:val="en-US" w:eastAsia="zh-CN"/>
        </w:rPr>
        <w:t>5.负责主题IP策划，在开馆阶段导入优质的主题IP资源，定向引流，同时激发周边更多文体旅消费潜力；</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kern w:val="0"/>
          <w:sz w:val="32"/>
          <w:szCs w:val="32"/>
          <w:lang w:val="en-US" w:eastAsia="zh-CN" w:bidi="ar-SA"/>
        </w:rPr>
        <w:t>负责</w:t>
      </w:r>
      <w:r>
        <w:rPr>
          <w:rFonts w:hint="eastAsia" w:ascii="仿宋_GB2312" w:hAnsi="仿宋_GB2312" w:eastAsia="仿宋_GB2312" w:cs="仿宋_GB2312"/>
          <w:sz w:val="32"/>
          <w:szCs w:val="32"/>
          <w:lang w:val="en-US" w:eastAsia="zh-CN"/>
        </w:rPr>
        <w:t>8场主题阅读活动嘉宾</w:t>
      </w:r>
      <w:r>
        <w:rPr>
          <w:rFonts w:hint="eastAsia" w:ascii="仿宋_GB2312" w:hAnsi="仿宋_GB2312" w:eastAsia="仿宋_GB2312" w:cs="仿宋_GB2312"/>
          <w:color w:val="auto"/>
          <w:kern w:val="0"/>
          <w:sz w:val="32"/>
          <w:szCs w:val="32"/>
          <w:lang w:val="en-US" w:eastAsia="zh-CN" w:bidi="ar-SA"/>
        </w:rPr>
        <w:t>邀请等工作。导师多为</w:t>
      </w:r>
      <w:r>
        <w:rPr>
          <w:rFonts w:hint="eastAsia" w:ascii="仿宋_GB2312" w:hAnsi="仿宋_GB2312" w:eastAsia="仿宋_GB2312" w:cs="仿宋_GB2312"/>
          <w:sz w:val="32"/>
          <w:szCs w:val="32"/>
          <w:lang w:val="en-US" w:eastAsia="zh-CN"/>
        </w:rPr>
        <w:t>专家教授、作家学者、行业知名人士等</w:t>
      </w:r>
      <w:r>
        <w:rPr>
          <w:rFonts w:hint="eastAsia" w:ascii="仿宋_GB2312" w:hAnsi="仿宋_GB2312" w:eastAsia="仿宋_GB2312" w:cs="仿宋_GB2312"/>
          <w:color w:val="auto"/>
          <w:kern w:val="0"/>
          <w:sz w:val="32"/>
          <w:szCs w:val="32"/>
          <w:lang w:val="en-US" w:eastAsia="zh-CN" w:bidi="ar-SA"/>
        </w:rPr>
        <w:t>。嘉宾劳务费标准为</w:t>
      </w:r>
      <w:r>
        <w:rPr>
          <w:rFonts w:hint="eastAsia" w:ascii="仿宋_GB2312" w:hAnsi="仿宋" w:eastAsia="仿宋_GB2312" w:cs="仿宋"/>
          <w:sz w:val="32"/>
          <w:szCs w:val="32"/>
          <w:highlight w:val="none"/>
          <w:lang w:val="en-US" w:eastAsia="zh-CN"/>
        </w:rPr>
        <w:t>1000元/课时，每场活动两课时；</w:t>
      </w:r>
    </w:p>
    <w:p>
      <w:pPr>
        <w:spacing w:line="56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 w:eastAsia="仿宋_GB2312" w:cs="仿宋"/>
          <w:sz w:val="32"/>
          <w:szCs w:val="32"/>
          <w:highlight w:val="none"/>
          <w:lang w:val="en-US" w:eastAsia="zh-CN"/>
        </w:rPr>
        <w:t>7.</w:t>
      </w:r>
      <w:r>
        <w:rPr>
          <w:rFonts w:hint="eastAsia" w:ascii="仿宋_GB2312" w:hAnsi="仿宋_GB2312" w:eastAsia="仿宋_GB2312" w:cs="仿宋_GB2312"/>
          <w:kern w:val="0"/>
          <w:sz w:val="32"/>
          <w:szCs w:val="32"/>
          <w:highlight w:val="none"/>
          <w:lang w:val="en-US" w:eastAsia="zh-CN"/>
        </w:rPr>
        <w:t>负责活动的人员安排，包含</w:t>
      </w:r>
      <w:r>
        <w:rPr>
          <w:rFonts w:hint="eastAsia" w:ascii="仿宋_GB2312" w:hAnsi="仿宋_GB2312" w:eastAsia="仿宋_GB2312" w:cs="仿宋_GB2312"/>
          <w:sz w:val="32"/>
          <w:szCs w:val="32"/>
          <w:lang w:val="en-US" w:eastAsia="zh-CN"/>
        </w:rPr>
        <w:t>40场系列阅读活动的</w:t>
      </w:r>
      <w:r>
        <w:rPr>
          <w:rFonts w:hint="eastAsia" w:ascii="仿宋_GB2312" w:hAnsi="仿宋_GB2312" w:eastAsia="仿宋_GB2312" w:cs="仿宋_GB2312"/>
          <w:kern w:val="0"/>
          <w:sz w:val="32"/>
          <w:szCs w:val="32"/>
          <w:highlight w:val="none"/>
          <w:lang w:val="en-US" w:eastAsia="zh-CN"/>
        </w:rPr>
        <w:t>讲师和助教邀请安排，及</w:t>
      </w:r>
      <w:r>
        <w:rPr>
          <w:rFonts w:hint="eastAsia" w:ascii="仿宋_GB2312" w:hAnsi="仿宋_GB2312" w:eastAsia="仿宋_GB2312" w:cs="仿宋_GB2312"/>
          <w:sz w:val="32"/>
          <w:szCs w:val="32"/>
          <w:lang w:val="en-US" w:eastAsia="zh-CN"/>
        </w:rPr>
        <w:t>40场绘本阅读活动的</w:t>
      </w:r>
      <w:r>
        <w:rPr>
          <w:rFonts w:hint="eastAsia" w:ascii="仿宋_GB2312" w:hAnsi="仿宋_GB2312" w:eastAsia="仿宋_GB2312" w:cs="仿宋_GB2312"/>
          <w:kern w:val="0"/>
          <w:sz w:val="32"/>
          <w:szCs w:val="32"/>
          <w:highlight w:val="none"/>
          <w:lang w:val="en-US" w:eastAsia="zh-CN"/>
        </w:rPr>
        <w:t>讲师邀</w:t>
      </w:r>
      <w:bookmarkStart w:id="0" w:name="_GoBack"/>
      <w:bookmarkEnd w:id="0"/>
      <w:r>
        <w:rPr>
          <w:rFonts w:hint="eastAsia" w:ascii="仿宋_GB2312" w:hAnsi="仿宋_GB2312" w:eastAsia="仿宋_GB2312" w:cs="仿宋_GB2312"/>
          <w:kern w:val="0"/>
          <w:sz w:val="32"/>
          <w:szCs w:val="32"/>
          <w:highlight w:val="none"/>
          <w:lang w:val="en-US" w:eastAsia="zh-CN"/>
        </w:rPr>
        <w:t>请安排。</w:t>
      </w:r>
      <w:r>
        <w:rPr>
          <w:rFonts w:hint="eastAsia" w:ascii="仿宋_GB2312" w:hAnsi="仿宋_GB2312" w:eastAsia="仿宋_GB2312" w:cs="仿宋_GB2312"/>
          <w:sz w:val="32"/>
          <w:szCs w:val="32"/>
          <w:highlight w:val="none"/>
          <w:lang w:val="en-US" w:eastAsia="zh-CN"/>
        </w:rPr>
        <w:t>所邀请讲师需有丰富教学经验的阅读推广人或其同类活动经验丰富，确保活动开展质量</w:t>
      </w:r>
      <w:r>
        <w:rPr>
          <w:rFonts w:hint="eastAsia" w:ascii="仿宋_GB2312" w:hAnsi="仿宋_GB2312" w:eastAsia="仿宋_GB2312" w:cs="仿宋_GB2312"/>
          <w:kern w:val="0"/>
          <w:sz w:val="32"/>
          <w:szCs w:val="32"/>
          <w:highlight w:val="none"/>
          <w:lang w:val="en-US" w:eastAsia="zh-CN"/>
        </w:rPr>
        <w:t>；其中，讲师劳务费标准为400元/课时，助教劳务费标准为200元/课时。</w:t>
      </w:r>
    </w:p>
    <w:p>
      <w:pPr>
        <w:spacing w:line="560" w:lineRule="exact"/>
        <w:ind w:firstLine="640" w:firstLineChars="200"/>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8.负责活动嘉宾、讲师及助教的交通补贴，标准为80元/人次；</w:t>
      </w:r>
    </w:p>
    <w:p>
      <w:pPr>
        <w:spacing w:line="560" w:lineRule="exact"/>
        <w:ind w:firstLine="640" w:firstLineChars="200"/>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9.</w:t>
      </w:r>
      <w:r>
        <w:rPr>
          <w:rFonts w:hint="eastAsia" w:ascii="仿宋_GB2312" w:hAnsi="仿宋_GB2312" w:eastAsia="仿宋_GB2312" w:cs="仿宋_GB2312"/>
          <w:kern w:val="0"/>
          <w:sz w:val="32"/>
          <w:szCs w:val="32"/>
          <w:highlight w:val="none"/>
        </w:rPr>
        <w:t>负责</w:t>
      </w:r>
      <w:r>
        <w:rPr>
          <w:rFonts w:hint="eastAsia" w:ascii="仿宋_GB2312" w:hAnsi="仿宋_GB2312" w:eastAsia="仿宋_GB2312" w:cs="仿宋_GB2312"/>
          <w:kern w:val="0"/>
          <w:sz w:val="32"/>
          <w:szCs w:val="32"/>
          <w:highlight w:val="none"/>
          <w:lang w:val="en-US" w:eastAsia="zh-CN"/>
        </w:rPr>
        <w:t>40场</w:t>
      </w:r>
      <w:r>
        <w:rPr>
          <w:rFonts w:hint="eastAsia" w:ascii="仿宋_GB2312" w:hAnsi="仿宋_GB2312" w:eastAsia="仿宋_GB2312" w:cs="仿宋_GB2312"/>
          <w:sz w:val="32"/>
          <w:szCs w:val="32"/>
          <w:lang w:val="en-US" w:eastAsia="zh-CN"/>
        </w:rPr>
        <w:t>系列阅读活动所需</w:t>
      </w:r>
      <w:r>
        <w:rPr>
          <w:rFonts w:hint="eastAsia" w:ascii="仿宋_GB2312" w:hAnsi="仿宋_GB2312" w:eastAsia="仿宋_GB2312" w:cs="仿宋_GB2312"/>
          <w:kern w:val="0"/>
          <w:sz w:val="32"/>
          <w:szCs w:val="32"/>
          <w:highlight w:val="none"/>
          <w:lang w:val="en-US" w:eastAsia="zh-CN"/>
        </w:rPr>
        <w:t>活动物料的</w:t>
      </w:r>
      <w:r>
        <w:rPr>
          <w:rFonts w:hint="eastAsia" w:ascii="仿宋_GB2312" w:hAnsi="仿宋_GB2312" w:eastAsia="仿宋_GB2312" w:cs="仿宋_GB2312"/>
          <w:kern w:val="0"/>
          <w:sz w:val="32"/>
          <w:szCs w:val="32"/>
          <w:highlight w:val="none"/>
        </w:rPr>
        <w:t>采买搭配，</w:t>
      </w:r>
      <w:r>
        <w:rPr>
          <w:rFonts w:hint="eastAsia" w:ascii="仿宋_GB2312" w:hAnsi="仿宋_GB2312" w:eastAsia="仿宋_GB2312" w:cs="仿宋_GB2312"/>
          <w:kern w:val="0"/>
          <w:sz w:val="32"/>
          <w:szCs w:val="32"/>
          <w:highlight w:val="none"/>
          <w:lang w:val="en-US" w:eastAsia="zh-CN"/>
        </w:rPr>
        <w:t>根据活动主题购置相应的活动物料，每场不少于20份；</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10</w:t>
      </w:r>
      <w:r>
        <w:rPr>
          <w:rFonts w:hint="eastAsia" w:ascii="仿宋_GB2312" w:hAnsi="仿宋_GB2312" w:eastAsia="仿宋_GB2312" w:cs="仿宋_GB2312"/>
          <w:kern w:val="0"/>
          <w:sz w:val="32"/>
          <w:szCs w:val="32"/>
          <w:highlight w:val="none"/>
        </w:rPr>
        <w:t>.负责</w:t>
      </w:r>
      <w:r>
        <w:rPr>
          <w:rFonts w:hint="eastAsia" w:ascii="仿宋_GB2312" w:hAnsi="仿宋_GB2312" w:eastAsia="仿宋_GB2312" w:cs="仿宋_GB2312"/>
          <w:kern w:val="0"/>
          <w:sz w:val="32"/>
          <w:szCs w:val="32"/>
          <w:highlight w:val="none"/>
          <w:lang w:val="en-US" w:eastAsia="zh-CN"/>
        </w:rPr>
        <w:t>活动所需的移动</w:t>
      </w:r>
      <w:r>
        <w:rPr>
          <w:rFonts w:hint="eastAsia" w:ascii="仿宋_GB2312" w:hAnsi="仿宋_GB2312" w:eastAsia="仿宋_GB2312" w:cs="仿宋_GB2312"/>
          <w:kern w:val="0"/>
          <w:sz w:val="32"/>
          <w:szCs w:val="32"/>
          <w:highlight w:val="none"/>
        </w:rPr>
        <w:t>设备租赁</w:t>
      </w:r>
      <w:r>
        <w:rPr>
          <w:rFonts w:hint="eastAsia" w:ascii="仿宋_GB2312" w:hAnsi="仿宋_GB2312" w:eastAsia="仿宋_GB2312" w:cs="仿宋_GB2312"/>
          <w:kern w:val="0"/>
          <w:sz w:val="32"/>
          <w:szCs w:val="32"/>
          <w:highlight w:val="none"/>
          <w:lang w:eastAsia="zh-CN"/>
        </w:rPr>
        <w:t>，如移动音箱等；</w:t>
      </w:r>
    </w:p>
    <w:p>
      <w:pPr>
        <w:spacing w:line="56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rPr>
        <w:t>.负责</w:t>
      </w:r>
      <w:r>
        <w:rPr>
          <w:rFonts w:hint="eastAsia" w:ascii="仿宋_GB2312" w:hAnsi="仿宋_GB2312" w:eastAsia="仿宋_GB2312" w:cs="仿宋_GB2312"/>
          <w:kern w:val="0"/>
          <w:sz w:val="32"/>
          <w:szCs w:val="32"/>
          <w:highlight w:val="none"/>
          <w:lang w:val="en-US" w:eastAsia="zh-CN"/>
        </w:rPr>
        <w:t>活动所需的现场布置及清理复原；</w:t>
      </w:r>
    </w:p>
    <w:p>
      <w:pPr>
        <w:spacing w:line="560" w:lineRule="exact"/>
        <w:ind w:firstLine="640" w:firstLineChars="200"/>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12.活动现场工作人员用水；</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13.本活动所涉及文字、照片、视频影像等资料版权最终归主办方所有；</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14.由于供应商原因造成活动物料质量低劣，不能满足采购方要求时，应继续完善试验工作，其费用由供应商承担；</w:t>
      </w:r>
    </w:p>
    <w:p>
      <w:pPr>
        <w:pStyle w:val="3"/>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textAlignment w:val="auto"/>
        <w:rPr>
          <w:rFonts w:hint="default"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15.由于不可抗力因素、场地或人员安排冲突等原因导致活动改期，供应商应积极配合，并提供最优解决方案；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rPr>
      </w:pPr>
      <w:r>
        <w:rPr>
          <w:rFonts w:hint="eastAsia" w:ascii="仿宋_GB2312" w:hAnsi="仿宋" w:eastAsia="仿宋_GB2312" w:cs="仿宋"/>
          <w:sz w:val="32"/>
          <w:szCs w:val="32"/>
          <w:highlight w:val="none"/>
          <w:lang w:val="en-US" w:eastAsia="zh-CN"/>
        </w:rPr>
        <w:t>16.完成采购方要求的其他相关工作，保证活动高质量完成。</w:t>
      </w:r>
    </w:p>
    <w:p>
      <w:pPr>
        <w:pStyle w:val="3"/>
        <w:ind w:left="0" w:leftChars="0" w:firstLine="0" w:firstLineChars="0"/>
        <w:rPr>
          <w:rFonts w:hint="default" w:eastAsia="仿宋_GB2312"/>
          <w:lang w:val="en-US" w:eastAsia="zh-CN"/>
        </w:rPr>
      </w:pPr>
    </w:p>
    <w:p>
      <w:pPr>
        <w:numPr>
          <w:ilvl w:val="0"/>
          <w:numId w:val="2"/>
        </w:numPr>
        <w:tabs>
          <w:tab w:val="left" w:pos="1820"/>
        </w:tabs>
        <w:adjustRightInd w:val="0"/>
        <w:snapToGrid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报价限额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 w:eastAsia="仿宋_GB2312" w:cs="仿宋"/>
          <w:sz w:val="32"/>
          <w:szCs w:val="32"/>
          <w:lang w:eastAsia="zh-CN"/>
        </w:rPr>
        <w:t>项目报价不得超过</w:t>
      </w:r>
      <w:r>
        <w:rPr>
          <w:rFonts w:hint="eastAsia" w:ascii="仿宋_GB2312" w:hAnsi="仿宋_GB2312" w:eastAsia="仿宋_GB2312" w:cs="仿宋_GB2312"/>
          <w:color w:val="auto"/>
          <w:sz w:val="32"/>
          <w:szCs w:val="32"/>
          <w:lang w:val="en-US" w:eastAsia="zh-CN"/>
        </w:rPr>
        <w:t>25.672</w:t>
      </w:r>
      <w:r>
        <w:rPr>
          <w:rFonts w:hint="eastAsia" w:ascii="仿宋_GB2312" w:hAnsi="仿宋" w:eastAsia="仿宋_GB2312" w:cs="仿宋"/>
          <w:sz w:val="32"/>
          <w:szCs w:val="32"/>
        </w:rPr>
        <w:t>万元</w:t>
      </w:r>
      <w:r>
        <w:rPr>
          <w:rFonts w:hint="eastAsia" w:ascii="仿宋_GB2312" w:hAnsi="仿宋" w:eastAsia="仿宋_GB2312" w:cs="仿宋"/>
          <w:sz w:val="32"/>
          <w:szCs w:val="32"/>
          <w:lang w:val="en-US" w:eastAsia="zh-CN"/>
        </w:rPr>
        <w:t>,</w:t>
      </w:r>
      <w:r>
        <w:rPr>
          <w:rFonts w:hint="eastAsia" w:ascii="仿宋_GB2312" w:hAnsi="仿宋_GB2312" w:eastAsia="仿宋_GB2312" w:cs="仿宋_GB2312"/>
          <w:kern w:val="2"/>
          <w:sz w:val="32"/>
          <w:szCs w:val="32"/>
          <w:highlight w:val="none"/>
          <w:lang w:val="en-US" w:eastAsia="zh-CN" w:bidi="ar-SA"/>
        </w:rPr>
        <w:t>其中各项目报价不得超过对应的单项限额。</w:t>
      </w:r>
    </w:p>
    <w:tbl>
      <w:tblPr>
        <w:tblStyle w:val="8"/>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29"/>
        <w:gridCol w:w="1665"/>
        <w:gridCol w:w="893"/>
        <w:gridCol w:w="894"/>
        <w:gridCol w:w="1590"/>
        <w:gridCol w:w="25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类目</w:t>
            </w:r>
          </w:p>
        </w:tc>
        <w:tc>
          <w:tcPr>
            <w:tcW w:w="166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内容</w:t>
            </w:r>
          </w:p>
        </w:tc>
        <w:tc>
          <w:tcPr>
            <w:tcW w:w="893"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数量</w:t>
            </w:r>
          </w:p>
        </w:tc>
        <w:tc>
          <w:tcPr>
            <w:tcW w:w="894"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单位</w:t>
            </w:r>
          </w:p>
        </w:tc>
        <w:tc>
          <w:tcPr>
            <w:tcW w:w="15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单价限额（元）</w:t>
            </w:r>
          </w:p>
        </w:tc>
        <w:tc>
          <w:tcPr>
            <w:tcW w:w="256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9"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活动整体</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活动内容设计</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0" w:type="auto"/>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0" w:type="auto"/>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59120</w:t>
            </w:r>
          </w:p>
        </w:tc>
        <w:tc>
          <w:tcPr>
            <w:tcW w:w="256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含所有类别活动的具体内容设计及策划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529"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交通费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88场次活动讲师及助教交通补贴，80元/人,128人次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9"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项目管理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529"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活动用水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箱</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29"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摄影摄像及档案管理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照片拍摄及档案管理工作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529"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物料设计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活动主海报、宣传语手举牌，立牌等设计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529" w:type="dxa"/>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物料制作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活动主海报、宣传语手举牌，立牌等制作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主题活动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主题IP策划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46000</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开馆阶段导入优质的主题IP资源，定向引流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嘉宾劳务费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人次</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开展8场次，每场两课时，1000元/课时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529"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系列阅读活动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讲师劳务费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人次</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135600</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开展40场次，每场两课时，每课时400元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529" w:type="dxa"/>
            <w:vMerge w:val="continue"/>
            <w:tcBorders>
              <w:left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助教费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人次</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开展40场次，每场两课时，每课时200元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1529" w:type="dxa"/>
            <w:vMerge w:val="continue"/>
            <w:tcBorders>
              <w:left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活动材料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场次</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根据活动主题购置相应的活动物料，每场不少于20份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529" w:type="dxa"/>
            <w:vMerge w:val="continue"/>
            <w:tcBorders>
              <w:left w:val="single" w:color="000000" w:sz="4" w:space="0"/>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移动设备租赁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活动移动设备租赁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29" w:type="dxa"/>
            <w:vMerge w:val="continue"/>
            <w:tcBorders>
              <w:left w:val="single" w:color="000000" w:sz="4" w:space="0"/>
              <w:bottom w:val="nil"/>
              <w:right w:val="single" w:color="000000" w:sz="4" w:space="0"/>
            </w:tcBorders>
            <w:shd w:val="clear" w:color="auto" w:fill="auto"/>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现场布置</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方正仿宋_GB2312" w:hAnsi="方正仿宋_GB2312" w:eastAsia="方正仿宋_GB2312" w:cs="方正仿宋_GB2312"/>
                <w:i w:val="0"/>
                <w:iCs w:val="0"/>
                <w:color w:val="000000"/>
                <w:sz w:val="22"/>
                <w:szCs w:val="22"/>
                <w:u w:val="none"/>
              </w:rPr>
            </w:pPr>
          </w:p>
        </w:tc>
        <w:tc>
          <w:tcPr>
            <w:tcW w:w="256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现场布置及清理复原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绘本阅读活动</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讲师劳务费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sz w:val="22"/>
                <w:szCs w:val="22"/>
                <w:u w:val="none"/>
              </w:rPr>
            </w:pPr>
            <w:r>
              <w:rPr>
                <w:rFonts w:hint="eastAsia" w:ascii="方正仿宋_GB2312" w:hAnsi="方正仿宋_GB2312" w:eastAsia="方正仿宋_GB2312" w:cs="方正仿宋_GB2312"/>
                <w:i w:val="0"/>
                <w:iCs w:val="0"/>
                <w:color w:val="000000"/>
                <w:kern w:val="0"/>
                <w:sz w:val="22"/>
                <w:szCs w:val="22"/>
                <w:u w:val="none"/>
                <w:lang w:val="en-US" w:eastAsia="zh-CN" w:bidi="ar"/>
              </w:rPr>
              <w:t>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16000</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方正仿宋_GB2312" w:hAnsi="方正仿宋_GB2312" w:eastAsia="方正仿宋_GB2312" w:cs="方正仿宋_GB2312"/>
                <w:i w:val="0"/>
                <w:iCs w:val="0"/>
                <w:color w:val="000000"/>
                <w:sz w:val="22"/>
                <w:szCs w:val="22"/>
                <w:u w:val="none"/>
                <w:lang w:val="en-US"/>
              </w:rPr>
            </w:pPr>
            <w:r>
              <w:rPr>
                <w:rFonts w:hint="eastAsia" w:ascii="方正仿宋_GB2312" w:hAnsi="方正仿宋_GB2312" w:eastAsia="方正仿宋_GB2312" w:cs="方正仿宋_GB2312"/>
                <w:i w:val="0"/>
                <w:iCs w:val="0"/>
                <w:color w:val="000000"/>
                <w:kern w:val="0"/>
                <w:sz w:val="22"/>
                <w:szCs w:val="22"/>
                <w:u w:val="none"/>
                <w:lang w:val="en-US" w:eastAsia="zh-CN" w:bidi="ar"/>
              </w:rPr>
              <w:t>开展40场绘本阅读活动</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kern w:val="2"/>
          <w:sz w:val="32"/>
          <w:szCs w:val="32"/>
          <w:highlight w:val="none"/>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（1）在中国境内注册的独立法人或其他组织（提供营业执照、事业法人证书、社会团体法人登记证书等扫描件）；</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（2）参与本项目投标近三年内（供应商成立不足三年的可从成立之日起算），在经营活动中没有重大违法记录以及不存在被有关部门禁止参与政府采购活动且在有效期内的情况;</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（3）单位负责人为同一人或者存在直接控股、管理关系的不同供应商，不得同时参加本项目的采购活动。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eastAsia" w:ascii="仿宋_GB2312" w:hAnsi="仿宋" w:eastAsia="仿宋_GB2312"/>
          <w:color w:val="auto"/>
          <w:sz w:val="32"/>
          <w:highlight w:val="none"/>
        </w:rPr>
      </w:pPr>
      <w:r>
        <w:rPr>
          <w:rFonts w:hint="eastAsia" w:ascii="仿宋_GB2312" w:hAnsi="仿宋" w:eastAsia="仿宋_GB2312"/>
          <w:color w:val="auto"/>
          <w:sz w:val="32"/>
          <w:highlight w:val="none"/>
          <w:lang w:eastAsia="zh-CN"/>
        </w:rPr>
        <w:t>综合评分</w:t>
      </w:r>
      <w:r>
        <w:rPr>
          <w:rFonts w:hint="eastAsia" w:ascii="仿宋_GB2312" w:hAnsi="仿宋" w:eastAsia="仿宋_GB2312"/>
          <w:color w:val="auto"/>
          <w:sz w:val="32"/>
          <w:highlight w:val="none"/>
        </w:rPr>
        <w:t>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9"/>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仿宋_GB2312"/>
          <w:bCs/>
          <w:color w:val="000000"/>
          <w:sz w:val="32"/>
          <w:szCs w:val="32"/>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pStyle w:val="19"/>
        <w:keepNext w:val="0"/>
        <w:keepLines w:val="0"/>
        <w:pageBreakBefore w:val="0"/>
        <w:numPr>
          <w:ilvl w:val="0"/>
          <w:numId w:val="3"/>
        </w:numPr>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rPr>
        <w:t>评分权重</w:t>
      </w:r>
    </w:p>
    <w:tbl>
      <w:tblPr>
        <w:tblStyle w:val="9"/>
        <w:tblW w:w="0" w:type="auto"/>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296"/>
        <w:gridCol w:w="2295"/>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评分内容</w:t>
            </w:r>
          </w:p>
        </w:tc>
        <w:tc>
          <w:tcPr>
            <w:tcW w:w="2296"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eastAsia="zh-CN"/>
              </w:rPr>
              <w:t>商务能力</w:t>
            </w:r>
          </w:p>
        </w:tc>
        <w:tc>
          <w:tcPr>
            <w:tcW w:w="2295"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仿宋_GB2312" w:hAnsi="仿宋_GB2312" w:eastAsia="仿宋_GB2312" w:cs="仿宋_GB2312"/>
                <w:b w:val="0"/>
                <w:bCs/>
                <w:color w:val="auto"/>
                <w:sz w:val="24"/>
                <w:szCs w:val="24"/>
                <w:highlight w:val="none"/>
                <w:vertAlign w:val="baseline"/>
                <w:lang w:val="en-US" w:eastAsia="zh-CN"/>
              </w:rPr>
            </w:pPr>
            <w:r>
              <w:rPr>
                <w:rFonts w:hint="eastAsia" w:ascii="仿宋_GB2312" w:hAnsi="仿宋_GB2312" w:eastAsia="仿宋_GB2312" w:cs="仿宋_GB2312"/>
                <w:b w:val="0"/>
                <w:bCs/>
                <w:color w:val="auto"/>
                <w:sz w:val="24"/>
                <w:szCs w:val="24"/>
                <w:highlight w:val="none"/>
                <w:vertAlign w:val="baseline"/>
                <w:lang w:val="en-US" w:eastAsia="zh-CN"/>
              </w:rPr>
              <w:t>技术能力</w:t>
            </w:r>
          </w:p>
        </w:tc>
        <w:tc>
          <w:tcPr>
            <w:tcW w:w="2460"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rPr>
              <w:t>分值</w:t>
            </w:r>
          </w:p>
        </w:tc>
        <w:tc>
          <w:tcPr>
            <w:tcW w:w="2296"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20</w:t>
            </w:r>
            <w:r>
              <w:rPr>
                <w:rFonts w:hint="eastAsia" w:ascii="仿宋_GB2312" w:hAnsi="仿宋_GB2312" w:eastAsia="仿宋_GB2312" w:cs="仿宋_GB2312"/>
                <w:b w:val="0"/>
                <w:bCs/>
                <w:color w:val="auto"/>
                <w:sz w:val="24"/>
                <w:szCs w:val="24"/>
                <w:highlight w:val="none"/>
              </w:rPr>
              <w:t>分</w:t>
            </w:r>
          </w:p>
        </w:tc>
        <w:tc>
          <w:tcPr>
            <w:tcW w:w="2295"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50</w:t>
            </w:r>
            <w:r>
              <w:rPr>
                <w:rFonts w:hint="eastAsia" w:ascii="仿宋_GB2312" w:hAnsi="仿宋_GB2312" w:eastAsia="仿宋_GB2312" w:cs="仿宋_GB2312"/>
                <w:b w:val="0"/>
                <w:bCs/>
                <w:color w:val="auto"/>
                <w:sz w:val="24"/>
                <w:szCs w:val="24"/>
                <w:highlight w:val="none"/>
              </w:rPr>
              <w:t>分</w:t>
            </w:r>
          </w:p>
        </w:tc>
        <w:tc>
          <w:tcPr>
            <w:tcW w:w="2460" w:type="dxa"/>
            <w:noWrap w:val="0"/>
            <w:vAlign w:val="top"/>
          </w:tcPr>
          <w:p>
            <w:pPr>
              <w:pStyle w:val="19"/>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s="仿宋_GB2312"/>
                <w:b w:val="0"/>
                <w:bCs/>
                <w:color w:val="auto"/>
                <w:sz w:val="24"/>
                <w:szCs w:val="24"/>
                <w:highlight w:val="none"/>
                <w:vertAlign w:val="baseline"/>
              </w:rPr>
            </w:pPr>
            <w:r>
              <w:rPr>
                <w:rFonts w:hint="eastAsia" w:ascii="仿宋_GB2312" w:hAnsi="仿宋_GB2312" w:eastAsia="仿宋_GB2312" w:cs="仿宋_GB2312"/>
                <w:b w:val="0"/>
                <w:bCs/>
                <w:color w:val="auto"/>
                <w:sz w:val="24"/>
                <w:szCs w:val="24"/>
                <w:highlight w:val="none"/>
                <w:lang w:val="en-US" w:eastAsia="zh-CN"/>
              </w:rPr>
              <w:t>30分</w:t>
            </w:r>
          </w:p>
        </w:tc>
      </w:tr>
    </w:tbl>
    <w:p>
      <w:pPr>
        <w:pStyle w:val="19"/>
        <w:keepNext w:val="0"/>
        <w:keepLines w:val="0"/>
        <w:pageBreakBefore w:val="0"/>
        <w:kinsoku/>
        <w:wordWrap/>
        <w:overflowPunct/>
        <w:topLinePunct w:val="0"/>
        <w:autoSpaceDE/>
        <w:autoSpaceDN/>
        <w:bidi w:val="0"/>
        <w:spacing w:line="560" w:lineRule="exact"/>
        <w:ind w:firstLine="640" w:firstLineChars="200"/>
        <w:textAlignment w:val="auto"/>
        <w:rPr>
          <w:rFonts w:hint="eastAsia" w:ascii="楷体" w:hAnsi="楷体" w:eastAsia="楷体" w:cs="楷体"/>
          <w:b w:val="0"/>
          <w:bCs/>
          <w:color w:val="auto"/>
          <w:sz w:val="32"/>
          <w:szCs w:val="32"/>
          <w:highlight w:val="none"/>
          <w:lang w:eastAsia="zh-CN"/>
        </w:rPr>
      </w:pPr>
    </w:p>
    <w:p>
      <w:pPr>
        <w:pStyle w:val="19"/>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楷体" w:hAnsi="楷体" w:eastAsia="楷体" w:cs="楷体"/>
          <w:b w:val="0"/>
          <w:bCs/>
          <w:color w:val="auto"/>
          <w:sz w:val="32"/>
          <w:szCs w:val="32"/>
          <w:highlight w:val="none"/>
          <w:lang w:eastAsia="zh-CN"/>
        </w:rPr>
        <w:t>（三）评分标准</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1.商务能力</w:t>
      </w:r>
    </w:p>
    <w:tbl>
      <w:tblPr>
        <w:tblStyle w:val="8"/>
        <w:tblW w:w="888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122"/>
        <w:gridCol w:w="2733"/>
        <w:gridCol w:w="4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374" w:type="dxa"/>
            <w:gridSpan w:val="3"/>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4515" w:type="dxa"/>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5" w:hRule="atLeast"/>
        </w:trPr>
        <w:tc>
          <w:tcPr>
            <w:tcW w:w="5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rPr>
              <w:t>商务</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评分</w:t>
            </w:r>
            <w:r>
              <w:rPr>
                <w:rFonts w:hint="eastAsia" w:ascii="仿宋_GB2312" w:hAnsi="仿宋_GB2312" w:eastAsia="仿宋_GB2312" w:cs="仿宋_GB2312"/>
                <w:b w:val="0"/>
                <w:bCs/>
                <w:color w:val="auto"/>
                <w:sz w:val="24"/>
                <w:szCs w:val="24"/>
                <w:highlight w:val="none"/>
                <w:lang w:val="en-US" w:eastAsia="zh-CN"/>
              </w:rPr>
              <w:t>20</w:t>
            </w:r>
            <w:r>
              <w:rPr>
                <w:rFonts w:hint="eastAsia" w:ascii="仿宋_GB2312" w:hAnsi="仿宋_GB2312" w:eastAsia="仿宋_GB2312" w:cs="仿宋_GB2312"/>
                <w:b w:val="0"/>
                <w:bCs/>
                <w:color w:val="auto"/>
                <w:sz w:val="24"/>
                <w:szCs w:val="24"/>
                <w:highlight w:val="none"/>
              </w:rPr>
              <w:t>分</w:t>
            </w:r>
          </w:p>
        </w:tc>
        <w:tc>
          <w:tcPr>
            <w:tcW w:w="1122" w:type="dxa"/>
            <w:noWrap w:val="0"/>
            <w:vAlign w:val="center"/>
          </w:tcPr>
          <w:p>
            <w:pPr>
              <w:spacing w:line="400" w:lineRule="exact"/>
              <w:jc w:val="center"/>
              <w:rPr>
                <w:rFonts w:hint="default" w:ascii="仿宋_GB2312" w:hAnsi="仿宋_GB2312" w:eastAsia="仿宋_GB2312" w:cs="仿宋_GB2312"/>
                <w:b w:val="0"/>
                <w:bCs/>
                <w:color w:val="auto"/>
                <w:kern w:val="0"/>
                <w:sz w:val="24"/>
                <w:szCs w:val="24"/>
                <w:highlight w:val="yellow"/>
                <w:lang w:val="en-US" w:eastAsia="zh-CN" w:bidi="ar-SA"/>
              </w:rPr>
            </w:pPr>
            <w:r>
              <w:rPr>
                <w:rFonts w:hint="eastAsia" w:ascii="仿宋_GB2312" w:hAnsi="仿宋_GB2312" w:eastAsia="仿宋_GB2312" w:cs="仿宋_GB2312"/>
                <w:bCs/>
                <w:sz w:val="24"/>
                <w:szCs w:val="24"/>
                <w:highlight w:val="none"/>
              </w:rPr>
              <w:t>同类项目业绩（10分）</w:t>
            </w:r>
          </w:p>
        </w:tc>
        <w:tc>
          <w:tcPr>
            <w:tcW w:w="2733" w:type="dxa"/>
            <w:noWrap w:val="0"/>
            <w:vAlign w:val="center"/>
          </w:tcPr>
          <w:p>
            <w:pPr>
              <w:spacing w:line="400" w:lineRule="exact"/>
              <w:jc w:val="left"/>
              <w:rPr>
                <w:rFonts w:hint="eastAsia" w:ascii="仿宋_GB2312" w:hAnsi="仿宋_GB2312" w:eastAsia="仿宋_GB2312" w:cs="仿宋_GB2312"/>
                <w:b w:val="0"/>
                <w:bCs/>
                <w:color w:val="auto"/>
                <w:kern w:val="2"/>
                <w:sz w:val="24"/>
                <w:szCs w:val="24"/>
                <w:highlight w:val="yellow"/>
                <w:lang w:val="en-US" w:eastAsia="zh-CN" w:bidi="ar-SA"/>
              </w:rPr>
            </w:pPr>
            <w:r>
              <w:rPr>
                <w:rFonts w:hint="eastAsia" w:ascii="仿宋_GB2312" w:hAnsi="仿宋_GB2312" w:eastAsia="仿宋_GB2312" w:cs="仿宋_GB2312"/>
                <w:b w:val="0"/>
                <w:bCs/>
                <w:color w:val="000000"/>
                <w:sz w:val="24"/>
                <w:szCs w:val="24"/>
                <w:highlight w:val="none"/>
                <w:lang w:eastAsia="zh-CN"/>
              </w:rPr>
              <w:t>自20</w:t>
            </w:r>
            <w:r>
              <w:rPr>
                <w:rFonts w:hint="eastAsia" w:ascii="仿宋_GB2312" w:hAnsi="仿宋_GB2312" w:eastAsia="仿宋_GB2312" w:cs="仿宋_GB2312"/>
                <w:b w:val="0"/>
                <w:bCs/>
                <w:color w:val="000000"/>
                <w:sz w:val="24"/>
                <w:szCs w:val="24"/>
                <w:highlight w:val="none"/>
                <w:lang w:val="en-US" w:eastAsia="zh-CN"/>
              </w:rPr>
              <w:t>21</w:t>
            </w:r>
            <w:r>
              <w:rPr>
                <w:rFonts w:hint="eastAsia" w:ascii="仿宋_GB2312" w:hAnsi="仿宋_GB2312" w:eastAsia="仿宋_GB2312" w:cs="仿宋_GB2312"/>
                <w:b w:val="0"/>
                <w:bCs/>
                <w:color w:val="000000"/>
                <w:sz w:val="24"/>
                <w:szCs w:val="24"/>
                <w:highlight w:val="none"/>
                <w:lang w:eastAsia="zh-CN"/>
              </w:rPr>
              <w:t>年1月1日起至本项目投标截止之日止（以合同签约时间为准），投标人提供一个</w:t>
            </w:r>
            <w:r>
              <w:rPr>
                <w:rFonts w:hint="eastAsia" w:ascii="仿宋_GB2312" w:hAnsi="仿宋_GB2312" w:eastAsia="仿宋_GB2312" w:cs="仿宋_GB2312"/>
                <w:b w:val="0"/>
                <w:bCs/>
                <w:color w:val="000000"/>
                <w:sz w:val="24"/>
                <w:szCs w:val="24"/>
                <w:highlight w:val="none"/>
                <w:lang w:val="en-US" w:eastAsia="zh-CN"/>
              </w:rPr>
              <w:t>文化活动类</w:t>
            </w:r>
            <w:r>
              <w:rPr>
                <w:rFonts w:hint="eastAsia" w:ascii="仿宋_GB2312" w:hAnsi="仿宋_GB2312" w:eastAsia="仿宋_GB2312" w:cs="仿宋_GB2312"/>
                <w:b w:val="0"/>
                <w:bCs/>
                <w:color w:val="000000"/>
                <w:sz w:val="24"/>
                <w:szCs w:val="24"/>
                <w:highlight w:val="none"/>
                <w:lang w:eastAsia="zh-CN"/>
              </w:rPr>
              <w:t xml:space="preserve">业绩5分，本项最高得分10分。 </w:t>
            </w:r>
          </w:p>
        </w:tc>
        <w:tc>
          <w:tcPr>
            <w:tcW w:w="4515" w:type="dxa"/>
            <w:noWrap w:val="0"/>
            <w:vAlign w:val="center"/>
          </w:tcPr>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1.投标人提供相关证明资料作为得分依据，同时提供合同关键信息（包括但不限于：合同名称页、合同主要内容页、合同签订日期页、合同双方签字盖章页）作为得分依据。</w:t>
            </w:r>
          </w:p>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2.一年一签的长期服务续签合同（即同一中标服务期内或同一个项目只计算为一个业绩），不重复计分。</w:t>
            </w:r>
          </w:p>
          <w:p>
            <w:pPr>
              <w:spacing w:line="400" w:lineRule="exact"/>
              <w:jc w:val="left"/>
              <w:rPr>
                <w:rFonts w:hint="eastAsia" w:ascii="仿宋_GB2312" w:hAnsi="仿宋_GB2312" w:eastAsia="仿宋_GB2312" w:cs="仿宋_GB2312"/>
                <w:b w:val="0"/>
                <w:bCs/>
                <w:color w:val="auto"/>
                <w:kern w:val="2"/>
                <w:sz w:val="24"/>
                <w:szCs w:val="24"/>
                <w:highlight w:val="yellow"/>
                <w:lang w:val="en-US" w:eastAsia="zh-CN" w:bidi="ar-SA"/>
              </w:rPr>
            </w:pPr>
            <w:r>
              <w:rPr>
                <w:rFonts w:hint="eastAsia" w:ascii="仿宋_GB2312" w:hAnsi="仿宋_GB2312" w:eastAsia="仿宋_GB2312" w:cs="仿宋_GB2312"/>
                <w:bCs/>
                <w:sz w:val="24"/>
                <w:szCs w:val="24"/>
                <w:highlight w:val="none"/>
              </w:rPr>
              <w:t>3.未提供证明材料或者提供的证明材料不符合要求或提供的证明材料不清晰采购监督小组无法辨认的，不得分。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trPr>
        <w:tc>
          <w:tcPr>
            <w:tcW w:w="5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spacing w:line="400" w:lineRule="exact"/>
              <w:jc w:val="center"/>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诚信评价</w:t>
            </w:r>
          </w:p>
          <w:p>
            <w:pPr>
              <w:spacing w:line="400" w:lineRule="exact"/>
              <w:jc w:val="center"/>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Cs/>
                <w:sz w:val="24"/>
                <w:szCs w:val="24"/>
                <w:highlight w:val="none"/>
              </w:rPr>
              <w:t>（5分）</w:t>
            </w:r>
          </w:p>
        </w:tc>
        <w:tc>
          <w:tcPr>
            <w:tcW w:w="2733" w:type="dxa"/>
            <w:noWrap w:val="0"/>
            <w:vAlign w:val="center"/>
          </w:tcPr>
          <w:p>
            <w:pPr>
              <w:spacing w:line="400" w:lineRule="exact"/>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Cs/>
                <w:sz w:val="24"/>
                <w:szCs w:val="24"/>
                <w:highlight w:val="none"/>
              </w:rPr>
              <w:t>投标人在参与政府采购活动中不存在诚信相关问题且不在主管部门相关处理措施实施期限内的。</w:t>
            </w:r>
          </w:p>
        </w:tc>
        <w:tc>
          <w:tcPr>
            <w:tcW w:w="4515" w:type="dxa"/>
            <w:noWrap w:val="0"/>
            <w:vAlign w:val="center"/>
          </w:tcPr>
          <w:p>
            <w:pPr>
              <w:spacing w:line="400" w:lineRule="exact"/>
              <w:jc w:val="left"/>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Cs/>
                <w:sz w:val="24"/>
                <w:szCs w:val="24"/>
                <w:highlight w:val="none"/>
              </w:rPr>
              <w:t>提供《诚信承诺函》得5分，未提供不得分</w:t>
            </w:r>
            <w:r>
              <w:rPr>
                <w:rFonts w:hint="eastAsia" w:ascii="仿宋_GB2312" w:hAnsi="仿宋_GB2312" w:eastAsia="仿宋_GB2312" w:cs="仿宋_GB2312"/>
                <w:bCs/>
                <w:sz w:val="24"/>
                <w:szCs w:val="24"/>
                <w:highlight w:val="none"/>
                <w:lang w:eastAsia="zh-CN"/>
              </w:rPr>
              <w:t>，格式自拟</w:t>
            </w:r>
            <w:r>
              <w:rPr>
                <w:rFonts w:hint="eastAsia" w:ascii="仿宋_GB2312" w:hAnsi="仿宋_GB2312" w:eastAsia="仿宋_GB2312" w:cs="仿宋_GB2312"/>
                <w:bCs/>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trPr>
        <w:tc>
          <w:tcPr>
            <w:tcW w:w="5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color w:val="auto"/>
                <w:sz w:val="24"/>
                <w:szCs w:val="24"/>
                <w:highlight w:val="none"/>
              </w:rPr>
            </w:pPr>
          </w:p>
        </w:tc>
        <w:tc>
          <w:tcPr>
            <w:tcW w:w="1122" w:type="dxa"/>
            <w:noWrap w:val="0"/>
            <w:vAlign w:val="center"/>
          </w:tcPr>
          <w:p>
            <w:pPr>
              <w:spacing w:line="400" w:lineRule="exact"/>
              <w:jc w:val="center"/>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rPr>
              <w:t>服务承诺</w:t>
            </w:r>
            <w:r>
              <w:rPr>
                <w:rFonts w:hint="eastAsia" w:ascii="仿宋_GB2312" w:hAnsi="仿宋_GB2312" w:eastAsia="仿宋_GB2312" w:cs="仿宋_GB2312"/>
                <w:bCs/>
                <w:sz w:val="24"/>
                <w:szCs w:val="24"/>
                <w:highlight w:val="none"/>
                <w:lang w:eastAsia="zh-CN"/>
              </w:rPr>
              <w:t>书与违约承诺书</w:t>
            </w:r>
          </w:p>
          <w:p>
            <w:pPr>
              <w:spacing w:line="400" w:lineRule="exact"/>
              <w:jc w:val="center"/>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Cs/>
                <w:sz w:val="24"/>
                <w:szCs w:val="24"/>
                <w:highlight w:val="none"/>
              </w:rPr>
              <w:t>（5分）</w:t>
            </w:r>
          </w:p>
        </w:tc>
        <w:tc>
          <w:tcPr>
            <w:tcW w:w="2733" w:type="dxa"/>
            <w:noWrap w:val="0"/>
            <w:vAlign w:val="center"/>
          </w:tcPr>
          <w:p>
            <w:pPr>
              <w:spacing w:line="400" w:lineRule="exact"/>
              <w:rPr>
                <w:rFonts w:hint="eastAsia" w:ascii="仿宋_GB2312" w:hAnsi="仿宋_GB2312" w:eastAsia="仿宋_GB2312" w:cs="仿宋_GB2312"/>
                <w:b w:val="0"/>
                <w:bCs/>
                <w:color w:val="auto"/>
                <w:kern w:val="2"/>
                <w:sz w:val="24"/>
                <w:szCs w:val="24"/>
                <w:highlight w:val="none"/>
                <w:lang w:val="en-US" w:eastAsia="zh-CN" w:bidi="ar-SA"/>
              </w:rPr>
            </w:pPr>
            <w:r>
              <w:rPr>
                <w:rFonts w:hint="eastAsia" w:ascii="仿宋_GB2312" w:hAnsi="仿宋_GB2312" w:eastAsia="仿宋_GB2312" w:cs="仿宋_GB2312"/>
                <w:bCs/>
                <w:sz w:val="24"/>
                <w:szCs w:val="24"/>
                <w:highlight w:val="none"/>
              </w:rPr>
              <w:t>根据对项目的理解及自身管理经验，提出项目完成的服务承诺</w:t>
            </w:r>
            <w:r>
              <w:rPr>
                <w:rFonts w:hint="eastAsia" w:ascii="仿宋_GB2312" w:hAnsi="仿宋_GB2312" w:eastAsia="仿宋_GB2312" w:cs="仿宋_GB2312"/>
                <w:bCs/>
                <w:sz w:val="24"/>
                <w:szCs w:val="24"/>
                <w:highlight w:val="none"/>
                <w:lang w:eastAsia="zh-CN"/>
              </w:rPr>
              <w:t>与</w:t>
            </w:r>
            <w:r>
              <w:rPr>
                <w:rFonts w:hint="eastAsia" w:ascii="仿宋_GB2312" w:hAnsi="仿宋_GB2312" w:eastAsia="仿宋_GB2312" w:cs="仿宋_GB2312"/>
                <w:bCs/>
                <w:sz w:val="24"/>
                <w:szCs w:val="24"/>
                <w:highlight w:val="none"/>
              </w:rPr>
              <w:t>承诺满足招标文件要求，保证措施合理且有针对性，有具体的违约责任承诺。</w:t>
            </w:r>
          </w:p>
        </w:tc>
        <w:tc>
          <w:tcPr>
            <w:tcW w:w="4515" w:type="dxa"/>
            <w:noWrap w:val="0"/>
            <w:vAlign w:val="center"/>
          </w:tcPr>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rPr>
              <w:t>提供《服务承诺函》</w:t>
            </w:r>
            <w:r>
              <w:rPr>
                <w:rFonts w:hint="eastAsia" w:ascii="仿宋_GB2312" w:hAnsi="仿宋_GB2312" w:eastAsia="仿宋_GB2312" w:cs="仿宋_GB2312"/>
                <w:bCs/>
                <w:sz w:val="24"/>
                <w:szCs w:val="24"/>
                <w:highlight w:val="none"/>
                <w:lang w:eastAsia="zh-CN"/>
              </w:rPr>
              <w:t>和</w:t>
            </w:r>
            <w:r>
              <w:rPr>
                <w:rFonts w:hint="eastAsia" w:ascii="仿宋_GB2312" w:hAnsi="仿宋_GB2312" w:eastAsia="仿宋_GB2312" w:cs="仿宋_GB2312"/>
                <w:bCs/>
                <w:sz w:val="24"/>
                <w:szCs w:val="24"/>
                <w:highlight w:val="none"/>
              </w:rPr>
              <w:t>《违约承诺函》得5分，</w:t>
            </w:r>
            <w:r>
              <w:rPr>
                <w:rFonts w:hint="eastAsia" w:ascii="仿宋_GB2312" w:hAnsi="仿宋_GB2312" w:eastAsia="仿宋_GB2312" w:cs="仿宋_GB2312"/>
                <w:bCs/>
                <w:sz w:val="24"/>
                <w:szCs w:val="24"/>
                <w:highlight w:val="none"/>
                <w:lang w:eastAsia="zh-CN"/>
              </w:rPr>
              <w:t>提供一项只得</w:t>
            </w:r>
            <w:r>
              <w:rPr>
                <w:rFonts w:hint="eastAsia" w:ascii="仿宋_GB2312" w:hAnsi="仿宋_GB2312" w:eastAsia="仿宋_GB2312" w:cs="仿宋_GB2312"/>
                <w:bCs/>
                <w:sz w:val="24"/>
                <w:szCs w:val="24"/>
                <w:highlight w:val="none"/>
                <w:lang w:val="en-US" w:eastAsia="zh-CN"/>
              </w:rPr>
              <w:t>2.5分，</w:t>
            </w:r>
            <w:r>
              <w:rPr>
                <w:rFonts w:hint="eastAsia" w:ascii="仿宋_GB2312" w:hAnsi="仿宋_GB2312" w:eastAsia="仿宋_GB2312" w:cs="仿宋_GB2312"/>
                <w:bCs/>
                <w:sz w:val="24"/>
                <w:szCs w:val="24"/>
                <w:highlight w:val="none"/>
              </w:rPr>
              <w:t>未提供</w:t>
            </w:r>
            <w:r>
              <w:rPr>
                <w:rFonts w:hint="eastAsia" w:ascii="仿宋_GB2312" w:hAnsi="仿宋_GB2312" w:eastAsia="仿宋_GB2312" w:cs="仿宋_GB2312"/>
                <w:bCs/>
                <w:sz w:val="24"/>
                <w:szCs w:val="24"/>
                <w:highlight w:val="none"/>
                <w:lang w:eastAsia="zh-CN"/>
              </w:rPr>
              <w:t>或者内容不符</w:t>
            </w:r>
            <w:r>
              <w:rPr>
                <w:rFonts w:hint="eastAsia" w:ascii="仿宋_GB2312" w:hAnsi="仿宋_GB2312" w:eastAsia="仿宋_GB2312" w:cs="仿宋_GB2312"/>
                <w:bCs/>
                <w:sz w:val="24"/>
                <w:szCs w:val="24"/>
                <w:highlight w:val="none"/>
              </w:rPr>
              <w:t>不得分</w:t>
            </w:r>
            <w:r>
              <w:rPr>
                <w:rFonts w:hint="eastAsia" w:ascii="仿宋_GB2312" w:hAnsi="仿宋_GB2312" w:eastAsia="仿宋_GB2312" w:cs="仿宋_GB2312"/>
                <w:bCs/>
                <w:sz w:val="24"/>
                <w:szCs w:val="24"/>
                <w:highlight w:val="none"/>
                <w:lang w:eastAsia="zh-CN"/>
              </w:rPr>
              <w:t>，格式自拟</w:t>
            </w:r>
            <w:r>
              <w:rPr>
                <w:rFonts w:hint="eastAsia" w:ascii="仿宋_GB2312" w:hAnsi="仿宋_GB2312" w:eastAsia="仿宋_GB2312" w:cs="仿宋_GB2312"/>
                <w:bCs/>
                <w:sz w:val="24"/>
                <w:szCs w:val="24"/>
                <w:highlight w:val="none"/>
              </w:rPr>
              <w:t>。</w:t>
            </w:r>
          </w:p>
          <w:p>
            <w:pPr>
              <w:spacing w:line="400" w:lineRule="exact"/>
              <w:jc w:val="left"/>
              <w:rPr>
                <w:rFonts w:hint="eastAsia" w:ascii="仿宋_GB2312" w:hAnsi="仿宋_GB2312" w:eastAsia="仿宋_GB2312" w:cs="仿宋_GB2312"/>
                <w:bCs/>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b w:val="0"/>
          <w:bCs/>
          <w:color w:val="auto"/>
          <w:sz w:val="24"/>
          <w:highlight w:val="none"/>
        </w:rPr>
      </w:pPr>
      <w:r>
        <w:rPr>
          <w:rFonts w:hint="eastAsia" w:ascii="宋体" w:hAnsi="宋体" w:eastAsia="宋体"/>
          <w:b w:val="0"/>
          <w:bCs/>
          <w:color w:val="auto"/>
          <w:sz w:val="24"/>
          <w:highlight w:val="none"/>
          <w:lang w:eastAsia="zh-CN"/>
        </w:rPr>
        <w:t>注：</w:t>
      </w:r>
      <w:r>
        <w:rPr>
          <w:rFonts w:hint="eastAsia" w:ascii="宋体" w:hAnsi="宋体"/>
          <w:b w:val="0"/>
          <w:bCs/>
          <w:color w:val="auto"/>
          <w:sz w:val="24"/>
          <w:highlight w:val="none"/>
        </w:rPr>
        <w:t>不提供证明文件或提供的证明文件不合格者，不得分。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both"/>
        <w:textAlignment w:val="auto"/>
        <w:outlineLvl w:val="9"/>
        <w:rPr>
          <w:rFonts w:hint="eastAsia" w:ascii="宋体" w:hAnsi="宋体"/>
          <w:b w:val="0"/>
          <w:bCs/>
          <w:color w:val="auto"/>
          <w:sz w:val="24"/>
          <w:highlight w:val="none"/>
          <w:lang w:val="en-US" w:eastAsia="zh-CN"/>
        </w:rPr>
      </w:pPr>
    </w:p>
    <w:p>
      <w:pPr>
        <w:keepNext w:val="0"/>
        <w:keepLines w:val="0"/>
        <w:pageBreakBefore w:val="0"/>
        <w:numPr>
          <w:ilvl w:val="0"/>
          <w:numId w:val="4"/>
        </w:numPr>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技术能力</w:t>
      </w:r>
    </w:p>
    <w:p>
      <w:pPr>
        <w:keepNext w:val="0"/>
        <w:keepLines w:val="0"/>
        <w:pageBreakBefore w:val="0"/>
        <w:numPr>
          <w:ilvl w:val="0"/>
          <w:numId w:val="0"/>
        </w:numPr>
        <w:kinsoku/>
        <w:wordWrap/>
        <w:overflowPunct/>
        <w:topLinePunct w:val="0"/>
        <w:autoSpaceDE/>
        <w:autoSpaceDN/>
        <w:bidi w:val="0"/>
        <w:spacing w:line="560" w:lineRule="exact"/>
        <w:textAlignment w:val="auto"/>
        <w:rPr>
          <w:rFonts w:hint="eastAsia" w:ascii="仿宋_GB2312" w:eastAsia="仿宋_GB2312"/>
          <w:color w:val="auto"/>
          <w:sz w:val="32"/>
          <w:szCs w:val="32"/>
          <w:highlight w:val="none"/>
          <w:lang w:val="en-US" w:eastAsia="zh-CN"/>
        </w:rPr>
      </w:pPr>
    </w:p>
    <w:tbl>
      <w:tblPr>
        <w:tblStyle w:val="8"/>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095"/>
        <w:gridCol w:w="2790"/>
        <w:gridCol w:w="4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4404" w:type="dxa"/>
            <w:gridSpan w:val="3"/>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rPr>
            </w:pPr>
            <w:r>
              <w:rPr>
                <w:rFonts w:hint="eastAsia" w:ascii="仿宋_GB2312" w:hAnsi="仿宋_GB2312" w:eastAsia="仿宋_GB2312" w:cs="仿宋_GB2312"/>
                <w:b w:val="0"/>
                <w:bCs/>
                <w:color w:val="auto"/>
                <w:kern w:val="0"/>
                <w:sz w:val="24"/>
                <w:szCs w:val="24"/>
                <w:highlight w:val="none"/>
              </w:rPr>
              <w:t>项目</w:t>
            </w:r>
          </w:p>
        </w:tc>
        <w:tc>
          <w:tcPr>
            <w:tcW w:w="4347" w:type="dxa"/>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kern w:val="0"/>
                <w:sz w:val="24"/>
                <w:szCs w:val="24"/>
                <w:highlight w:val="none"/>
                <w:lang w:eastAsia="zh-CN"/>
              </w:rPr>
            </w:pPr>
            <w:r>
              <w:rPr>
                <w:rFonts w:hint="eastAsia" w:ascii="仿宋_GB2312" w:hAnsi="仿宋_GB2312" w:eastAsia="仿宋_GB2312" w:cs="仿宋_GB2312"/>
                <w:b w:val="0"/>
                <w:bCs/>
                <w:color w:val="auto"/>
                <w:kern w:val="0"/>
                <w:sz w:val="24"/>
                <w:szCs w:val="24"/>
                <w:highlight w:val="none"/>
                <w:lang w:eastAsia="zh-CN"/>
              </w:rPr>
              <w:t>得分依据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7" w:hRule="atLeast"/>
        </w:trPr>
        <w:tc>
          <w:tcPr>
            <w:tcW w:w="519" w:type="dxa"/>
            <w:vMerge w:val="restart"/>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sz w:val="24"/>
                <w:szCs w:val="24"/>
                <w:highlight w:val="none"/>
                <w:lang w:val="en-US" w:eastAsia="zh-CN"/>
              </w:rPr>
              <w:t>技术</w:t>
            </w:r>
            <w:r>
              <w:rPr>
                <w:rFonts w:hint="eastAsia" w:ascii="仿宋_GB2312" w:hAnsi="仿宋_GB2312" w:eastAsia="仿宋_GB2312" w:cs="仿宋_GB2312"/>
                <w:b w:val="0"/>
                <w:bCs/>
                <w:color w:val="auto"/>
                <w:sz w:val="24"/>
                <w:szCs w:val="24"/>
                <w:highlight w:val="none"/>
                <w:lang w:eastAsia="zh-CN"/>
              </w:rPr>
              <w:t>能力</w:t>
            </w:r>
            <w:r>
              <w:rPr>
                <w:rFonts w:hint="eastAsia" w:ascii="仿宋_GB2312" w:hAnsi="仿宋_GB2312" w:eastAsia="仿宋_GB2312" w:cs="仿宋_GB2312"/>
                <w:b w:val="0"/>
                <w:bCs/>
                <w:color w:val="auto"/>
                <w:sz w:val="24"/>
                <w:szCs w:val="24"/>
                <w:highlight w:val="none"/>
              </w:rPr>
              <w:t>分</w:t>
            </w:r>
            <w:r>
              <w:rPr>
                <w:rFonts w:hint="eastAsia" w:ascii="仿宋_GB2312" w:hAnsi="仿宋_GB2312" w:eastAsia="仿宋_GB2312" w:cs="仿宋_GB2312"/>
                <w:b w:val="0"/>
                <w:bCs/>
                <w:color w:val="auto"/>
                <w:sz w:val="24"/>
                <w:szCs w:val="24"/>
                <w:highlight w:val="none"/>
                <w:lang w:val="en-US" w:eastAsia="zh-CN"/>
              </w:rPr>
              <w:t>50</w:t>
            </w:r>
            <w:r>
              <w:rPr>
                <w:rFonts w:hint="eastAsia" w:ascii="仿宋_GB2312" w:hAnsi="仿宋_GB2312" w:eastAsia="仿宋_GB2312" w:cs="仿宋_GB2312"/>
                <w:b w:val="0"/>
                <w:bCs/>
                <w:color w:val="auto"/>
                <w:sz w:val="24"/>
                <w:szCs w:val="24"/>
                <w:highlight w:val="none"/>
              </w:rPr>
              <w:t>分</w:t>
            </w:r>
          </w:p>
        </w:tc>
        <w:tc>
          <w:tcPr>
            <w:tcW w:w="109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实施方案</w:t>
            </w:r>
            <w:r>
              <w:rPr>
                <w:rFonts w:hint="eastAsia" w:ascii="仿宋_GB2312" w:hAnsi="仿宋_GB2312" w:eastAsia="仿宋_GB2312" w:cs="仿宋_GB2312"/>
                <w:b w:val="0"/>
                <w:bCs/>
                <w:color w:val="auto"/>
                <w:sz w:val="24"/>
                <w:szCs w:val="24"/>
                <w:highlight w:val="none"/>
              </w:rPr>
              <w:t>（</w:t>
            </w:r>
            <w:r>
              <w:rPr>
                <w:rFonts w:hint="eastAsia" w:ascii="仿宋_GB2312" w:hAnsi="仿宋_GB2312" w:eastAsia="仿宋_GB2312" w:cs="仿宋_GB2312"/>
                <w:b w:val="0"/>
                <w:bCs/>
                <w:color w:val="auto"/>
                <w:sz w:val="24"/>
                <w:szCs w:val="24"/>
                <w:highlight w:val="none"/>
                <w:lang w:val="en-US" w:eastAsia="zh-CN"/>
              </w:rPr>
              <w:t>20</w:t>
            </w:r>
            <w:r>
              <w:rPr>
                <w:rFonts w:hint="eastAsia" w:ascii="仿宋_GB2312" w:hAnsi="仿宋_GB2312" w:eastAsia="仿宋_GB2312" w:cs="仿宋_GB2312"/>
                <w:b w:val="0"/>
                <w:bCs/>
                <w:color w:val="auto"/>
                <w:sz w:val="24"/>
                <w:szCs w:val="24"/>
                <w:highlight w:val="none"/>
              </w:rPr>
              <w:t>分）</w:t>
            </w:r>
          </w:p>
        </w:tc>
        <w:tc>
          <w:tcPr>
            <w:tcW w:w="2790" w:type="dxa"/>
            <w:noWrap w:val="0"/>
            <w:vAlign w:val="center"/>
          </w:tcPr>
          <w:p>
            <w:pPr>
              <w:spacing w:line="400" w:lineRule="exact"/>
              <w:jc w:val="left"/>
              <w:rPr>
                <w:rFonts w:hint="eastAsia" w:ascii="仿宋_GB2312" w:hAnsi="仿宋_GB2312" w:eastAsia="仿宋_GB2312" w:cs="仿宋_GB2312"/>
                <w:bCs/>
                <w:sz w:val="24"/>
                <w:szCs w:val="24"/>
                <w:highlight w:val="none"/>
                <w:lang w:eastAsia="zh-CN"/>
              </w:rPr>
            </w:pPr>
            <w:r>
              <w:rPr>
                <w:rFonts w:hint="eastAsia" w:ascii="仿宋_GB2312" w:hAnsi="仿宋_GB2312" w:eastAsia="仿宋_GB2312" w:cs="仿宋_GB2312"/>
                <w:bCs/>
                <w:sz w:val="24"/>
                <w:szCs w:val="24"/>
                <w:highlight w:val="none"/>
              </w:rPr>
              <w:t>考察投标人对本项目策划的实施方案，</w:t>
            </w:r>
            <w:r>
              <w:rPr>
                <w:rFonts w:hint="eastAsia" w:ascii="仿宋_GB2312" w:hAnsi="仿宋_GB2312" w:eastAsia="仿宋_GB2312" w:cs="仿宋_GB2312"/>
                <w:bCs/>
                <w:sz w:val="24"/>
                <w:szCs w:val="24"/>
                <w:highlight w:val="none"/>
                <w:lang w:val="en-US" w:eastAsia="zh-CN"/>
              </w:rPr>
              <w:t>方案</w:t>
            </w:r>
            <w:r>
              <w:rPr>
                <w:rFonts w:hint="eastAsia" w:ascii="仿宋_GB2312" w:hAnsi="仿宋_GB2312" w:eastAsia="仿宋_GB2312" w:cs="仿宋_GB2312"/>
                <w:bCs/>
                <w:sz w:val="24"/>
                <w:szCs w:val="24"/>
                <w:highlight w:val="none"/>
              </w:rPr>
              <w:t>内容包括</w:t>
            </w:r>
            <w:r>
              <w:rPr>
                <w:rFonts w:hint="eastAsia" w:ascii="仿宋_GB2312" w:hAnsi="仿宋_GB2312" w:eastAsia="仿宋_GB2312" w:cs="仿宋_GB2312"/>
                <w:bCs/>
                <w:sz w:val="24"/>
                <w:szCs w:val="24"/>
                <w:highlight w:val="none"/>
                <w:lang w:val="en-US" w:eastAsia="zh-CN"/>
              </w:rPr>
              <w:t>但不限于</w:t>
            </w:r>
            <w:r>
              <w:rPr>
                <w:rFonts w:hint="eastAsia" w:ascii="仿宋_GB2312" w:hAnsi="仿宋_GB2312" w:eastAsia="仿宋_GB2312" w:cs="仿宋_GB2312"/>
                <w:bCs/>
                <w:sz w:val="24"/>
                <w:szCs w:val="24"/>
                <w:highlight w:val="none"/>
                <w:lang w:eastAsia="zh-CN"/>
              </w:rPr>
              <w:t>：</w:t>
            </w:r>
          </w:p>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1.整体活动内容设计和</w:t>
            </w:r>
            <w:r>
              <w:rPr>
                <w:rFonts w:hint="eastAsia" w:ascii="仿宋_GB2312" w:hAnsi="仿宋_GB2312" w:eastAsia="仿宋_GB2312" w:cs="仿宋_GB2312"/>
                <w:bCs/>
                <w:sz w:val="24"/>
                <w:szCs w:val="24"/>
                <w:highlight w:val="none"/>
              </w:rPr>
              <w:t>策划</w:t>
            </w:r>
            <w:r>
              <w:rPr>
                <w:rFonts w:hint="eastAsia" w:ascii="仿宋_GB2312" w:hAnsi="仿宋_GB2312" w:eastAsia="仿宋_GB2312" w:cs="仿宋_GB2312"/>
                <w:bCs/>
                <w:sz w:val="24"/>
                <w:szCs w:val="24"/>
                <w:highlight w:val="none"/>
                <w:lang w:eastAsia="zh-CN"/>
              </w:rPr>
              <w:t>；</w:t>
            </w:r>
          </w:p>
          <w:p>
            <w:pPr>
              <w:spacing w:line="400" w:lineRule="exact"/>
              <w:jc w:val="left"/>
              <w:rPr>
                <w:rFonts w:hint="eastAsia" w:ascii="仿宋_GB2312" w:hAnsi="仿宋_GB2312" w:eastAsia="仿宋_GB2312" w:cs="仿宋_GB2312"/>
                <w:bCs/>
                <w:sz w:val="24"/>
                <w:szCs w:val="24"/>
                <w:highlight w:val="none"/>
              </w:rPr>
            </w:pPr>
            <w:r>
              <w:rPr>
                <w:rFonts w:hint="eastAsia" w:ascii="仿宋_GB2312" w:hAnsi="仿宋_GB2312" w:eastAsia="仿宋_GB2312" w:cs="仿宋_GB2312"/>
                <w:bCs/>
                <w:sz w:val="24"/>
                <w:szCs w:val="24"/>
                <w:highlight w:val="none"/>
                <w:lang w:val="en-US" w:eastAsia="zh-CN"/>
              </w:rPr>
              <w:t>2.拟邀嘉宾专家及讲师的阵容；</w:t>
            </w:r>
          </w:p>
          <w:p>
            <w:pPr>
              <w:spacing w:line="400" w:lineRule="exact"/>
              <w:jc w:val="left"/>
              <w:rPr>
                <w:rFonts w:hint="default" w:ascii="仿宋_GB2312" w:hAnsi="仿宋_GB2312" w:eastAsia="仿宋_GB2312" w:cs="仿宋_GB2312"/>
                <w:bCs/>
                <w:sz w:val="24"/>
                <w:szCs w:val="24"/>
                <w:highlight w:val="none"/>
                <w:lang w:val="en-US"/>
              </w:rPr>
            </w:pPr>
            <w:r>
              <w:rPr>
                <w:rFonts w:hint="eastAsia" w:ascii="仿宋_GB2312" w:hAnsi="仿宋_GB2312" w:eastAsia="仿宋_GB2312" w:cs="仿宋_GB2312"/>
                <w:bCs/>
                <w:sz w:val="24"/>
                <w:szCs w:val="24"/>
                <w:highlight w:val="none"/>
                <w:lang w:val="en-US" w:eastAsia="zh-CN"/>
              </w:rPr>
              <w:t>3.活动内容创新、亮点阐述；</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p>
        </w:tc>
        <w:tc>
          <w:tcPr>
            <w:tcW w:w="4347" w:type="dxa"/>
            <w:noWrap w:val="0"/>
            <w:vAlign w:val="center"/>
          </w:tcPr>
          <w:p>
            <w:pPr>
              <w:spacing w:line="400" w:lineRule="exact"/>
              <w:jc w:val="left"/>
              <w:rPr>
                <w:rFonts w:hint="eastAsia" w:ascii="仿宋_GB2312" w:hAnsi="仿宋_GB2312" w:eastAsia="仿宋_GB2312" w:cs="仿宋_GB2312"/>
                <w:b/>
                <w:bCs w:val="0"/>
                <w:sz w:val="24"/>
                <w:szCs w:val="24"/>
                <w:highlight w:val="none"/>
              </w:rPr>
            </w:pPr>
            <w:r>
              <w:rPr>
                <w:rFonts w:hint="eastAsia" w:ascii="仿宋_GB2312" w:hAnsi="仿宋_GB2312" w:eastAsia="仿宋_GB2312" w:cs="仿宋_GB2312"/>
                <w:b/>
                <w:bCs w:val="0"/>
                <w:sz w:val="24"/>
                <w:szCs w:val="24"/>
                <w:highlight w:val="none"/>
              </w:rPr>
              <w:t>评分标准：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 xml:space="preserve">1.满足内容任意一项内容得4分，最高得12分； </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2.在此基础上，评审委员根据各供应商的具体响应内容按照量化的评审因素指标进一步评审：</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（1）实施方案内容全面。</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（2）实施方案内容具体。</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（3）实施方案内容科学合理。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（4）实施方案内容针对性强。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（5）实施方案内容可操作性强。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满足以上五项要求的评价为优，得 8分。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满足以上四项要求的评价为良，得 6分。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满足以上三项要求的评价为中，得 4分。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7"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项目重点难点分析、应对措施及相关的合理化建议（15分）</w:t>
            </w:r>
          </w:p>
        </w:tc>
        <w:tc>
          <w:tcPr>
            <w:tcW w:w="2790" w:type="dxa"/>
            <w:noWrap w:val="0"/>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投标人应根据采购文件服务需求提供项目重点难点分析、应对措施及相关的合理化建议内容包括但不限于：</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1.重点难点分析；</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2.应对措施；</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3.合理化建议。</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p>
        </w:tc>
        <w:tc>
          <w:tcPr>
            <w:tcW w:w="4347" w:type="dxa"/>
            <w:noWrap w:val="0"/>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评分标准：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1.满足内容任意一项内容得3分，最高得9分。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2.在此基础上，</w:t>
            </w:r>
            <w:r>
              <w:rPr>
                <w:rFonts w:hint="eastAsia" w:ascii="仿宋_GB2312" w:hAnsi="仿宋_GB2312" w:eastAsia="仿宋_GB2312" w:cs="仿宋_GB2312"/>
                <w:bCs/>
                <w:sz w:val="24"/>
                <w:szCs w:val="24"/>
                <w:highlight w:val="none"/>
              </w:rPr>
              <w:t>评审委员根据各供应商的具体响应内容按照量化的评审因素指标进一步评审</w:t>
            </w:r>
            <w:r>
              <w:rPr>
                <w:rFonts w:hint="eastAsia" w:ascii="仿宋_GB2312" w:hAnsi="仿宋_GB2312" w:eastAsia="仿宋_GB2312" w:cs="仿宋_GB2312"/>
                <w:b w:val="0"/>
                <w:bCs/>
                <w:color w:val="auto"/>
                <w:sz w:val="24"/>
                <w:szCs w:val="24"/>
                <w:highlight w:val="none"/>
                <w:lang w:val="en-US" w:eastAsia="zh-CN"/>
              </w:rPr>
              <w:t>：</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（1）提供内容全面。</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（2）提供内容具体。</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（3）提供内容科学合理。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（4）提供内容针对性强。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（5）提供内容可操作性强。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满足以上五项要求的评价为优，得 6分。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满足以上四项要求的评价为良，得 4分。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满足以上三项要求的评价为中，得 2分。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上述情况之外的，评差不得分。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9" w:hRule="atLeast"/>
        </w:trPr>
        <w:tc>
          <w:tcPr>
            <w:tcW w:w="519" w:type="dxa"/>
            <w:vMerge w:val="continue"/>
            <w:noWrap w:val="0"/>
            <w:vAlign w:val="center"/>
          </w:tcPr>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val="0"/>
                <w:bCs/>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eastAsia" w:ascii="仿宋_GB2312" w:hAnsi="仿宋_GB2312" w:eastAsia="仿宋_GB2312" w:cs="仿宋_GB2312"/>
                <w:b w:val="0"/>
                <w:bCs/>
                <w:color w:val="auto"/>
                <w:sz w:val="24"/>
                <w:szCs w:val="24"/>
                <w:highlight w:val="none"/>
                <w:lang w:eastAsia="zh-CN"/>
              </w:rPr>
            </w:pPr>
            <w:r>
              <w:rPr>
                <w:rFonts w:hint="eastAsia" w:ascii="仿宋_GB2312" w:hAnsi="仿宋_GB2312" w:eastAsia="仿宋_GB2312" w:cs="仿宋_GB2312"/>
                <w:b w:val="0"/>
                <w:bCs/>
                <w:color w:val="auto"/>
                <w:sz w:val="24"/>
                <w:szCs w:val="24"/>
                <w:highlight w:val="none"/>
                <w:lang w:val="en-US" w:eastAsia="zh-CN"/>
              </w:rPr>
              <w:t>质量保障措施及方案</w:t>
            </w:r>
            <w:r>
              <w:rPr>
                <w:rFonts w:hint="eastAsia" w:ascii="仿宋_GB2312" w:hAnsi="仿宋_GB2312" w:eastAsia="仿宋_GB2312" w:cs="仿宋_GB2312"/>
                <w:b w:val="0"/>
                <w:bCs/>
                <w:color w:val="auto"/>
                <w:sz w:val="24"/>
                <w:szCs w:val="24"/>
                <w:highlight w:val="none"/>
                <w:lang w:eastAsia="zh-CN"/>
              </w:rPr>
              <w:t>（</w:t>
            </w:r>
            <w:r>
              <w:rPr>
                <w:rFonts w:hint="eastAsia" w:ascii="仿宋_GB2312" w:hAnsi="仿宋_GB2312" w:eastAsia="仿宋_GB2312" w:cs="仿宋_GB2312"/>
                <w:b w:val="0"/>
                <w:bCs/>
                <w:color w:val="auto"/>
                <w:sz w:val="24"/>
                <w:szCs w:val="24"/>
                <w:highlight w:val="none"/>
                <w:lang w:val="en-US" w:eastAsia="zh-CN"/>
              </w:rPr>
              <w:t>15分</w:t>
            </w:r>
            <w:r>
              <w:rPr>
                <w:rFonts w:hint="eastAsia" w:ascii="仿宋_GB2312" w:hAnsi="仿宋_GB2312" w:eastAsia="仿宋_GB2312" w:cs="仿宋_GB2312"/>
                <w:b w:val="0"/>
                <w:bCs/>
                <w:color w:val="auto"/>
                <w:sz w:val="24"/>
                <w:szCs w:val="24"/>
                <w:highlight w:val="none"/>
                <w:lang w:eastAsia="zh-CN"/>
              </w:rPr>
              <w:t>）</w:t>
            </w:r>
          </w:p>
        </w:tc>
        <w:tc>
          <w:tcPr>
            <w:tcW w:w="2790" w:type="dxa"/>
            <w:noWrap w:val="0"/>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投标人需针对本项目提供质量（完成时间、安全）保障措施及方案，方案内容包括但不限于：</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1.给出分阶段项目时间安排、工作进度；具备详细的完成时间保障措施；</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2.详细阐述项目人员管理措施；</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3.详细阐述项目质量管理措施；</w:t>
            </w:r>
          </w:p>
          <w:p>
            <w:pPr>
              <w:keepNext w:val="0"/>
              <w:keepLines w:val="0"/>
              <w:pageBreakBefore w:val="0"/>
              <w:kinsoku/>
              <w:wordWrap/>
              <w:overflowPunct/>
              <w:topLinePunct w:val="0"/>
              <w:autoSpaceDE/>
              <w:autoSpaceDN/>
              <w:bidi w:val="0"/>
              <w:spacing w:line="240" w:lineRule="auto"/>
              <w:jc w:val="left"/>
              <w:textAlignment w:val="auto"/>
              <w:rPr>
                <w:rFonts w:hint="default" w:ascii="仿宋_GB2312" w:hAnsi="仿宋_GB2312" w:eastAsia="仿宋_GB2312" w:cs="仿宋_GB2312"/>
                <w:b w:val="0"/>
                <w:bCs/>
                <w:color w:val="auto"/>
                <w:sz w:val="24"/>
                <w:szCs w:val="24"/>
                <w:highlight w:val="none"/>
                <w:lang w:val="en-US" w:eastAsia="zh-CN"/>
              </w:rPr>
            </w:pPr>
          </w:p>
        </w:tc>
        <w:tc>
          <w:tcPr>
            <w:tcW w:w="4347" w:type="dxa"/>
            <w:noWrap w:val="0"/>
            <w:vAlign w:val="center"/>
          </w:tcPr>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bCs w:val="0"/>
                <w:color w:val="auto"/>
                <w:sz w:val="24"/>
                <w:szCs w:val="24"/>
                <w:highlight w:val="none"/>
                <w:lang w:val="en-US" w:eastAsia="zh-CN"/>
              </w:rPr>
            </w:pPr>
            <w:r>
              <w:rPr>
                <w:rFonts w:hint="eastAsia" w:ascii="仿宋_GB2312" w:hAnsi="仿宋_GB2312" w:eastAsia="仿宋_GB2312" w:cs="仿宋_GB2312"/>
                <w:b/>
                <w:bCs w:val="0"/>
                <w:color w:val="auto"/>
                <w:sz w:val="24"/>
                <w:szCs w:val="24"/>
                <w:highlight w:val="none"/>
                <w:lang w:val="en-US" w:eastAsia="zh-CN"/>
              </w:rPr>
              <w:t>评分标准：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1.满足内容以上任意一项内容得3分，最高得9分。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2.在此基础上，由评标委员会对实施方案进一步评审：</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（1）提供内容全面。</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（2）提供内容具体。</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（3）提供内容科学合理。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（4）提供内容针对性强。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（5）提供内容可操作性强。</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满足以上五项要求的评价为优，得6分。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满足以上四项要求的评价为良，得4分。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满足以上三项要求的评价为中，得2分。</w:t>
            </w:r>
          </w:p>
          <w:p>
            <w:pPr>
              <w:keepNext w:val="0"/>
              <w:keepLines w:val="0"/>
              <w:pageBreakBefore w:val="0"/>
              <w:kinsoku/>
              <w:wordWrap/>
              <w:overflowPunct/>
              <w:topLinePunct w:val="0"/>
              <w:autoSpaceDE/>
              <w:autoSpaceDN/>
              <w:bidi w:val="0"/>
              <w:spacing w:line="240" w:lineRule="auto"/>
              <w:jc w:val="left"/>
              <w:textAlignment w:val="auto"/>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上述情况之外的，评差不得分。</w:t>
            </w:r>
          </w:p>
        </w:tc>
      </w:tr>
    </w:tbl>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3.报价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r>
        <w:rPr>
          <w:rFonts w:hint="eastAsia" w:ascii="仿宋_GB2312" w:eastAsia="仿宋_GB2312"/>
          <w:color w:val="auto"/>
          <w:sz w:val="32"/>
          <w:szCs w:val="32"/>
          <w:highlight w:val="none"/>
        </w:rPr>
        <w:t>以本次</w:t>
      </w:r>
      <w:r>
        <w:rPr>
          <w:rFonts w:hint="eastAsia" w:ascii="仿宋_GB2312" w:hAnsi="仿宋" w:eastAsia="仿宋_GB2312" w:cs="仿宋_GB2312"/>
          <w:color w:val="auto"/>
          <w:sz w:val="32"/>
          <w:szCs w:val="32"/>
          <w:highlight w:val="none"/>
        </w:rPr>
        <w:t>报价或投标</w:t>
      </w:r>
      <w:r>
        <w:rPr>
          <w:rFonts w:hint="eastAsia" w:ascii="仿宋_GB2312" w:eastAsia="仿宋_GB2312"/>
          <w:color w:val="auto"/>
          <w:sz w:val="32"/>
          <w:szCs w:val="32"/>
          <w:highlight w:val="none"/>
        </w:rPr>
        <w:t>人所报的有效报价中的最低价作为基准报价。投标人报价得分=（基准价/投标人报价）*</w:t>
      </w:r>
      <w:r>
        <w:rPr>
          <w:rFonts w:hint="eastAsia" w:ascii="仿宋_GB2312" w:eastAsia="仿宋_GB2312"/>
          <w:color w:val="000000"/>
          <w:sz w:val="32"/>
          <w:szCs w:val="32"/>
          <w:highlight w:val="none"/>
          <w:lang w:val="en-US" w:eastAsia="zh-CN"/>
        </w:rPr>
        <w:t>30</w:t>
      </w:r>
      <w:r>
        <w:rPr>
          <w:rFonts w:hint="eastAsia" w:ascii="仿宋_GB2312" w:eastAsia="仿宋_GB2312"/>
          <w:color w:val="000000"/>
          <w:sz w:val="32"/>
          <w:szCs w:val="32"/>
          <w:highlight w:val="none"/>
          <w:lang w:eastAsia="zh-CN"/>
        </w:rPr>
        <w:t>分</w:t>
      </w:r>
      <w:r>
        <w:rPr>
          <w:rFonts w:hint="eastAsia" w:ascii="仿宋_GB2312" w:eastAsia="仿宋_GB2312"/>
          <w:color w:val="000000"/>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rPr>
      </w:pPr>
    </w:p>
    <w:p>
      <w:pPr>
        <w:rPr>
          <w:rFonts w:hint="eastAsia" w:ascii="楷体" w:hAnsi="楷体" w:eastAsia="楷体" w:cs="楷体"/>
          <w:color w:val="000000"/>
          <w:sz w:val="32"/>
          <w:szCs w:val="32"/>
          <w:highlight w:val="none"/>
          <w:lang w:val="en-US" w:eastAsia="zh-CN"/>
        </w:rPr>
      </w:pPr>
      <w:r>
        <w:rPr>
          <w:rFonts w:hint="eastAsia"/>
          <w:lang w:val="en-US" w:eastAsia="zh-CN"/>
        </w:rPr>
        <w:t xml:space="preserve">    </w:t>
      </w:r>
      <w:r>
        <w:rPr>
          <w:rFonts w:hint="eastAsia" w:ascii="楷体" w:hAnsi="楷体" w:eastAsia="楷体" w:cs="楷体"/>
          <w:color w:val="000000"/>
          <w:sz w:val="32"/>
          <w:szCs w:val="32"/>
          <w:highlight w:val="none"/>
          <w:lang w:val="en-US" w:eastAsia="zh-CN"/>
        </w:rPr>
        <w:t>（四）供应商提供资料清单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Times New Roman"/>
          <w:color w:val="auto"/>
          <w:sz w:val="32"/>
          <w:highlight w:val="none"/>
          <w:lang w:val="en-US" w:eastAsia="zh-CN"/>
        </w:rPr>
        <w:t>1.</w:t>
      </w:r>
      <w:r>
        <w:rPr>
          <w:rFonts w:hint="eastAsia" w:ascii="仿宋_GB2312" w:hAnsi="仿宋" w:eastAsia="仿宋_GB2312" w:cs="仿宋"/>
          <w:sz w:val="32"/>
          <w:szCs w:val="32"/>
          <w:lang w:val="en-US" w:eastAsia="zh-CN"/>
        </w:rPr>
        <w:t>营业执照、事业法人证书、社会团体法人登记证书（加盖公章）；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2.法定代表人身份证复印件（加盖公章）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3.项目报价清单（加盖公章）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4.评分规则所需资料（同类业绩证明、方案等）</w:t>
      </w:r>
    </w:p>
    <w:p>
      <w:pPr>
        <w:pStyle w:val="3"/>
        <w:rPr>
          <w:rFonts w:hint="eastAsia" w:ascii="仿宋_GB2312" w:hAnsi="仿宋" w:eastAsia="仿宋_GB2312" w:cs="仿宋"/>
          <w:sz w:val="32"/>
          <w:szCs w:val="32"/>
          <w:lang w:val="en-US" w:eastAsia="zh-CN"/>
        </w:rPr>
      </w:pPr>
    </w:p>
    <w:p>
      <w:pPr>
        <w:pStyle w:val="3"/>
        <w:rPr>
          <w:rFonts w:hint="eastAsia" w:ascii="仿宋_GB2312" w:hAnsi="仿宋" w:eastAsia="仿宋_GB2312" w:cs="仿宋"/>
          <w:sz w:val="32"/>
          <w:szCs w:val="32"/>
          <w:lang w:val="en-US" w:eastAsia="zh-CN"/>
        </w:rPr>
      </w:pPr>
    </w:p>
    <w:p>
      <w:pPr>
        <w:pStyle w:val="3"/>
        <w:rPr>
          <w:rFonts w:hint="eastAsia" w:ascii="仿宋_GB2312" w:hAnsi="仿宋" w:eastAsia="仿宋_GB2312" w:cs="仿宋"/>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注：供应商需邮寄7份密封纸质版投标资料至本单位</w:t>
      </w:r>
    </w:p>
    <w:p>
      <w:pPr>
        <w:numPr>
          <w:ilvl w:val="0"/>
          <w:numId w:val="0"/>
        </w:numPr>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地址：</w:t>
      </w:r>
      <w:r>
        <w:rPr>
          <w:rFonts w:hint="eastAsia" w:ascii="仿宋_GB2312" w:hAnsi="仿宋" w:eastAsia="仿宋_GB2312" w:cs="仿宋"/>
          <w:sz w:val="32"/>
          <w:szCs w:val="32"/>
          <w:lang w:val="en-US" w:eastAsia="zh-CN"/>
        </w:rPr>
        <w:t>深圳市龙华区维雅德大厦富康行政办公区</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电话:0755-23338140</w:t>
      </w:r>
    </w:p>
    <w:p>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收件人：吴工</w:t>
      </w:r>
    </w:p>
    <w:p>
      <w:pPr>
        <w:pStyle w:val="3"/>
        <w:ind w:left="0" w:leftChars="0" w:firstLine="0" w:firstLineChars="0"/>
        <w:rPr>
          <w:rFonts w:hint="default" w:ascii="仿宋_GB2312" w:hAnsi="仿宋" w:eastAsia="仿宋_GB2312" w:cs="仿宋"/>
          <w:sz w:val="32"/>
          <w:szCs w:val="32"/>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88"/>
    <w:family w:val="modern"/>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等线 Light">
    <w:altName w:val="华文中宋"/>
    <w:panose1 w:val="02010600030101010101"/>
    <w:charset w:val="86"/>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snapToGrid w:val="0"/>
                      <w:rPr>
                        <w:rFonts w:hint="eastAsia" w:eastAsia="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32EE"/>
    <w:multiLevelType w:val="singleLevel"/>
    <w:tmpl w:val="D5CF32EE"/>
    <w:lvl w:ilvl="0" w:tentative="0">
      <w:start w:val="4"/>
      <w:numFmt w:val="chineseCounting"/>
      <w:suff w:val="nothing"/>
      <w:lvlText w:val="%1、"/>
      <w:lvlJc w:val="left"/>
      <w:rPr>
        <w:rFonts w:hint="eastAsia"/>
      </w:rPr>
    </w:lvl>
  </w:abstractNum>
  <w:abstractNum w:abstractNumId="1">
    <w:nsid w:val="023B7E9E"/>
    <w:multiLevelType w:val="singleLevel"/>
    <w:tmpl w:val="023B7E9E"/>
    <w:lvl w:ilvl="0" w:tentative="0">
      <w:start w:val="2"/>
      <w:numFmt w:val="chineseCounting"/>
      <w:suff w:val="nothing"/>
      <w:lvlText w:val="（%1）"/>
      <w:lvlJc w:val="left"/>
      <w:rPr>
        <w:rFonts w:hint="eastAsia"/>
      </w:rPr>
    </w:lvl>
  </w:abstractNum>
  <w:abstractNum w:abstractNumId="2">
    <w:nsid w:val="5EF6273B"/>
    <w:multiLevelType w:val="singleLevel"/>
    <w:tmpl w:val="5EF6273B"/>
    <w:lvl w:ilvl="0" w:tentative="0">
      <w:start w:val="1"/>
      <w:numFmt w:val="chineseCounting"/>
      <w:suff w:val="nothing"/>
      <w:lvlText w:val="%1、"/>
      <w:lvlJc w:val="left"/>
      <w:rPr>
        <w:rFonts w:hint="eastAsia"/>
      </w:rPr>
    </w:lvl>
  </w:abstractNum>
  <w:abstractNum w:abstractNumId="3">
    <w:nsid w:val="64076333"/>
    <w:multiLevelType w:val="singleLevel"/>
    <w:tmpl w:val="64076333"/>
    <w:lvl w:ilvl="0" w:tentative="0">
      <w:start w:val="2"/>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hMWRlY2FhNGM3YjNjYWVjZDY1ODAyNGZiMmZiZjkifQ=="/>
  </w:docVars>
  <w:rsids>
    <w:rsidRoot w:val="00000000"/>
    <w:rsid w:val="000A70F5"/>
    <w:rsid w:val="000F762B"/>
    <w:rsid w:val="020A5C73"/>
    <w:rsid w:val="0299365C"/>
    <w:rsid w:val="02A14404"/>
    <w:rsid w:val="02ED4ABC"/>
    <w:rsid w:val="037261DA"/>
    <w:rsid w:val="03BA7C4F"/>
    <w:rsid w:val="04F94B0A"/>
    <w:rsid w:val="04FF4024"/>
    <w:rsid w:val="05701B1B"/>
    <w:rsid w:val="06272FC8"/>
    <w:rsid w:val="07E6528B"/>
    <w:rsid w:val="082A6214"/>
    <w:rsid w:val="086E178C"/>
    <w:rsid w:val="0B1A5ABE"/>
    <w:rsid w:val="0D4A4E59"/>
    <w:rsid w:val="0E336732"/>
    <w:rsid w:val="0F385370"/>
    <w:rsid w:val="0F942AAF"/>
    <w:rsid w:val="0FFE6730"/>
    <w:rsid w:val="10152737"/>
    <w:rsid w:val="10B75584"/>
    <w:rsid w:val="12274BF2"/>
    <w:rsid w:val="13662464"/>
    <w:rsid w:val="144942F4"/>
    <w:rsid w:val="1517333D"/>
    <w:rsid w:val="15DE511D"/>
    <w:rsid w:val="17115D70"/>
    <w:rsid w:val="180C63B2"/>
    <w:rsid w:val="18462EE2"/>
    <w:rsid w:val="1D23268B"/>
    <w:rsid w:val="1DEA08D0"/>
    <w:rsid w:val="1F012782"/>
    <w:rsid w:val="1FA45CB2"/>
    <w:rsid w:val="1FFB7A1A"/>
    <w:rsid w:val="218F2C47"/>
    <w:rsid w:val="21F92B2F"/>
    <w:rsid w:val="22230EE0"/>
    <w:rsid w:val="235D47F0"/>
    <w:rsid w:val="236849F0"/>
    <w:rsid w:val="238B4897"/>
    <w:rsid w:val="264E265F"/>
    <w:rsid w:val="2704160A"/>
    <w:rsid w:val="28EC0F86"/>
    <w:rsid w:val="29065AE1"/>
    <w:rsid w:val="2AAD1FBB"/>
    <w:rsid w:val="2B3A4917"/>
    <w:rsid w:val="2B49205D"/>
    <w:rsid w:val="2BC813F8"/>
    <w:rsid w:val="2BCA72ED"/>
    <w:rsid w:val="2DE10DF9"/>
    <w:rsid w:val="2E5F739F"/>
    <w:rsid w:val="2ED950C8"/>
    <w:rsid w:val="306A153F"/>
    <w:rsid w:val="321111A9"/>
    <w:rsid w:val="3245497B"/>
    <w:rsid w:val="32D24F5E"/>
    <w:rsid w:val="34185F52"/>
    <w:rsid w:val="348113C1"/>
    <w:rsid w:val="35A47850"/>
    <w:rsid w:val="35D92994"/>
    <w:rsid w:val="361735D6"/>
    <w:rsid w:val="37ED0DFC"/>
    <w:rsid w:val="389D7E6F"/>
    <w:rsid w:val="395170EE"/>
    <w:rsid w:val="395C4529"/>
    <w:rsid w:val="3A6B5A80"/>
    <w:rsid w:val="3C4115E4"/>
    <w:rsid w:val="3C6B36A0"/>
    <w:rsid w:val="3CC41D19"/>
    <w:rsid w:val="3D413CB5"/>
    <w:rsid w:val="3D6B2252"/>
    <w:rsid w:val="3DBD16A1"/>
    <w:rsid w:val="3E350BC9"/>
    <w:rsid w:val="3EA7797A"/>
    <w:rsid w:val="3F1F1C2A"/>
    <w:rsid w:val="3F743193"/>
    <w:rsid w:val="3FAA29DA"/>
    <w:rsid w:val="404A7B24"/>
    <w:rsid w:val="406412D2"/>
    <w:rsid w:val="408D7917"/>
    <w:rsid w:val="42126DD2"/>
    <w:rsid w:val="42DA2D11"/>
    <w:rsid w:val="43F459FD"/>
    <w:rsid w:val="441B263E"/>
    <w:rsid w:val="45A901E2"/>
    <w:rsid w:val="46190247"/>
    <w:rsid w:val="46E56473"/>
    <w:rsid w:val="47271AF0"/>
    <w:rsid w:val="47AC489C"/>
    <w:rsid w:val="4902618C"/>
    <w:rsid w:val="497175BD"/>
    <w:rsid w:val="4A274EC8"/>
    <w:rsid w:val="4C484939"/>
    <w:rsid w:val="4C5A74AA"/>
    <w:rsid w:val="4C8C268C"/>
    <w:rsid w:val="4CF107F4"/>
    <w:rsid w:val="4D5C222A"/>
    <w:rsid w:val="5118124A"/>
    <w:rsid w:val="548036DC"/>
    <w:rsid w:val="55AB2248"/>
    <w:rsid w:val="57097A1B"/>
    <w:rsid w:val="57A529EE"/>
    <w:rsid w:val="58AA5BB8"/>
    <w:rsid w:val="594D7B0F"/>
    <w:rsid w:val="5AB61E7E"/>
    <w:rsid w:val="5AD70930"/>
    <w:rsid w:val="5B814F45"/>
    <w:rsid w:val="5BA21406"/>
    <w:rsid w:val="5BD30C4D"/>
    <w:rsid w:val="5C835040"/>
    <w:rsid w:val="5FAB74EB"/>
    <w:rsid w:val="607D789C"/>
    <w:rsid w:val="614A0BAC"/>
    <w:rsid w:val="617C5F6F"/>
    <w:rsid w:val="626369F4"/>
    <w:rsid w:val="638D15C2"/>
    <w:rsid w:val="64350004"/>
    <w:rsid w:val="65AE3591"/>
    <w:rsid w:val="65C632AB"/>
    <w:rsid w:val="67055B5F"/>
    <w:rsid w:val="6784413C"/>
    <w:rsid w:val="687D6787"/>
    <w:rsid w:val="68D5305B"/>
    <w:rsid w:val="68EB27CB"/>
    <w:rsid w:val="6A473781"/>
    <w:rsid w:val="6AEB0FDA"/>
    <w:rsid w:val="6BD79AF2"/>
    <w:rsid w:val="6BDF2477"/>
    <w:rsid w:val="6CD20997"/>
    <w:rsid w:val="6CEE0D82"/>
    <w:rsid w:val="6DE24AAE"/>
    <w:rsid w:val="6EA474E2"/>
    <w:rsid w:val="6F7E3BBE"/>
    <w:rsid w:val="6F9D36EB"/>
    <w:rsid w:val="717130DC"/>
    <w:rsid w:val="724D226A"/>
    <w:rsid w:val="725463B1"/>
    <w:rsid w:val="725B63EC"/>
    <w:rsid w:val="73783C1A"/>
    <w:rsid w:val="7465342F"/>
    <w:rsid w:val="74A2331F"/>
    <w:rsid w:val="76F94FE2"/>
    <w:rsid w:val="780274A2"/>
    <w:rsid w:val="79E02416"/>
    <w:rsid w:val="79FD5361"/>
    <w:rsid w:val="7AB13CAF"/>
    <w:rsid w:val="7C27171C"/>
    <w:rsid w:val="7D0F06E0"/>
    <w:rsid w:val="7D932127"/>
    <w:rsid w:val="7D9C4C8E"/>
    <w:rsid w:val="7DCB037F"/>
    <w:rsid w:val="7DE71854"/>
    <w:rsid w:val="7E59029A"/>
    <w:rsid w:val="7EBB0592"/>
    <w:rsid w:val="7EBE183D"/>
    <w:rsid w:val="DCBF53B3"/>
    <w:rsid w:val="DFEFDD32"/>
    <w:rsid w:val="F7FDC0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b/>
      <w:bCs/>
      <w:kern w:val="2"/>
    </w:rPr>
  </w:style>
  <w:style w:type="paragraph" w:styleId="3">
    <w:name w:val="Block Text"/>
    <w:basedOn w:val="1"/>
    <w:qFormat/>
    <w:uiPriority w:val="0"/>
    <w:pPr>
      <w:tabs>
        <w:tab w:val="left" w:pos="426"/>
      </w:tabs>
      <w:spacing w:after="120"/>
      <w:ind w:left="1440" w:leftChars="700" w:right="1440" w:rightChars="700"/>
    </w:p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unhideWhenUsed/>
    <w:qFormat/>
    <w:uiPriority w:val="39"/>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FollowedHyperlink"/>
    <w:basedOn w:val="10"/>
    <w:qFormat/>
    <w:uiPriority w:val="0"/>
    <w:rPr>
      <w:color w:val="000000"/>
      <w:u w:val="none"/>
    </w:rPr>
  </w:style>
  <w:style w:type="character" w:styleId="12">
    <w:name w:val="Emphasis"/>
    <w:basedOn w:val="10"/>
    <w:qFormat/>
    <w:uiPriority w:val="0"/>
    <w:rPr>
      <w:sz w:val="22"/>
      <w:szCs w:val="22"/>
    </w:rPr>
  </w:style>
  <w:style w:type="character" w:styleId="13">
    <w:name w:val="Hyperlink"/>
    <w:basedOn w:val="10"/>
    <w:qFormat/>
    <w:uiPriority w:val="0"/>
    <w:rPr>
      <w:color w:val="000000"/>
      <w:u w:val="none"/>
    </w:rPr>
  </w:style>
  <w:style w:type="character" w:customStyle="1" w:styleId="14">
    <w:name w:val="hover48"/>
    <w:basedOn w:val="10"/>
    <w:qFormat/>
    <w:uiPriority w:val="0"/>
    <w:rPr>
      <w:color w:val="FFFFFF"/>
      <w:shd w:val="clear" w:color="auto" w:fill="1091DB"/>
    </w:rPr>
  </w:style>
  <w:style w:type="character" w:customStyle="1" w:styleId="15">
    <w:name w:val="hover50"/>
    <w:basedOn w:val="10"/>
    <w:qFormat/>
    <w:uiPriority w:val="0"/>
    <w:rPr>
      <w:sz w:val="21"/>
      <w:szCs w:val="21"/>
    </w:rPr>
  </w:style>
  <w:style w:type="character" w:customStyle="1" w:styleId="16">
    <w:name w:val="hover49"/>
    <w:basedOn w:val="10"/>
    <w:qFormat/>
    <w:uiPriority w:val="0"/>
    <w:rPr>
      <w:color w:val="FFFFFF"/>
      <w:shd w:val="clear" w:color="auto" w:fill="1091DB"/>
    </w:rPr>
  </w:style>
  <w:style w:type="character" w:customStyle="1" w:styleId="17">
    <w:name w:val="treeicon"/>
    <w:basedOn w:val="10"/>
    <w:qFormat/>
    <w:uiPriority w:val="0"/>
  </w:style>
  <w:style w:type="paragraph" w:styleId="18">
    <w:name w:val="List Paragraph"/>
    <w:basedOn w:val="1"/>
    <w:qFormat/>
    <w:uiPriority w:val="99"/>
    <w:pPr>
      <w:ind w:firstLine="420" w:firstLineChars="200"/>
    </w:pPr>
  </w:style>
  <w:style w:type="paragraph" w:customStyle="1" w:styleId="19">
    <w:name w:val="USE 1"/>
    <w:basedOn w:val="1"/>
    <w:qFormat/>
    <w:uiPriority w:val="0"/>
    <w:pPr>
      <w:spacing w:line="200" w:lineRule="atLeast"/>
      <w:jc w:val="left"/>
    </w:pPr>
    <w:rPr>
      <w:rFonts w:ascii="宋体" w:hAnsi="宋体"/>
      <w:b/>
      <w:sz w:val="24"/>
      <w:szCs w:val="28"/>
    </w:rPr>
  </w:style>
  <w:style w:type="character" w:customStyle="1" w:styleId="20">
    <w:name w:val="font31"/>
    <w:basedOn w:val="10"/>
    <w:qFormat/>
    <w:uiPriority w:val="0"/>
    <w:rPr>
      <w:rFonts w:hint="eastAsia" w:ascii="微软雅黑" w:hAnsi="微软雅黑" w:eastAsia="微软雅黑" w:cs="微软雅黑"/>
      <w:color w:val="000000"/>
      <w:sz w:val="18"/>
      <w:szCs w:val="18"/>
      <w:u w:val="none"/>
    </w:rPr>
  </w:style>
  <w:style w:type="character" w:customStyle="1" w:styleId="21">
    <w:name w:val="font21"/>
    <w:basedOn w:val="10"/>
    <w:qFormat/>
    <w:uiPriority w:val="0"/>
    <w:rPr>
      <w:rFonts w:hint="eastAsia"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3550</Words>
  <Characters>3706</Characters>
  <Lines>0</Lines>
  <Paragraphs>0</Paragraphs>
  <TotalTime>1074</TotalTime>
  <ScaleCrop>false</ScaleCrop>
  <LinksUpToDate>false</LinksUpToDate>
  <CharactersWithSpaces>3720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2021-06-11T08:59:00Z</dcterms:created>
  <dc:creator>006</dc:creator>
  <cp:lastModifiedBy>lxy</cp:lastModifiedBy>
  <cp:lastPrinted>2024-07-04T07:49:00Z</cp:lastPrinted>
  <dcterms:modified xsi:type="dcterms:W3CDTF">2024-08-01T16:35:06Z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F19E20FA784244D7B866A321808020CD_13</vt:lpwstr>
  </property>
</Properties>
</file>