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 w:val="0"/>
        <w:tabs>
          <w:tab w:val="left" w:pos="819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0" w:leftChars="0"/>
        <w:jc w:val="left"/>
        <w:textAlignment w:val="auto"/>
        <w:rPr>
          <w:rFonts w:hint="eastAsia" w:ascii="CESI黑体-GB2312" w:hAnsi="CESI黑体-GB2312" w:eastAsia="CESI黑体-GB2312" w:cs="CESI黑体-GB2312"/>
          <w:b w:val="0"/>
          <w:bCs w:val="0"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CESI黑体-GB2312" w:hAnsi="CESI黑体-GB2312" w:eastAsia="CESI黑体-GB2312" w:cs="CESI黑体-GB2312"/>
          <w:b w:val="0"/>
          <w:bCs w:val="0"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附</w:t>
      </w:r>
      <w:r>
        <w:rPr>
          <w:rFonts w:hint="default" w:ascii="CESI黑体-GB2312" w:hAnsi="CESI黑体-GB2312" w:eastAsia="CESI黑体-GB2312" w:cs="CESI黑体-GB2312"/>
          <w:b w:val="0"/>
          <w:bCs w:val="0"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" w:eastAsia="zh-CN" w:bidi="ar"/>
        </w:rPr>
        <w:t>件</w:t>
      </w:r>
    </w:p>
    <w:p>
      <w:pPr>
        <w:pStyle w:val="3"/>
        <w:keepNext w:val="0"/>
        <w:keepLines w:val="0"/>
        <w:pageBreakBefore w:val="0"/>
        <w:widowControl w:val="0"/>
        <w:tabs>
          <w:tab w:val="left" w:pos="819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0" w:leftChars="0"/>
        <w:jc w:val="center"/>
        <w:textAlignment w:val="auto"/>
        <w:rPr>
          <w:rFonts w:hint="eastAsia" w:ascii="CESI小标宋-GB2312" w:hAnsi="CESI小标宋-GB2312" w:eastAsia="CESI小标宋-GB2312" w:cs="CESI小标宋-GB2312"/>
          <w:b w:val="0"/>
          <w:bCs w:val="0"/>
          <w:i w:val="0"/>
          <w:iCs w:val="0"/>
          <w:color w:val="000000"/>
          <w:kern w:val="0"/>
          <w:sz w:val="44"/>
          <w:szCs w:val="44"/>
          <w:highlight w:val="none"/>
          <w:u w:val="none"/>
          <w:lang w:val="en-US" w:eastAsia="zh-CN" w:bidi="ar"/>
        </w:rPr>
      </w:pPr>
      <w:bookmarkStart w:id="0" w:name="_GoBack"/>
      <w:r>
        <w:rPr>
          <w:rFonts w:hint="eastAsia" w:ascii="CESI小标宋-GB2312" w:hAnsi="CESI小标宋-GB2312" w:eastAsia="CESI小标宋-GB2312" w:cs="CESI小标宋-GB2312"/>
          <w:b w:val="0"/>
          <w:bCs w:val="0"/>
          <w:i w:val="0"/>
          <w:iCs w:val="0"/>
          <w:color w:val="000000"/>
          <w:kern w:val="0"/>
          <w:sz w:val="44"/>
          <w:szCs w:val="44"/>
          <w:highlight w:val="none"/>
          <w:u w:val="none"/>
          <w:lang w:val="en-US" w:eastAsia="zh-CN" w:bidi="ar"/>
        </w:rPr>
        <w:t>龙华区低空经济试验区2024年度建设方案项目建设计划表（第一批）</w:t>
      </w:r>
    </w:p>
    <w:bookmarkEnd w:id="0"/>
    <w:tbl>
      <w:tblPr>
        <w:tblStyle w:val="9"/>
        <w:tblW w:w="13755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1061"/>
        <w:gridCol w:w="1490"/>
        <w:gridCol w:w="4226"/>
        <w:gridCol w:w="1132"/>
        <w:gridCol w:w="1504"/>
        <w:gridCol w:w="1260"/>
        <w:gridCol w:w="1274"/>
        <w:gridCol w:w="12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tblHeader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类别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建设项目名称</w:t>
            </w:r>
          </w:p>
        </w:tc>
        <w:tc>
          <w:tcPr>
            <w:tcW w:w="4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建设内容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投资总额（万元）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预计完成</w:t>
            </w: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时间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投资方式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建设主体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运营主体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56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06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加快低空基础设施建设</w:t>
            </w:r>
          </w:p>
        </w:tc>
        <w:tc>
          <w:tcPr>
            <w:tcW w:w="149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壹方天地各航线设施</w:t>
            </w:r>
          </w:p>
        </w:tc>
        <w:tc>
          <w:tcPr>
            <w:tcW w:w="4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壹方天地A区-环智中心C座（末端配送设施、备降场地）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2024年末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企业自建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美团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美团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56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壹方天地A区-华盛珑悦大厦（末端配送设施、备降场地）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2024年末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企业自建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美团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美团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56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壹方天地A区-环智中心D座（末端配送设施、备降场地）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2024年末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企业自建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美团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美团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56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壹方天地A区-龙华文化广场（末端配送设施、备降场地、低空经济科普长廊）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80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2024年末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企业自建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美团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美团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56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壹方天地A区-龙华公园（末端配送设施、备降场地、低空经济科普长廊）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80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2024年末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企业自建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美团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美团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56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壹方天地A区-龙华区人民医院（末端配送设施、备降场地）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2024年末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企业自建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美团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美团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56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61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9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hd w:val="clear" w:color="auto" w:fill="FFFFFF"/>
              <w:wordWrap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壹方天地A区-龙华消费帮扶街区(末端配送设施、备降场地)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80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2024年末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企业自建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美团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美团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06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加快低空基础设施建设</w:t>
            </w:r>
          </w:p>
        </w:tc>
        <w:tc>
          <w:tcPr>
            <w:tcW w:w="1490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天虹商圈各航线设施</w:t>
            </w:r>
          </w:p>
        </w:tc>
        <w:tc>
          <w:tcPr>
            <w:tcW w:w="4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龙华天虹公园起降点-龙华汇隆商务中心（末端配送设施、备降场地）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2024年末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企业自建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美团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美团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90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龙华天虹公园起降点-龙华天俊（末端配送设施、备降场地）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2024年末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企业自建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美团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美团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90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龙华天虹公园起降点-龙华龙光玖钻中区（末端配送设施、备降场地）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2024年末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企业自建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美团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美团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90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龙华天虹公园起降点-深圳图书馆北馆（末端配送设施、备降场地）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2024年末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企业自建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美团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美团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90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龙华天虹公园起降点-深圳北站公园（末端配送设施、备降场地、低空经济科普长廊）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80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2024年末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企业自建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美团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美团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3</w:t>
            </w:r>
          </w:p>
        </w:tc>
        <w:tc>
          <w:tcPr>
            <w:tcW w:w="10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白石龙音乐公园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航线设施</w:t>
            </w:r>
          </w:p>
        </w:tc>
        <w:tc>
          <w:tcPr>
            <w:tcW w:w="4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坂田星河-白石龙音乐公园（末端配送设施、备降场地、低空经济科普长廊）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80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2024年末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企业自建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美团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美团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5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0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90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社康-医院医疗配送各航线设施</w:t>
            </w:r>
          </w:p>
        </w:tc>
        <w:tc>
          <w:tcPr>
            <w:tcW w:w="4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龙华油松社康-区人民医院（起降平台）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2024年末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企业自建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美团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美团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90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龙华上塘道社康-区人民医院（起降平台）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2024年末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企业自建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美团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美团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90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龙华景龙社康-区人民医院（起降平台）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2024年末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企业自建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美团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美团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061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加快低空基础设施建设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建设无人机起降基础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设施</w:t>
            </w:r>
          </w:p>
        </w:tc>
        <w:tc>
          <w:tcPr>
            <w:tcW w:w="4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建设26个丰翼无人机起降场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1300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2024年末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企业自建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丰翼科技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丰翼科技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0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企业低空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数智平台</w:t>
            </w:r>
          </w:p>
        </w:tc>
        <w:tc>
          <w:tcPr>
            <w:tcW w:w="4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对飞行状态、运行数据、基础设置在线监管，全面感测、传送、整合、分析各种信息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2500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2024年末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企业自建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容祺智能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容祺智能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10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低空全域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感知网</w:t>
            </w:r>
          </w:p>
        </w:tc>
        <w:tc>
          <w:tcPr>
            <w:tcW w:w="4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建设50台无人机智能机巢基础设施，配备中小型无人机和集群管控软件平台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2024年末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企业自建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飞流科技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飞流科技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0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完善低空空域智慧化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服务体系</w:t>
            </w:r>
          </w:p>
        </w:tc>
        <w:tc>
          <w:tcPr>
            <w:tcW w:w="4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覆盖主航路的5G异频低空组网方案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600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2026年末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企业自建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三大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运营商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三大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运营商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106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覆盖主航路的新建5G高频低空专网基站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1200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2026年末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企业自建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三大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运营商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三大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运营商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06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完善低空产业生态</w:t>
            </w:r>
          </w:p>
        </w:tc>
        <w:tc>
          <w:tcPr>
            <w:tcW w:w="14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引进重大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企业</w:t>
            </w:r>
          </w:p>
        </w:tc>
        <w:tc>
          <w:tcPr>
            <w:tcW w:w="4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推动格瑞普落地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35000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2026年末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企业自建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格瑞普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格瑞普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10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推动广和通落地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139000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2026年末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企业自建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广和通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广和通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10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引进低空经济企业</w:t>
            </w:r>
          </w:p>
        </w:tc>
        <w:tc>
          <w:tcPr>
            <w:tcW w:w="4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引导10个以上低空产业项目在龙华落地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16920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2024年末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企业自建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引进企业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引进企业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106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低空经济会议</w:t>
            </w: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" w:eastAsia="zh-CN" w:bidi="ar"/>
              </w:rPr>
              <w:t>论坛</w:t>
            </w:r>
          </w:p>
        </w:tc>
        <w:tc>
          <w:tcPr>
            <w:tcW w:w="4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常态化举办深圳eVTOL World大会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200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2024年末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协会自办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区低空经济协会、上海市航空学会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区低空经济协会、上海市航空学会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106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完善低空产业生态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低空经济会议</w:t>
            </w: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" w:eastAsia="zh-CN" w:bidi="ar"/>
              </w:rPr>
              <w:t>论坛</w:t>
            </w:r>
          </w:p>
        </w:tc>
        <w:tc>
          <w:tcPr>
            <w:tcW w:w="4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常态化举办低空经济产业峰会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150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2024年10月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协会自办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区低空经济协会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区低空经济协会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106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低空飞行人员培训</w:t>
            </w:r>
          </w:p>
        </w:tc>
        <w:tc>
          <w:tcPr>
            <w:tcW w:w="4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支持翼飞鸿天开展民用无人机操控员培训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300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2024年末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企业自办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翼飞鸿天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翼飞鸿天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106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打造低空应用示范场景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观澜湖生态运动公社</w:t>
            </w:r>
          </w:p>
        </w:tc>
        <w:tc>
          <w:tcPr>
            <w:tcW w:w="4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观澜湖生态运动公社-深圳北站单点环线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600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2024年末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企业自建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亿航智能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亿航智能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10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联嘉祥科创PARK</w:t>
            </w:r>
          </w:p>
        </w:tc>
        <w:tc>
          <w:tcPr>
            <w:tcW w:w="4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联嘉祥科创PARK-深圳北站单点环线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600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2024年末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企业自建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亿航智能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亿航智能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10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白石龙音乐主题公园</w:t>
            </w:r>
          </w:p>
        </w:tc>
        <w:tc>
          <w:tcPr>
            <w:tcW w:w="4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白石龙音乐主题公园单点环线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600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2024年末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企业自建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亿航智能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亿航智能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10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九龙山高尔夫球会</w:t>
            </w:r>
          </w:p>
        </w:tc>
        <w:tc>
          <w:tcPr>
            <w:tcW w:w="4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九龙山高尔夫球会单点环线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600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2024年末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企业自建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亿航智能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亿航智能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10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开展无人机空中飞行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表演</w:t>
            </w:r>
          </w:p>
        </w:tc>
        <w:tc>
          <w:tcPr>
            <w:tcW w:w="4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选址合适区域开展文旅特色空中飞行表演活动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200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2024年9月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企业自建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相关运营企业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相关运营企业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106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空地协同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救援系统</w:t>
            </w:r>
          </w:p>
        </w:tc>
        <w:tc>
          <w:tcPr>
            <w:tcW w:w="4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采用无人机快速建模、三维数字孪生和智能识别技术实现高速对交通拥堵、桥梁安全、边坡隐患的智能监测和预警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1500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2024年末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企业自建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容祺智能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容祺智能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106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打造低空应用示范场景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应急物资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运输平台</w:t>
            </w:r>
          </w:p>
        </w:tc>
        <w:tc>
          <w:tcPr>
            <w:tcW w:w="4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形成多机型多种类全覆盖式应急物资运输平台，具备公斤级至百公斤级应急物资运输能力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3000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2024年末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企业自建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容祺智能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容祺智能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23</w:t>
            </w:r>
          </w:p>
        </w:tc>
        <w:tc>
          <w:tcPr>
            <w:tcW w:w="10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违建巡查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系统</w:t>
            </w:r>
          </w:p>
        </w:tc>
        <w:tc>
          <w:tcPr>
            <w:tcW w:w="4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采用航拍技术，建立三维可视化建筑模型，多次巡飞自动对比判断违建物并标注生成报告，实现违建查处及事件管理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1000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2024年9月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企业自建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容祺智能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容祺智能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</w:t>
            </w:r>
          </w:p>
        </w:tc>
        <w:tc>
          <w:tcPr>
            <w:tcW w:w="106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科普教育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展厅</w:t>
            </w:r>
          </w:p>
        </w:tc>
        <w:tc>
          <w:tcPr>
            <w:tcW w:w="4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探索在低空经济产业园设置科普教育展厅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500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2024年末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协会自建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区低空经济协会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区低空经济协会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10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推动低空科技创新发展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推进实验室落地研发</w:t>
            </w:r>
          </w:p>
        </w:tc>
        <w:tc>
          <w:tcPr>
            <w:tcW w:w="4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推动电子科技大学（深圳）高等研究院三维多物理场耦合风洞项目落地研发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6000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2024年6月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企业自建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电子科技大学（深圳）高等研究院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电子科技大学（深圳）高等研究院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</w:t>
            </w:r>
          </w:p>
        </w:tc>
        <w:tc>
          <w:tcPr>
            <w:tcW w:w="10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筹备建设硬件工程研发中心</w:t>
            </w:r>
          </w:p>
        </w:tc>
        <w:tc>
          <w:tcPr>
            <w:tcW w:w="4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美团筹建集设计、开发、试验、试制、场景模拟于一体的硬件工程研究中心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1000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2024年末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企业自筹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美团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美团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27</w:t>
            </w:r>
          </w:p>
        </w:tc>
        <w:tc>
          <w:tcPr>
            <w:tcW w:w="10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企业低空大数据可视化创新中心</w:t>
            </w:r>
          </w:p>
        </w:tc>
        <w:tc>
          <w:tcPr>
            <w:tcW w:w="4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在深圳北站建设低空大数据可视化创新中心，建设可视化大屏、高性能服务器和远程驾驶舱等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500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2024年末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企业自建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飞流科技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飞流科技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34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合计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216000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</w:tbl>
    <w:p/>
    <w:sectPr>
      <w:footerReference r:id="rId3" w:type="default"/>
      <w:pgSz w:w="16838" w:h="11906" w:orient="landscape"/>
      <w:pgMar w:top="2098" w:right="1474" w:bottom="1984" w:left="158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青鸟华光简小标宋">
    <w:altName w:val="方正小标宋_GBK"/>
    <w:panose1 w:val="02010604000101010101"/>
    <w:charset w:val="00"/>
    <w:family w:val="auto"/>
    <w:pitch w:val="default"/>
    <w:sig w:usb0="00000000" w:usb1="00000000" w:usb2="00000000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CESI小标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仿宋_GB2312">
    <w:altName w:val="方正仿宋_GBK"/>
    <w:panose1 w:val="02010609030101010101"/>
    <w:charset w:val="00"/>
    <w:family w:val="auto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00"/>
    <w:family w:val="auto"/>
    <w:pitch w:val="default"/>
    <w:sig w:usb0="00000000" w:usb1="00000000" w:usb2="00000016" w:usb3="00000000" w:csb0="00040001" w:csb1="00000000"/>
  </w:font>
  <w:font w:name="楷体_GB2312">
    <w:altName w:val="方正楷体_GBK"/>
    <w:panose1 w:val="02010609030101010101"/>
    <w:charset w:val="00"/>
    <w:family w:val="auto"/>
    <w:pitch w:val="default"/>
    <w:sig w:usb0="00000000" w:usb1="00000000" w:usb2="00000000" w:usb3="00000000" w:csb0="00040000" w:csb1="00000000"/>
  </w:font>
  <w:font w:name="CESI黑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BYAAABkcnMvUEsB&#10;AhQAFAAAAAgAh07iQM6pebnPAAAABQEAAA8AAAAAAAAAAQAgAAAAOAAAAGRycy9kb3ducmV2Lnht&#10;bFBLAQIUABQAAAAIAIdO4kCqizKUswEAAFIDAAAOAAAAAAAAAAEAIAAAADQ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7FC354"/>
    <w:rsid w:val="577FC354"/>
    <w:rsid w:val="7FE7B1A1"/>
    <w:rsid w:val="BFFFF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3"/>
    <w:qFormat/>
    <w:uiPriority w:val="0"/>
    <w:rPr>
      <w:rFonts w:ascii="宋体" w:hAnsi="Courier New" w:cs="Courier New"/>
      <w:szCs w:val="21"/>
    </w:rPr>
  </w:style>
  <w:style w:type="paragraph" w:styleId="3">
    <w:name w:val="index 8"/>
    <w:basedOn w:val="1"/>
    <w:next w:val="1"/>
    <w:qFormat/>
    <w:uiPriority w:val="0"/>
    <w:pPr>
      <w:ind w:left="1400" w:leftChars="1400"/>
    </w:pPr>
    <w:rPr>
      <w:rFonts w:ascii="Times New Roman" w:hAnsi="Times New Roman" w:eastAsia="宋体" w:cs="Times New Roman"/>
    </w:rPr>
  </w:style>
  <w:style w:type="paragraph" w:styleId="4">
    <w:name w:val="Body Text"/>
    <w:basedOn w:val="1"/>
    <w:next w:val="5"/>
    <w:unhideWhenUsed/>
    <w:qFormat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after="120"/>
    </w:pPr>
    <w:rPr>
      <w:rFonts w:eastAsia="宋体" w:cs="宋体"/>
      <w:color w:val="auto"/>
      <w:szCs w:val="24"/>
    </w:rPr>
  </w:style>
  <w:style w:type="paragraph" w:styleId="5">
    <w:name w:val="Body Text 2"/>
    <w:qFormat/>
    <w:uiPriority w:val="99"/>
    <w:pPr>
      <w:widowControl w:val="0"/>
      <w:spacing w:before="240"/>
      <w:jc w:val="both"/>
    </w:pPr>
    <w:rPr>
      <w:rFonts w:ascii="Calibri" w:hAnsi="Calibri" w:eastAsia="宋体" w:cs="Times New Roman"/>
      <w:color w:val="FF0000"/>
      <w:kern w:val="0"/>
      <w:sz w:val="21"/>
      <w:szCs w:val="20"/>
      <w:lang w:val="en-US" w:eastAsia="zh-CN" w:bidi="ar-SA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11">
    <w:name w:val="fontstyle01"/>
    <w:basedOn w:val="10"/>
    <w:qFormat/>
    <w:uiPriority w:val="0"/>
    <w:rPr>
      <w:rFonts w:ascii="青鸟华光简小标宋" w:hAnsi="青鸟华光简小标宋" w:eastAsia="青鸟华光简小标宋" w:cs="青鸟华光简小标宋"/>
      <w:color w:val="000000"/>
      <w:sz w:val="44"/>
      <w:szCs w:val="44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2024-03-28T15:59:00Z</dcterms:created>
  <dc:creator>longhua</dc:creator>
  <cp:lastModifiedBy>longhua</cp:lastModifiedBy>
  <dcterms:modified xsi:type="dcterms:W3CDTF">2024-03-28T16:03:58Z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</Properties>
</file>