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深圳市龙华区政务服务数据管理局</w:t>
      </w:r>
      <w:r>
        <w:rPr>
          <w:rFonts w:hint="eastAsia" w:ascii="方正小标宋简体" w:eastAsia="方正小标宋简体"/>
          <w:sz w:val="44"/>
          <w:szCs w:val="44"/>
          <w:lang w:val="en-US" w:eastAsia="zh-CN"/>
        </w:rPr>
        <w:t xml:space="preserve"> 深圳市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龙华区发展和改革局</w:t>
      </w:r>
      <w:r>
        <w:rPr>
          <w:rFonts w:hint="eastAsia" w:ascii="方正小标宋简体" w:eastAsia="方正小标宋简体"/>
          <w:sz w:val="44"/>
          <w:szCs w:val="44"/>
          <w:lang w:eastAsia="zh-CN"/>
        </w:rPr>
        <w:t>关于印发《“智慧</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龙华”和“数字政府”第十四个</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五年规划》的通知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光简小标宋" w:eastAsia="华光简小标宋"/>
          <w:sz w:val="44"/>
          <w:szCs w:val="44"/>
        </w:rPr>
      </w:pPr>
      <w:r>
        <w:rPr>
          <w:rFonts w:hint="eastAsia" w:ascii="华光简小标宋" w:eastAsia="华光简小标宋"/>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宋体" w:eastAsia="仿宋_GB2312"/>
          <w:sz w:val="32"/>
          <w:szCs w:val="32"/>
        </w:rPr>
      </w:pPr>
      <w:r>
        <w:rPr>
          <w:rFonts w:hint="eastAsia" w:ascii="仿宋_GB2312" w:hAnsi="宋体" w:eastAsia="仿宋_GB2312"/>
          <w:sz w:val="32"/>
          <w:szCs w:val="32"/>
          <w:lang w:eastAsia="zh-CN"/>
        </w:rPr>
        <w:t>各街道办事处，区直各单位，驻区各单位</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eastAsia="仿宋_GB2312"/>
          <w:sz w:val="32"/>
          <w:szCs w:val="32"/>
          <w:lang w:eastAsia="zh-CN"/>
        </w:rPr>
        <w:t>《“智慧龙华”和“数字政府”第十四个五年规划》已经区政府同意，现予以印发，请认真贯彻落实</w:t>
      </w:r>
      <w:r>
        <w:rPr>
          <w:rFonts w:hint="eastAsia" w:ascii="仿宋_GB2312" w:hAnsi="Times New Roman" w:eastAsia="仿宋_GB2312"/>
          <w:sz w:val="32"/>
          <w:szCs w:val="32"/>
        </w:rPr>
        <w:t>。</w:t>
      </w:r>
    </w:p>
    <w:p>
      <w:pPr>
        <w:keepNext w:val="0"/>
        <w:keepLines w:val="0"/>
        <w:pageBreakBefore w:val="0"/>
        <w:widowControl w:val="0"/>
        <w:tabs>
          <w:tab w:val="left" w:pos="1380"/>
        </w:tabs>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600" w:hanging="1520" w:hangingChars="500"/>
        <w:jc w:val="right"/>
        <w:textAlignment w:val="auto"/>
        <w:rPr>
          <w:rFonts w:ascii="仿宋_GB2312" w:hAnsi="华文中宋" w:cs="仿宋_GB2312"/>
          <w:color w:val="000000"/>
          <w:sz w:val="32"/>
          <w:szCs w:val="32"/>
        </w:rPr>
      </w:pPr>
      <w:r>
        <w:rPr>
          <w:rFonts w:hint="eastAsia" w:ascii="仿宋_GB2312" w:eastAsia="仿宋_GB2312"/>
          <w:w w:val="95"/>
          <w:sz w:val="32"/>
          <w:szCs w:val="32"/>
          <w:lang w:eastAsia="zh-CN"/>
        </w:rPr>
        <w:t>深圳市龙华区政务服务数据管理局</w:t>
      </w:r>
      <w:r>
        <w:rPr>
          <w:rFonts w:hint="eastAsia" w:ascii="仿宋_GB2312" w:hAnsi="Times New Roman" w:eastAsia="仿宋_GB2312"/>
          <w:w w:val="95"/>
          <w:sz w:val="32"/>
          <w:szCs w:val="32"/>
        </w:rPr>
        <w:t xml:space="preserve"> </w:t>
      </w:r>
      <w:r>
        <w:rPr>
          <w:rFonts w:hint="eastAsia" w:ascii="仿宋_GB2312" w:eastAsia="仿宋_GB2312"/>
          <w:w w:val="95"/>
          <w:sz w:val="32"/>
          <w:szCs w:val="32"/>
          <w:lang w:val="en-US" w:eastAsia="zh-CN"/>
        </w:rPr>
        <w:t xml:space="preserve">  </w:t>
      </w:r>
      <w:r>
        <w:rPr>
          <w:rFonts w:hint="eastAsia" w:ascii="仿宋_GB2312" w:hAnsi="华文中宋" w:eastAsia="仿宋_GB2312"/>
          <w:color w:val="000000"/>
          <w:w w:val="95"/>
          <w:sz w:val="32"/>
          <w:szCs w:val="32"/>
          <w:lang w:eastAsia="zh-CN"/>
        </w:rPr>
        <w:t>深圳市龙华区发展和改革局</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ascii="黑体" w:hAnsi="Times New Roman" w:eastAsia="黑体"/>
          <w:sz w:val="32"/>
          <w:szCs w:val="32"/>
        </w:rPr>
      </w:pPr>
      <w:r>
        <w:rPr>
          <w:rFonts w:hint="eastAsia" w:ascii="仿宋_GB2312" w:hAnsi="华文中宋" w:eastAsia="仿宋_GB2312"/>
          <w:color w:val="000000"/>
          <w:sz w:val="32"/>
          <w:szCs w:val="32"/>
        </w:rPr>
        <w:t xml:space="preserve">                                </w:t>
      </w:r>
      <w:r>
        <w:rPr>
          <w:rFonts w:hint="eastAsia" w:ascii="仿宋_GB2312" w:hAnsi="华文中宋" w:eastAsia="仿宋_GB2312"/>
          <w:color w:val="000000"/>
          <w:sz w:val="32"/>
          <w:szCs w:val="32"/>
          <w:lang w:val="en-US" w:eastAsia="zh-CN"/>
        </w:rPr>
        <w:t xml:space="preserve">    </w:t>
      </w:r>
      <w:r>
        <w:rPr>
          <w:rFonts w:hint="eastAsia" w:ascii="仿宋_GB2312" w:hAnsi="华文中宋" w:eastAsia="仿宋_GB2312"/>
          <w:color w:val="000000"/>
          <w:sz w:val="32"/>
          <w:szCs w:val="32"/>
        </w:rPr>
        <w:t>20</w:t>
      </w:r>
      <w:r>
        <w:rPr>
          <w:rFonts w:hint="eastAsia" w:ascii="仿宋_GB2312" w:hAnsi="华文中宋" w:eastAsia="仿宋_GB2312"/>
          <w:color w:val="000000"/>
          <w:sz w:val="32"/>
          <w:szCs w:val="32"/>
          <w:lang w:val="en-US" w:eastAsia="zh-CN"/>
        </w:rPr>
        <w:t>23</w:t>
      </w:r>
      <w:r>
        <w:rPr>
          <w:rFonts w:hint="eastAsia" w:ascii="仿宋_GB2312" w:hAnsi="华文中宋" w:eastAsia="仿宋_GB2312"/>
          <w:color w:val="000000"/>
          <w:sz w:val="32"/>
          <w:szCs w:val="32"/>
        </w:rPr>
        <w:t>年</w:t>
      </w:r>
      <w:r>
        <w:rPr>
          <w:rFonts w:hint="eastAsia" w:ascii="仿宋_GB2312" w:hAnsi="华文中宋" w:eastAsia="仿宋_GB2312"/>
          <w:color w:val="000000"/>
          <w:sz w:val="32"/>
          <w:szCs w:val="32"/>
          <w:lang w:val="en-US" w:eastAsia="zh-CN"/>
        </w:rPr>
        <w:t>12</w:t>
      </w:r>
      <w:r>
        <w:rPr>
          <w:rFonts w:hint="eastAsia" w:ascii="仿宋_GB2312" w:hAnsi="华文中宋" w:eastAsia="仿宋_GB2312"/>
          <w:color w:val="000000"/>
          <w:sz w:val="32"/>
          <w:szCs w:val="32"/>
        </w:rPr>
        <w:t>月</w:t>
      </w:r>
      <w:r>
        <w:rPr>
          <w:rFonts w:hint="eastAsia" w:ascii="仿宋_GB2312" w:hAnsi="华文中宋" w:eastAsia="仿宋_GB2312"/>
          <w:color w:val="000000"/>
          <w:sz w:val="32"/>
          <w:szCs w:val="32"/>
          <w:lang w:val="en-US" w:eastAsia="zh-CN"/>
        </w:rPr>
        <w:t>8</w:t>
      </w:r>
      <w:r>
        <w:rPr>
          <w:rFonts w:hint="eastAsia" w:ascii="仿宋_GB2312" w:hAnsi="华文中宋"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r>
        <w:br w:type="page"/>
      </w:r>
    </w:p>
    <w:p>
      <w:pPr>
        <w:spacing w:line="560" w:lineRule="exact"/>
        <w:ind w:left="3740" w:hanging="3740" w:hangingChars="850"/>
        <w:rPr>
          <w:rFonts w:ascii="仿宋_GB2312" w:hAnsi="方正小标宋简体" w:eastAsia="仿宋_GB2312" w:cs="方正小标宋简体"/>
          <w:color w:val="000000" w:themeColor="text1"/>
          <w:sz w:val="44"/>
          <w:szCs w:val="44"/>
          <w14:textFill>
            <w14:solidFill>
              <w14:schemeClr w14:val="tx1"/>
            </w14:solidFill>
          </w14:textFill>
        </w:rPr>
      </w:pPr>
    </w:p>
    <w:p>
      <w:pPr>
        <w:spacing w:line="560" w:lineRule="exact"/>
        <w:ind w:left="3740" w:hanging="3740" w:hangingChars="850"/>
        <w:rPr>
          <w:rFonts w:ascii="仿宋_GB2312" w:hAnsi="方正小标宋简体" w:eastAsia="仿宋_GB2312" w:cs="方正小标宋简体"/>
          <w:color w:val="000000" w:themeColor="text1"/>
          <w:sz w:val="44"/>
          <w:szCs w:val="44"/>
          <w14:textFill>
            <w14:solidFill>
              <w14:schemeClr w14:val="tx1"/>
            </w14:solidFill>
          </w14:textFill>
        </w:rPr>
      </w:pPr>
    </w:p>
    <w:p>
      <w:pPr>
        <w:spacing w:line="560" w:lineRule="exact"/>
        <w:ind w:left="3740" w:hanging="3740" w:hangingChars="850"/>
        <w:rPr>
          <w:rFonts w:ascii="仿宋_GB2312" w:hAnsi="方正小标宋简体" w:eastAsia="仿宋_GB2312" w:cs="方正小标宋简体"/>
          <w:color w:val="000000" w:themeColor="text1"/>
          <w:sz w:val="44"/>
          <w:szCs w:val="44"/>
          <w14:textFill>
            <w14:solidFill>
              <w14:schemeClr w14:val="tx1"/>
            </w14:solidFill>
          </w14:textFill>
        </w:rPr>
      </w:pPr>
    </w:p>
    <w:p>
      <w:pPr>
        <w:spacing w:line="560" w:lineRule="exact"/>
        <w:ind w:left="3740" w:hanging="3740" w:hangingChars="850"/>
        <w:rPr>
          <w:rFonts w:ascii="仿宋_GB2312" w:hAnsi="方正小标宋简体" w:eastAsia="仿宋_GB2312" w:cs="方正小标宋简体"/>
          <w:color w:val="000000" w:themeColor="text1"/>
          <w:sz w:val="44"/>
          <w:szCs w:val="44"/>
          <w14:textFill>
            <w14:solidFill>
              <w14:schemeClr w14:val="tx1"/>
            </w14:solidFill>
          </w14:textFill>
        </w:rPr>
      </w:pPr>
    </w:p>
    <w:p>
      <w:pPr>
        <w:spacing w:line="560" w:lineRule="exact"/>
        <w:ind w:left="3740" w:hanging="3740" w:hangingChars="850"/>
        <w:rPr>
          <w:rFonts w:ascii="仿宋_GB2312" w:hAnsi="方正小标宋简体" w:eastAsia="仿宋_GB2312" w:cs="方正小标宋简体"/>
          <w:color w:val="000000" w:themeColor="text1"/>
          <w:sz w:val="44"/>
          <w:szCs w:val="44"/>
          <w14:textFill>
            <w14:solidFill>
              <w14:schemeClr w14:val="tx1"/>
            </w14:solidFill>
          </w14:textFill>
        </w:rPr>
      </w:pPr>
    </w:p>
    <w:p>
      <w:pPr>
        <w:spacing w:line="560" w:lineRule="exact"/>
        <w:ind w:left="3740" w:hanging="3740" w:hangingChars="850"/>
        <w:rPr>
          <w:rFonts w:ascii="仿宋_GB2312" w:hAnsi="方正小标宋简体" w:eastAsia="仿宋_GB2312" w:cs="方正小标宋简体"/>
          <w:color w:val="000000" w:themeColor="text1"/>
          <w:sz w:val="44"/>
          <w:szCs w:val="44"/>
          <w14:textFill>
            <w14:solidFill>
              <w14:schemeClr w14:val="tx1"/>
            </w14:solidFill>
          </w14:textFill>
        </w:rPr>
      </w:pPr>
    </w:p>
    <w:p>
      <w:pPr>
        <w:spacing w:line="560" w:lineRule="exact"/>
        <w:ind w:left="3280" w:leftChars="200" w:hanging="2860" w:hangingChars="65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“智慧龙华”和“数字政府”</w:t>
      </w:r>
    </w:p>
    <w:p>
      <w:pPr>
        <w:spacing w:line="560" w:lineRule="exact"/>
        <w:ind w:left="3280" w:leftChars="200" w:hanging="2860" w:hangingChars="65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第十四个五年规划</w:t>
      </w:r>
    </w:p>
    <w:p>
      <w:pPr>
        <w:spacing w:line="560" w:lineRule="exact"/>
        <w:rPr>
          <w:rFonts w:ascii="仿宋_GB2312" w:hAnsi="楷体" w:eastAsia="仿宋_GB2312"/>
          <w:color w:val="000000" w:themeColor="text1"/>
          <w:sz w:val="44"/>
          <w:szCs w:val="44"/>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p>
    <w:p>
      <w:pPr>
        <w:spacing w:line="560" w:lineRule="exact"/>
        <w:rPr>
          <w:rFonts w:ascii="仿宋_GB2312" w:eastAsia="仿宋_GB2312"/>
          <w:color w:val="000000" w:themeColor="text1"/>
          <w14:textFill>
            <w14:solidFill>
              <w14:schemeClr w14:val="tx1"/>
            </w14:solidFill>
          </w14:textFill>
        </w:rPr>
      </w:pPr>
    </w:p>
    <w:p>
      <w:pPr>
        <w:spacing w:line="560" w:lineRule="exact"/>
        <w:rPr>
          <w:rFonts w:ascii="仿宋_GB2312" w:eastAsia="仿宋_GB2312"/>
          <w:color w:val="000000" w:themeColor="text1"/>
          <w14:textFill>
            <w14:solidFill>
              <w14:schemeClr w14:val="tx1"/>
            </w14:solidFill>
          </w14:textFill>
        </w:rPr>
      </w:pPr>
    </w:p>
    <w:p>
      <w:pPr>
        <w:spacing w:line="560" w:lineRule="exact"/>
        <w:rPr>
          <w:rFonts w:ascii="仿宋_GB2312" w:eastAsia="仿宋_GB2312"/>
          <w:color w:val="000000" w:themeColor="text1"/>
          <w14:textFill>
            <w14:solidFill>
              <w14:schemeClr w14:val="tx1"/>
            </w14:solidFill>
          </w14:textFill>
        </w:rPr>
      </w:pPr>
    </w:p>
    <w:p>
      <w:pPr>
        <w:spacing w:line="560" w:lineRule="exact"/>
        <w:rPr>
          <w:rFonts w:ascii="仿宋_GB2312" w:eastAsia="仿宋_GB2312"/>
          <w:color w:val="000000" w:themeColor="text1"/>
          <w14:textFill>
            <w14:solidFill>
              <w14:schemeClr w14:val="tx1"/>
            </w14:solidFill>
          </w14:textFill>
        </w:rPr>
      </w:pPr>
    </w:p>
    <w:p>
      <w:pPr>
        <w:spacing w:line="560" w:lineRule="exact"/>
        <w:rPr>
          <w:rFonts w:ascii="仿宋_GB2312" w:eastAsia="仿宋_GB2312"/>
          <w:color w:val="000000" w:themeColor="text1"/>
          <w14:textFill>
            <w14:solidFill>
              <w14:schemeClr w14:val="tx1"/>
            </w14:solidFill>
          </w14:textFill>
        </w:rPr>
      </w:pPr>
    </w:p>
    <w:p>
      <w:pPr>
        <w:spacing w:line="560" w:lineRule="exact"/>
        <w:rPr>
          <w:rFonts w:ascii="仿宋_GB2312" w:eastAsia="仿宋_GB2312"/>
          <w:color w:val="000000" w:themeColor="text1"/>
          <w14:textFill>
            <w14:solidFill>
              <w14:schemeClr w14:val="tx1"/>
            </w14:solidFill>
          </w14:textFill>
        </w:rPr>
      </w:pPr>
    </w:p>
    <w:p>
      <w:pPr>
        <w:spacing w:line="560" w:lineRule="exact"/>
        <w:rPr>
          <w:rFonts w:ascii="仿宋_GB2312" w:eastAsia="仿宋_GB2312"/>
          <w:color w:val="000000" w:themeColor="text1"/>
          <w14:textFill>
            <w14:solidFill>
              <w14:schemeClr w14:val="tx1"/>
            </w14:solidFill>
          </w14:textFill>
        </w:rPr>
      </w:pPr>
    </w:p>
    <w:p>
      <w:pPr>
        <w:spacing w:line="560" w:lineRule="exact"/>
        <w:rPr>
          <w:rFonts w:ascii="仿宋_GB2312" w:eastAsia="仿宋_GB2312"/>
          <w:color w:val="000000" w:themeColor="text1"/>
          <w14:textFill>
            <w14:solidFill>
              <w14:schemeClr w14:val="tx1"/>
            </w14:solidFill>
          </w14:textFill>
        </w:rPr>
      </w:pPr>
    </w:p>
    <w:p>
      <w:pPr>
        <w:spacing w:line="560" w:lineRule="exact"/>
        <w:rPr>
          <w:rFonts w:ascii="仿宋_GB2312" w:eastAsia="仿宋_GB2312"/>
          <w:color w:val="000000" w:themeColor="text1"/>
          <w14:textFill>
            <w14:solidFill>
              <w14:schemeClr w14:val="tx1"/>
            </w14:solidFill>
          </w14:textFill>
        </w:rPr>
      </w:pPr>
    </w:p>
    <w:p>
      <w:pPr>
        <w:widowControl/>
        <w:spacing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深圳市龙华区政务服务数据管理局</w:t>
      </w:r>
    </w:p>
    <w:p>
      <w:pPr>
        <w:widowControl/>
        <w:spacing w:line="560" w:lineRule="exact"/>
        <w:jc w:val="center"/>
        <w:sectPr>
          <w:footerReference r:id="rId3" w:type="default"/>
          <w:pgSz w:w="11906" w:h="16838"/>
          <w:pgMar w:top="2098" w:right="1474" w:bottom="1985" w:left="1588" w:header="851" w:footer="992" w:gutter="0"/>
          <w:pgNumType w:fmt="decimal"/>
          <w:cols w:space="425" w:num="1"/>
          <w:docGrid w:type="lines" w:linePitch="312" w:charSpace="0"/>
        </w:sectPr>
      </w:pPr>
      <w:r>
        <w:rPr>
          <w:rFonts w:hint="eastAsia" w:ascii="楷体_GB2312" w:hAnsi="楷体_GB2312" w:eastAsia="楷体_GB2312" w:cs="楷体_GB2312"/>
          <w:color w:val="auto"/>
          <w:sz w:val="32"/>
          <w:szCs w:val="32"/>
        </w:rPr>
        <w:t>二〇二</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年</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月</w:t>
      </w:r>
    </w:p>
    <w:sdt>
      <w:sdtPr>
        <w:rPr>
          <w:rFonts w:hint="eastAsia" w:ascii="黑体" w:hAnsi="黑体" w:eastAsia="黑体" w:cs="黑体"/>
          <w:bCs/>
          <w:color w:val="000000" w:themeColor="text1"/>
          <w:kern w:val="0"/>
          <w:sz w:val="36"/>
          <w:szCs w:val="36"/>
          <w:lang w:val="zh-CN"/>
          <w14:textFill>
            <w14:solidFill>
              <w14:schemeClr w14:val="tx1"/>
            </w14:solidFill>
          </w14:textFill>
        </w:rPr>
        <w:id w:val="1721329390"/>
        <w:docPartObj>
          <w:docPartGallery w:val="Table of Contents"/>
          <w:docPartUnique/>
        </w:docPartObj>
      </w:sdtPr>
      <w:sdtEndPr>
        <w:rPr>
          <w:rFonts w:hint="eastAsia" w:ascii="黑体" w:hAnsi="黑体" w:eastAsia="黑体" w:cs="黑体"/>
          <w:bCs/>
          <w:color w:val="000000" w:themeColor="text1"/>
          <w:kern w:val="0"/>
          <w:sz w:val="36"/>
          <w:szCs w:val="36"/>
          <w:lang w:val="zh-CN"/>
          <w14:textFill>
            <w14:solidFill>
              <w14:schemeClr w14:val="tx1"/>
            </w14:solidFill>
          </w14:textFill>
        </w:rPr>
      </w:sdtEndPr>
      <w:sdtContent>
        <w:p>
          <w:pPr>
            <w:keepNext/>
            <w:keepLines/>
            <w:widowControl/>
            <w:spacing w:before="0" w:beforeLines="-2147483648" w:after="0" w:afterLines="-2147483648" w:line="560" w:lineRule="exact"/>
            <w:ind w:left="0" w:leftChars="0" w:right="0" w:rightChars="0" w:firstLine="0" w:firstLineChars="0"/>
            <w:jc w:val="center"/>
            <w:outlineLvl w:val="1"/>
            <w:rPr>
              <w:rFonts w:hint="eastAsia" w:ascii="黑体" w:hAnsi="黑体" w:eastAsia="黑体" w:cs="黑体"/>
              <w:bCs/>
              <w:color w:val="000000" w:themeColor="text1"/>
              <w:kern w:val="0"/>
              <w:sz w:val="36"/>
              <w:szCs w:val="36"/>
              <w14:textFill>
                <w14:solidFill>
                  <w14:schemeClr w14:val="tx1"/>
                </w14:solidFill>
              </w14:textFill>
            </w:rPr>
          </w:pPr>
          <w:bookmarkStart w:id="0" w:name="_Toc30046"/>
          <w:r>
            <w:rPr>
              <w:rFonts w:hint="eastAsia" w:ascii="黑体" w:hAnsi="黑体" w:eastAsia="黑体" w:cs="黑体"/>
              <w:bCs/>
              <w:color w:val="000000" w:themeColor="text1"/>
              <w:kern w:val="0"/>
              <w:sz w:val="36"/>
              <w:szCs w:val="36"/>
              <w14:textFill>
                <w14:solidFill>
                  <w14:schemeClr w14:val="tx1"/>
                </w14:solidFill>
              </w14:textFill>
            </w:rPr>
            <w:t>目</w:t>
          </w:r>
          <w:r>
            <w:rPr>
              <w:rFonts w:hint="eastAsia" w:ascii="黑体" w:hAnsi="黑体" w:eastAsia="黑体" w:cs="黑体"/>
              <w:bCs/>
              <w:color w:val="000000" w:themeColor="text1"/>
              <w:kern w:val="0"/>
              <w:sz w:val="36"/>
              <w:szCs w:val="36"/>
              <w:lang w:val="en-US" w:eastAsia="zh-CN"/>
              <w14:textFill>
                <w14:solidFill>
                  <w14:schemeClr w14:val="tx1"/>
                </w14:solidFill>
              </w14:textFill>
            </w:rPr>
            <w:t xml:space="preserve">  </w:t>
          </w:r>
          <w:r>
            <w:rPr>
              <w:rFonts w:hint="eastAsia" w:ascii="黑体" w:hAnsi="黑体" w:eastAsia="黑体" w:cs="黑体"/>
              <w:bCs/>
              <w:color w:val="000000" w:themeColor="text1"/>
              <w:kern w:val="0"/>
              <w:sz w:val="36"/>
              <w:szCs w:val="36"/>
              <w14:textFill>
                <w14:solidFill>
                  <w14:schemeClr w14:val="tx1"/>
                </w14:solidFill>
              </w14:textFill>
            </w:rPr>
            <w:t>录</w:t>
          </w:r>
        </w:p>
        <w:bookmarkEnd w:id="0"/>
        <w:p>
          <w:pPr>
            <w:pStyle w:val="12"/>
            <w:tabs>
              <w:tab w:val="right" w:leader="dot" w:pos="8844"/>
            </w:tabs>
          </w:pPr>
          <w:r>
            <w:rPr>
              <w:rFonts w:hint="eastAsia" w:ascii="仿宋_GB2312" w:eastAsia="仿宋_GB2312"/>
              <w:bCs/>
              <w:color w:val="000000" w:themeColor="text1"/>
              <w:sz w:val="24"/>
              <w:szCs w:val="24"/>
              <w:lang w:val="zh-CN"/>
              <w14:textFill>
                <w14:solidFill>
                  <w14:schemeClr w14:val="tx1"/>
                </w14:solidFill>
              </w14:textFill>
            </w:rPr>
            <w:fldChar w:fldCharType="begin"/>
          </w:r>
          <w:r>
            <w:rPr>
              <w:rFonts w:hint="eastAsia" w:ascii="仿宋_GB2312" w:eastAsia="仿宋_GB2312"/>
              <w:bCs/>
              <w:color w:val="000000" w:themeColor="text1"/>
              <w:sz w:val="24"/>
              <w:szCs w:val="24"/>
              <w:lang w:val="zh-CN"/>
              <w14:textFill>
                <w14:solidFill>
                  <w14:schemeClr w14:val="tx1"/>
                </w14:solidFill>
              </w14:textFill>
            </w:rPr>
            <w:instrText xml:space="preserve"> TOC \o "1-3" \h \z \u </w:instrText>
          </w:r>
          <w:r>
            <w:rPr>
              <w:rFonts w:hint="eastAsia" w:ascii="仿宋_GB2312" w:eastAsia="仿宋_GB2312"/>
              <w:bCs/>
              <w:color w:val="000000" w:themeColor="text1"/>
              <w:sz w:val="24"/>
              <w:szCs w:val="24"/>
              <w:lang w:val="zh-CN"/>
              <w14:textFill>
                <w14:solidFill>
                  <w14:schemeClr w14:val="tx1"/>
                </w14:solidFill>
              </w14:textFill>
            </w:rPr>
            <w:fldChar w:fldCharType="separate"/>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黑体" w:hAnsi="黑体" w:eastAsia="黑体" w:cs="黑体"/>
              <w:sz w:val="24"/>
              <w:szCs w:val="24"/>
            </w:rPr>
          </w:pPr>
          <w:r>
            <w:rPr>
              <w:rFonts w:hint="eastAsia" w:ascii="黑体" w:hAnsi="黑体" w:eastAsia="黑体" w:cs="黑体"/>
              <w:bCs/>
              <w:color w:val="000000" w:themeColor="text1"/>
              <w:sz w:val="24"/>
              <w:szCs w:val="24"/>
              <w:lang w:val="zh-CN"/>
              <w14:textFill>
                <w14:solidFill>
                  <w14:schemeClr w14:val="tx1"/>
                </w14:solidFill>
              </w14:textFill>
            </w:rPr>
            <w:fldChar w:fldCharType="begin"/>
          </w:r>
          <w:r>
            <w:rPr>
              <w:rFonts w:hint="eastAsia" w:ascii="黑体" w:hAnsi="黑体" w:eastAsia="黑体" w:cs="黑体"/>
              <w:bCs/>
              <w:sz w:val="24"/>
              <w:szCs w:val="24"/>
              <w:lang w:val="zh-CN"/>
            </w:rPr>
            <w:instrText xml:space="preserve"> HYPERLINK \l _Toc13662 </w:instrText>
          </w:r>
          <w:r>
            <w:rPr>
              <w:rFonts w:hint="eastAsia" w:ascii="黑体" w:hAnsi="黑体" w:eastAsia="黑体" w:cs="黑体"/>
              <w:bCs/>
              <w:sz w:val="24"/>
              <w:szCs w:val="24"/>
              <w:lang w:val="zh-CN"/>
            </w:rPr>
            <w:fldChar w:fldCharType="separate"/>
          </w:r>
          <w:r>
            <w:rPr>
              <w:rFonts w:hint="eastAsia" w:ascii="黑体" w:hAnsi="黑体" w:eastAsia="黑体" w:cs="黑体"/>
              <w:bCs/>
              <w:kern w:val="0"/>
              <w:sz w:val="24"/>
              <w:szCs w:val="24"/>
            </w:rPr>
            <w:t>前</w:t>
          </w:r>
          <w:r>
            <w:rPr>
              <w:rFonts w:hint="eastAsia" w:ascii="黑体" w:hAnsi="黑体" w:eastAsia="黑体" w:cs="黑体"/>
              <w:bCs/>
              <w:kern w:val="0"/>
              <w:sz w:val="24"/>
              <w:szCs w:val="24"/>
              <w:lang w:val="en-US" w:eastAsia="zh-CN"/>
            </w:rPr>
            <w:t xml:space="preserve">  </w:t>
          </w:r>
          <w:r>
            <w:rPr>
              <w:rFonts w:hint="eastAsia" w:ascii="黑体" w:hAnsi="黑体" w:eastAsia="黑体" w:cs="黑体"/>
              <w:bCs/>
              <w:kern w:val="0"/>
              <w:sz w:val="24"/>
              <w:szCs w:val="24"/>
            </w:rPr>
            <w:t>言</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_Toc13662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黑体" w:hAnsi="黑体" w:eastAsia="黑体" w:cs="黑体"/>
              <w:bCs/>
              <w:color w:val="000000" w:themeColor="text1"/>
              <w:sz w:val="24"/>
              <w:szCs w:val="24"/>
              <w:lang w:val="zh-CN"/>
              <w14:textFill>
                <w14:solidFill>
                  <w14:schemeClr w14:val="tx1"/>
                </w14:solidFill>
              </w14:textFill>
            </w:rPr>
            <w:fldChar w:fldCharType="begin"/>
          </w:r>
          <w:r>
            <w:rPr>
              <w:rFonts w:hint="eastAsia" w:ascii="黑体" w:hAnsi="黑体" w:eastAsia="黑体" w:cs="黑体"/>
              <w:bCs/>
              <w:sz w:val="24"/>
              <w:szCs w:val="24"/>
              <w:lang w:val="zh-CN"/>
            </w:rPr>
            <w:instrText xml:space="preserve"> HYPERLINK \l _Toc17091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一、发展现状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_Toc17091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_Toc2968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（一）建设成果</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_Toc2968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_Toc4736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（二）发展趋势</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_Toc4736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8</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_Toc31805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（三）面临挑战</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_Toc31805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10</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黑体" w:hAnsi="黑体" w:eastAsia="黑体" w:cs="黑体"/>
              <w:bCs/>
              <w:color w:val="000000" w:themeColor="text1"/>
              <w:sz w:val="24"/>
              <w:szCs w:val="24"/>
              <w:lang w:val="zh-CN"/>
              <w14:textFill>
                <w14:solidFill>
                  <w14:schemeClr w14:val="tx1"/>
                </w14:solidFill>
              </w14:textFill>
            </w:rPr>
            <w:fldChar w:fldCharType="begin"/>
          </w:r>
          <w:r>
            <w:rPr>
              <w:rFonts w:hint="eastAsia" w:ascii="黑体" w:hAnsi="黑体" w:eastAsia="黑体" w:cs="黑体"/>
              <w:bCs/>
              <w:sz w:val="24"/>
              <w:szCs w:val="24"/>
              <w:lang w:val="zh-CN"/>
            </w:rPr>
            <w:instrText xml:space="preserve"> HYPERLINK \l _Toc7064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二、总体思路</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_Toc7064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_Toc24582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lang w:bidi="ar"/>
            </w:rPr>
            <w:t>（一）指导思想</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_Toc24582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14</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_Toc17070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lang w:bidi="ar"/>
            </w:rPr>
            <w:t>（二）基本原则</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_Toc17070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14</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_Toc1165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lang w:bidi="ar"/>
            </w:rPr>
            <w:t>（三）建设目标</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_Toc1165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16</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_Toc21592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lang w:bidi="ar"/>
            </w:rPr>
            <w:t>（四）框架体系</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_Toc21592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19</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黑体" w:hAnsi="黑体" w:eastAsia="黑体" w:cs="黑体"/>
              <w:bCs/>
              <w:color w:val="000000" w:themeColor="text1"/>
              <w:sz w:val="24"/>
              <w:szCs w:val="24"/>
              <w:lang w:val="zh-CN"/>
              <w14:textFill>
                <w14:solidFill>
                  <w14:schemeClr w14:val="tx1"/>
                </w14:solidFill>
              </w14:textFill>
            </w:rPr>
            <w:fldChar w:fldCharType="begin"/>
          </w:r>
          <w:r>
            <w:rPr>
              <w:rFonts w:hint="eastAsia" w:ascii="黑体" w:hAnsi="黑体" w:eastAsia="黑体" w:cs="黑体"/>
              <w:bCs/>
              <w:sz w:val="24"/>
              <w:szCs w:val="24"/>
              <w:lang w:val="zh-CN"/>
            </w:rPr>
            <w:instrText xml:space="preserve"> HYPERLINK \l _Toc27633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三、打造数字政府“一网通办”，彰显惠民利企新形象</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_Toc27633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_Toc31406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napToGrid w:val="0"/>
              <w:sz w:val="24"/>
              <w:szCs w:val="24"/>
            </w:rPr>
            <w:t>（一）提供优质便捷的政务服务</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_Toc31406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23</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_Toc20109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1.以“渠道多元”再提升服务触达能力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_Toc20109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_Toc4252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2.以“三个通办”再创新服务供给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_Toc4252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_Toc6044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3.以“一件事”再造业务运行流程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_Toc6044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_Toc18565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4.以“四免”优化再提升审批效率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_Toc18565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_Toc7099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5.以“好差评”再提升服务品质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_Toc7099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_Toc2359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bCs w:val="0"/>
              <w:sz w:val="24"/>
              <w:szCs w:val="24"/>
            </w:rPr>
            <w:t>（二）营造开放一流的营商环境</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_Toc2359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25</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_Toc159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1.探索推动政务服务“免申即享”改革</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_Toc15166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2.推动企业融资便利化水平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_Toc15166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_Toc18315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3.提升政府网站国际化服务能力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_Toc18315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_Toc21017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bCs w:val="0"/>
              <w:sz w:val="24"/>
              <w:szCs w:val="24"/>
            </w:rPr>
            <w:t>（三）提供普惠便利的公共服务</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_Toc21017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26</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_Toc14395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1.创新“智慧教育”发展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_Toc14395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_Toc30694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2.完善“智慧医疗”应用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_Toc30694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_Toc6239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3.推进“智慧交通”建设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_Toc6239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_Toc14195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4.加强“智慧养老”应用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_Toc14195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黑体" w:hAnsi="黑体" w:eastAsia="黑体" w:cs="黑体"/>
              <w:sz w:val="24"/>
              <w:szCs w:val="24"/>
            </w:rPr>
          </w:pPr>
          <w:r>
            <w:rPr>
              <w:rFonts w:hint="eastAsia" w:ascii="黑体" w:hAnsi="黑体" w:eastAsia="黑体" w:cs="黑体"/>
              <w:bCs/>
              <w:color w:val="000000" w:themeColor="text1"/>
              <w:sz w:val="24"/>
              <w:szCs w:val="24"/>
              <w:lang w:val="zh-CN"/>
              <w14:textFill>
                <w14:solidFill>
                  <w14:schemeClr w14:val="tx1"/>
                </w14:solidFill>
              </w14:textFill>
            </w:rPr>
            <w:fldChar w:fldCharType="begin"/>
          </w:r>
          <w:r>
            <w:rPr>
              <w:rFonts w:hint="eastAsia" w:ascii="黑体" w:hAnsi="黑体" w:eastAsia="黑体" w:cs="黑体"/>
              <w:bCs/>
              <w:sz w:val="24"/>
              <w:szCs w:val="24"/>
              <w:lang w:val="zh-CN"/>
            </w:rPr>
            <w:instrText xml:space="preserve"> HYPERLINK \l _Toc15339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四、构建数字政府“一网统管”，营造区域治理新格局</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_Toc15339 </w:instrText>
          </w:r>
          <w:r>
            <w:rPr>
              <w:rFonts w:hint="eastAsia" w:ascii="黑体" w:hAnsi="黑体" w:eastAsia="黑体" w:cs="黑体"/>
              <w:sz w:val="24"/>
              <w:szCs w:val="24"/>
            </w:rPr>
            <w:fldChar w:fldCharType="separate"/>
          </w:r>
          <w:r>
            <w:rPr>
              <w:rFonts w:hint="eastAsia" w:ascii="黑体" w:hAnsi="黑体" w:eastAsia="黑体" w:cs="黑体"/>
              <w:sz w:val="24"/>
              <w:szCs w:val="24"/>
            </w:rPr>
            <w:t>29</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_Toc8155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（一）构建科学精细的生态治理</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_Toc8155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29</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_Toc7348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1.强化生态全域动态感知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_Toc7348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_Toc30236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2.提升生态监管和处理能力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_Toc30236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_Toc23611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3.提高生态文明服务能力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_Toc23611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_Toc27719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（二）推行包容审慎的市场治理</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_Toc27719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30</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_Toc26777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1.加强食品药品产品安全监管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_Toc26777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_Toc21300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2.建立健全信用监管模式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_Toc21300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_Toc1501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bCs w:val="0"/>
              <w:sz w:val="24"/>
              <w:szCs w:val="24"/>
            </w:rPr>
            <w:t>（三）打造精准智能的社会治理</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_Toc1501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31</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_Toc8935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1.完善立体化社会治安防控体系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_Toc8935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_Toc18278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2.推进智慧化应急管理体系建设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_Toc18278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_Toc8442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3.打造敏捷化智慧消防救援体系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_Toc8442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_Toc18449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4.提高科学化矛盾防范化解能力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_Toc18449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_Toc13738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（四）构建精准高效的社区治理</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_Toc13738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33</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_Toc12083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1.推广“党建+科技+治理”模式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_Toc12083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_Toc31430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2.推动社区治理平台化发展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_Toc31430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_Toc12789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3.提升社区智能化治理能力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_Toc12789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黑体" w:hAnsi="黑体" w:eastAsia="黑体" w:cs="黑体"/>
              <w:sz w:val="24"/>
              <w:szCs w:val="24"/>
            </w:rPr>
          </w:pPr>
          <w:r>
            <w:rPr>
              <w:rFonts w:hint="eastAsia" w:ascii="黑体" w:hAnsi="黑体" w:eastAsia="黑体" w:cs="黑体"/>
              <w:bCs/>
              <w:color w:val="000000" w:themeColor="text1"/>
              <w:sz w:val="24"/>
              <w:szCs w:val="24"/>
              <w:lang w:val="zh-CN"/>
              <w14:textFill>
                <w14:solidFill>
                  <w14:schemeClr w14:val="tx1"/>
                </w14:solidFill>
              </w14:textFill>
            </w:rPr>
            <w:fldChar w:fldCharType="begin"/>
          </w:r>
          <w:r>
            <w:rPr>
              <w:rFonts w:hint="eastAsia" w:ascii="黑体" w:hAnsi="黑体" w:eastAsia="黑体" w:cs="黑体"/>
              <w:bCs/>
              <w:sz w:val="24"/>
              <w:szCs w:val="24"/>
              <w:lang w:val="zh-CN"/>
            </w:rPr>
            <w:instrText xml:space="preserve"> HYPERLINK \l _Toc14181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五、构筑数字政府“一网协同”，塑造政府运行新模式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_Toc14181 </w:instrText>
          </w:r>
          <w:r>
            <w:rPr>
              <w:rFonts w:hint="eastAsia" w:ascii="黑体" w:hAnsi="黑体" w:eastAsia="黑体" w:cs="黑体"/>
              <w:sz w:val="24"/>
              <w:szCs w:val="24"/>
            </w:rPr>
            <w:fldChar w:fldCharType="separate"/>
          </w:r>
          <w:r>
            <w:rPr>
              <w:rFonts w:hint="eastAsia" w:ascii="黑体" w:hAnsi="黑体" w:eastAsia="黑体" w:cs="黑体"/>
              <w:sz w:val="24"/>
              <w:szCs w:val="24"/>
            </w:rPr>
            <w:t>35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_Toc31758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（一）推动数字经济创新发展</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_Toc31758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35</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_Toc27991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（二）助力数字城区智慧运转</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_Toc27991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36</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_Toc24867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（三）推进数字治理泛在智慧</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_Toc24867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37</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_Toc24184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（四）强化高效务实的行政效能</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_Toc24184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38</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_Toc3394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1.推动协同办文应用创新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_Toc3394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_Toc14775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2.推动远程办会协作高效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_Toc14775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_Toc16973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3.推动内部办事“零跑动”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_Toc16973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黑体" w:hAnsi="黑体" w:eastAsia="黑体" w:cs="黑体"/>
              <w:sz w:val="24"/>
              <w:szCs w:val="24"/>
            </w:rPr>
          </w:pPr>
          <w:r>
            <w:rPr>
              <w:rFonts w:hint="eastAsia" w:ascii="黑体" w:hAnsi="黑体" w:eastAsia="黑体" w:cs="黑体"/>
              <w:bCs/>
              <w:color w:val="000000" w:themeColor="text1"/>
              <w:sz w:val="24"/>
              <w:szCs w:val="24"/>
              <w:lang w:val="zh-CN"/>
              <w14:textFill>
                <w14:solidFill>
                  <w14:schemeClr w14:val="tx1"/>
                </w14:solidFill>
              </w14:textFill>
            </w:rPr>
            <w:fldChar w:fldCharType="begin"/>
          </w:r>
          <w:r>
            <w:rPr>
              <w:rFonts w:hint="eastAsia" w:ascii="黑体" w:hAnsi="黑体" w:eastAsia="黑体" w:cs="黑体"/>
              <w:bCs/>
              <w:sz w:val="24"/>
              <w:szCs w:val="24"/>
              <w:lang w:val="zh-CN"/>
            </w:rPr>
            <w:instrText xml:space="preserve"> HYPERLINK \l _Toc5465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六、挖掘数据要素价值，打造数字经济新引擎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_Toc5465 </w:instrText>
          </w:r>
          <w:r>
            <w:rPr>
              <w:rFonts w:hint="eastAsia" w:ascii="黑体" w:hAnsi="黑体" w:eastAsia="黑体" w:cs="黑体"/>
              <w:sz w:val="24"/>
              <w:szCs w:val="24"/>
            </w:rPr>
            <w:fldChar w:fldCharType="separate"/>
          </w:r>
          <w:r>
            <w:rPr>
              <w:rFonts w:hint="eastAsia" w:ascii="黑体" w:hAnsi="黑体" w:eastAsia="黑体" w:cs="黑体"/>
              <w:sz w:val="24"/>
              <w:szCs w:val="24"/>
            </w:rPr>
            <w:t>39</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_Toc20922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（一）建立清晰明确的数据资源体系</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_Toc20922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39</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_Toc18488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1.创新公共数据资源制度机制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_Toc18488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_Toc15694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2.开展公共数据资源普查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_Toc15694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_Toc523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bCs w:val="0"/>
              <w:sz w:val="24"/>
              <w:szCs w:val="24"/>
            </w:rPr>
            <w:t>（二）推动高效务实的数据开发利用</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_Toc523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40</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_Toc32450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1.全面推进公共数据资源开放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_Toc32450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_Toc17159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2.探索数据资源开发利用模式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_Toc17159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8"/>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begin"/>
          </w:r>
          <w:r>
            <w:rPr>
              <w:rFonts w:hint="eastAsia" w:ascii="仿宋_GB2312" w:hAnsi="仿宋_GB2312" w:eastAsia="仿宋_GB2312" w:cs="仿宋_GB2312"/>
              <w:bCs/>
              <w:sz w:val="24"/>
              <w:szCs w:val="24"/>
              <w:lang w:val="zh-CN"/>
            </w:rPr>
            <w:instrText xml:space="preserve"> HYPERLINK \l _Toc13676 </w:instrText>
          </w:r>
          <w:r>
            <w:rPr>
              <w:rFonts w:hint="eastAsia" w:ascii="仿宋_GB2312" w:hAnsi="仿宋_GB2312" w:eastAsia="仿宋_GB2312" w:cs="仿宋_GB2312"/>
              <w:bCs/>
              <w:sz w:val="24"/>
              <w:szCs w:val="24"/>
              <w:lang w:val="zh-CN"/>
            </w:rPr>
            <w:fldChar w:fldCharType="separate"/>
          </w:r>
          <w:r>
            <w:rPr>
              <w:rFonts w:hint="eastAsia" w:ascii="仿宋_GB2312" w:hAnsi="仿宋_GB2312" w:eastAsia="仿宋_GB2312" w:cs="仿宋_GB2312"/>
              <w:bCs/>
              <w:snapToGrid w:val="0"/>
              <w:sz w:val="24"/>
              <w:szCs w:val="24"/>
            </w:rPr>
            <w:t>3.加强数据资源融合开发利用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_Toc13676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黑体" w:hAnsi="黑体" w:eastAsia="黑体" w:cs="黑体"/>
              <w:bCs/>
              <w:color w:val="000000" w:themeColor="text1"/>
              <w:sz w:val="24"/>
              <w:szCs w:val="24"/>
              <w:lang w:val="zh-CN"/>
              <w14:textFill>
                <w14:solidFill>
                  <w14:schemeClr w14:val="tx1"/>
                </w14:solidFill>
              </w14:textFill>
            </w:rPr>
            <w:fldChar w:fldCharType="begin"/>
          </w:r>
          <w:r>
            <w:rPr>
              <w:rFonts w:hint="eastAsia" w:ascii="黑体" w:hAnsi="黑体" w:eastAsia="黑体" w:cs="黑体"/>
              <w:bCs/>
              <w:sz w:val="24"/>
              <w:szCs w:val="24"/>
              <w:lang w:val="zh-CN"/>
            </w:rPr>
            <w:instrText xml:space="preserve"> HYPERLINK \l _Toc5454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七、巩固全区一体化基础支撑体系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_Toc5454 </w:instrText>
          </w:r>
          <w:r>
            <w:rPr>
              <w:rFonts w:hint="eastAsia" w:ascii="黑体" w:hAnsi="黑体" w:eastAsia="黑体" w:cs="黑体"/>
              <w:sz w:val="24"/>
              <w:szCs w:val="24"/>
            </w:rPr>
            <w:fldChar w:fldCharType="separate"/>
          </w:r>
          <w:r>
            <w:rPr>
              <w:rFonts w:hint="eastAsia" w:ascii="黑体" w:hAnsi="黑体" w:eastAsia="黑体" w:cs="黑体"/>
              <w:sz w:val="24"/>
              <w:szCs w:val="24"/>
            </w:rPr>
            <w:t>41</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_Toc16132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lang w:bidi="ar"/>
            </w:rPr>
            <w:t>（一）加快新型基础设施建设</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_Toc16132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41</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_Toc24282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lang w:bidi="ar"/>
            </w:rPr>
            <w:t>（二）加大平台集成整合公用</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_Toc24282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44</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_Toc6675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lang w:bidi="ar"/>
            </w:rPr>
            <w:t>（三）深化数据治理体系建设</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_Toc6675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45</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_Toc5418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lang w:bidi="ar"/>
            </w:rPr>
            <w:t>（四）加强</w:t>
          </w:r>
          <w:r>
            <w:rPr>
              <w:rFonts w:hint="eastAsia" w:ascii="楷体_GB2312" w:hAnsi="楷体_GB2312" w:eastAsia="楷体_GB2312" w:cs="楷体_GB2312"/>
              <w:sz w:val="24"/>
              <w:szCs w:val="24"/>
            </w:rPr>
            <w:t>网络信息安全保障</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_Toc5418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48</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_Toc26321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lang w:bidi="ar"/>
            </w:rPr>
            <w:t>（五）完善统一标准规范建设</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_Toc26321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49</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sz w:val="24"/>
              <w:szCs w:val="24"/>
            </w:rPr>
          </w:pPr>
          <w:r>
            <w:rPr>
              <w:rFonts w:hint="eastAsia" w:ascii="黑体" w:hAnsi="黑体" w:eastAsia="黑体" w:cs="黑体"/>
              <w:bCs/>
              <w:color w:val="000000" w:themeColor="text1"/>
              <w:sz w:val="24"/>
              <w:szCs w:val="24"/>
              <w:lang w:val="zh-CN"/>
              <w14:textFill>
                <w14:solidFill>
                  <w14:schemeClr w14:val="tx1"/>
                </w14:solidFill>
              </w14:textFill>
            </w:rPr>
            <w:fldChar w:fldCharType="begin"/>
          </w:r>
          <w:r>
            <w:rPr>
              <w:rFonts w:hint="eastAsia" w:ascii="黑体" w:hAnsi="黑体" w:eastAsia="黑体" w:cs="黑体"/>
              <w:bCs/>
              <w:sz w:val="24"/>
              <w:szCs w:val="24"/>
              <w:lang w:val="zh-CN"/>
            </w:rPr>
            <w:instrText xml:space="preserve"> HYPERLINK \l _Toc3457 </w:instrText>
          </w:r>
          <w:r>
            <w:rPr>
              <w:rFonts w:hint="eastAsia" w:ascii="黑体" w:hAnsi="黑体" w:eastAsia="黑体" w:cs="黑体"/>
              <w:bCs/>
              <w:sz w:val="24"/>
              <w:szCs w:val="24"/>
              <w:lang w:val="zh-CN"/>
            </w:rPr>
            <w:fldChar w:fldCharType="separate"/>
          </w:r>
          <w:r>
            <w:rPr>
              <w:rFonts w:hint="eastAsia" w:ascii="黑体" w:hAnsi="黑体" w:eastAsia="黑体" w:cs="黑体"/>
              <w:sz w:val="24"/>
              <w:szCs w:val="24"/>
            </w:rPr>
            <w:t>八、保障机制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_Toc3457 </w:instrText>
          </w:r>
          <w:r>
            <w:rPr>
              <w:rFonts w:hint="eastAsia" w:ascii="黑体" w:hAnsi="黑体" w:eastAsia="黑体" w:cs="黑体"/>
              <w:sz w:val="24"/>
              <w:szCs w:val="24"/>
            </w:rPr>
            <w:fldChar w:fldCharType="separate"/>
          </w:r>
          <w:r>
            <w:rPr>
              <w:rFonts w:hint="eastAsia" w:ascii="黑体" w:hAnsi="黑体" w:eastAsia="黑体" w:cs="黑体"/>
              <w:sz w:val="24"/>
              <w:szCs w:val="24"/>
            </w:rPr>
            <w:t>51</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_Toc22834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（一）加强组织领导</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_Toc22834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51</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_Toc16076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（二）加大资金投入</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_Toc16076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51</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_Toc23593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（三）强化人才支撑</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_Toc23593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52</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_Toc24833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（四）强化监督考核</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_Toc24833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52</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textAlignment w:val="auto"/>
            <w:rPr>
              <w:rFonts w:hint="eastAsia" w:ascii="楷体_GB2312" w:hAnsi="楷体_GB2312" w:eastAsia="楷体_GB2312" w:cs="楷体_GB2312"/>
              <w:sz w:val="24"/>
              <w:szCs w:val="24"/>
            </w:rPr>
          </w:pP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begin"/>
          </w:r>
          <w:r>
            <w:rPr>
              <w:rFonts w:hint="eastAsia" w:ascii="楷体_GB2312" w:hAnsi="楷体_GB2312" w:eastAsia="楷体_GB2312" w:cs="楷体_GB2312"/>
              <w:bCs/>
              <w:sz w:val="24"/>
              <w:szCs w:val="24"/>
              <w:lang w:val="zh-CN"/>
            </w:rPr>
            <w:instrText xml:space="preserve"> HYPERLINK \l _Toc9567 </w:instrText>
          </w:r>
          <w:r>
            <w:rPr>
              <w:rFonts w:hint="eastAsia" w:ascii="楷体_GB2312" w:hAnsi="楷体_GB2312" w:eastAsia="楷体_GB2312" w:cs="楷体_GB2312"/>
              <w:bCs/>
              <w:sz w:val="24"/>
              <w:szCs w:val="24"/>
              <w:lang w:val="zh-CN"/>
            </w:rPr>
            <w:fldChar w:fldCharType="separate"/>
          </w:r>
          <w:r>
            <w:rPr>
              <w:rFonts w:hint="eastAsia" w:ascii="楷体_GB2312" w:hAnsi="楷体_GB2312" w:eastAsia="楷体_GB2312" w:cs="楷体_GB2312"/>
              <w:sz w:val="24"/>
              <w:szCs w:val="24"/>
            </w:rPr>
            <w:t>（五）加大宣传力度</w:t>
          </w:r>
          <w:r>
            <w:rPr>
              <w:rFonts w:hint="eastAsia" w:ascii="楷体_GB2312" w:hAnsi="楷体_GB2312" w:eastAsia="楷体_GB2312" w:cs="楷体_GB2312"/>
              <w:sz w:val="24"/>
              <w:szCs w:val="24"/>
            </w:rPr>
            <w:tab/>
          </w:r>
          <w:r>
            <w:rPr>
              <w:rFonts w:hint="eastAsia" w:ascii="楷体_GB2312" w:hAnsi="楷体_GB2312" w:eastAsia="楷体_GB2312" w:cs="楷体_GB2312"/>
              <w:sz w:val="24"/>
              <w:szCs w:val="24"/>
            </w:rPr>
            <w:fldChar w:fldCharType="begin"/>
          </w:r>
          <w:r>
            <w:rPr>
              <w:rFonts w:hint="eastAsia" w:ascii="楷体_GB2312" w:hAnsi="楷体_GB2312" w:eastAsia="楷体_GB2312" w:cs="楷体_GB2312"/>
              <w:sz w:val="24"/>
              <w:szCs w:val="24"/>
            </w:rPr>
            <w:instrText xml:space="preserve"> PAGEREF _Toc9567 </w:instrText>
          </w:r>
          <w:r>
            <w:rPr>
              <w:rFonts w:hint="eastAsia" w:ascii="楷体_GB2312" w:hAnsi="楷体_GB2312" w:eastAsia="楷体_GB2312" w:cs="楷体_GB2312"/>
              <w:sz w:val="24"/>
              <w:szCs w:val="24"/>
            </w:rPr>
            <w:fldChar w:fldCharType="separate"/>
          </w:r>
          <w:r>
            <w:rPr>
              <w:rFonts w:hint="eastAsia" w:ascii="楷体_GB2312" w:hAnsi="楷体_GB2312" w:eastAsia="楷体_GB2312" w:cs="楷体_GB2312"/>
              <w:sz w:val="24"/>
              <w:szCs w:val="24"/>
            </w:rPr>
            <w:t>53</w:t>
          </w:r>
          <w:r>
            <w:rPr>
              <w:rFonts w:hint="eastAsia" w:ascii="楷体_GB2312" w:hAnsi="楷体_GB2312" w:eastAsia="楷体_GB2312" w:cs="楷体_GB2312"/>
              <w:sz w:val="24"/>
              <w:szCs w:val="24"/>
            </w:rPr>
            <w:fldChar w:fldCharType="end"/>
          </w:r>
          <w:r>
            <w:rPr>
              <w:rFonts w:hint="eastAsia" w:ascii="楷体_GB2312" w:hAnsi="楷体_GB2312" w:eastAsia="楷体_GB2312" w:cs="楷体_GB2312"/>
              <w:bCs/>
              <w:color w:val="000000" w:themeColor="text1"/>
              <w:sz w:val="24"/>
              <w:szCs w:val="24"/>
              <w:lang w:val="zh-CN"/>
              <w14:textFill>
                <w14:solidFill>
                  <w14:schemeClr w14:val="tx1"/>
                </w14:solidFill>
              </w14:textFill>
            </w:rPr>
            <w:fldChar w:fldCharType="end"/>
          </w:r>
        </w:p>
        <w:p>
          <w:pPr>
            <w:pStyle w:val="12"/>
            <w:tabs>
              <w:tab w:val="right" w:leader="dot" w:pos="8834"/>
            </w:tabs>
            <w:rPr>
              <w:rFonts w:ascii="仿宋_GB2312" w:eastAsia="仿宋_GB2312"/>
              <w:color w:val="auto"/>
            </w:rPr>
            <w:sectPr>
              <w:pgSz w:w="11906" w:h="16838"/>
              <w:pgMar w:top="2098" w:right="1474" w:bottom="1985" w:left="1588" w:header="851" w:footer="992" w:gutter="0"/>
              <w:pgNumType w:fmt="decimal"/>
              <w:cols w:space="425" w:num="1"/>
              <w:docGrid w:type="lines" w:linePitch="312" w:charSpace="0"/>
            </w:sectPr>
          </w:pPr>
          <w:r>
            <w:rPr>
              <w:rFonts w:hint="eastAsia" w:ascii="仿宋_GB2312" w:eastAsia="仿宋_GB2312"/>
              <w:bCs/>
              <w:color w:val="000000" w:themeColor="text1"/>
              <w:szCs w:val="24"/>
              <w:lang w:val="zh-CN"/>
              <w14:textFill>
                <w14:solidFill>
                  <w14:schemeClr w14:val="tx1"/>
                </w14:solidFill>
              </w14:textFill>
            </w:rPr>
            <w:fldChar w:fldCharType="end"/>
          </w:r>
        </w:p>
      </w:sdtContent>
    </w:sdt>
    <w:p>
      <w:pPr>
        <w:keepNext/>
        <w:keepLines/>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Cs/>
          <w:color w:val="000000" w:themeColor="text1"/>
          <w:kern w:val="0"/>
          <w:sz w:val="36"/>
          <w:szCs w:val="36"/>
          <w14:textFill>
            <w14:solidFill>
              <w14:schemeClr w14:val="tx1"/>
            </w14:solidFill>
          </w14:textFill>
        </w:rPr>
      </w:pPr>
      <w:bookmarkStart w:id="1" w:name="_Toc12188"/>
      <w:bookmarkStart w:id="2" w:name="_Toc23609"/>
      <w:bookmarkStart w:id="3" w:name="_Toc74067333"/>
      <w:bookmarkStart w:id="4" w:name="_Toc972"/>
      <w:bookmarkStart w:id="5" w:name="_Toc7646"/>
      <w:bookmarkStart w:id="6" w:name="_Toc13662"/>
      <w:bookmarkStart w:id="7" w:name="_Toc51143215"/>
      <w:bookmarkStart w:id="8" w:name="_Toc54594580"/>
      <w:r>
        <w:rPr>
          <w:rFonts w:hint="eastAsia" w:ascii="黑体" w:hAnsi="黑体" w:eastAsia="黑体" w:cs="黑体"/>
          <w:bCs/>
          <w:color w:val="000000" w:themeColor="text1"/>
          <w:kern w:val="0"/>
          <w:sz w:val="36"/>
          <w:szCs w:val="36"/>
          <w14:textFill>
            <w14:solidFill>
              <w14:schemeClr w14:val="tx1"/>
            </w14:solidFill>
          </w14:textFill>
        </w:rPr>
        <w:t>前</w:t>
      </w:r>
      <w:r>
        <w:rPr>
          <w:rFonts w:hint="eastAsia" w:ascii="黑体" w:hAnsi="黑体" w:eastAsia="黑体" w:cs="黑体"/>
          <w:bCs/>
          <w:color w:val="000000" w:themeColor="text1"/>
          <w:kern w:val="0"/>
          <w:sz w:val="36"/>
          <w:szCs w:val="36"/>
          <w:lang w:val="en-US" w:eastAsia="zh-CN"/>
          <w14:textFill>
            <w14:solidFill>
              <w14:schemeClr w14:val="tx1"/>
            </w14:solidFill>
          </w14:textFill>
        </w:rPr>
        <w:t xml:space="preserve">  </w:t>
      </w:r>
      <w:r>
        <w:rPr>
          <w:rFonts w:hint="eastAsia" w:ascii="黑体" w:hAnsi="黑体" w:eastAsia="黑体" w:cs="黑体"/>
          <w:bCs/>
          <w:color w:val="000000" w:themeColor="text1"/>
          <w:kern w:val="0"/>
          <w:sz w:val="36"/>
          <w:szCs w:val="36"/>
          <w14:textFill>
            <w14:solidFill>
              <w14:schemeClr w14:val="tx1"/>
            </w14:solidFill>
          </w14:textFill>
        </w:rPr>
        <w:t>言</w:t>
      </w:r>
      <w:bookmarkEnd w:id="1"/>
      <w:bookmarkEnd w:id="2"/>
      <w:bookmarkEnd w:id="3"/>
      <w:bookmarkEnd w:id="4"/>
      <w:bookmarkEnd w:id="5"/>
      <w:bookmarkEnd w:id="6"/>
      <w:bookmarkEnd w:id="7"/>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深刻把握电子政务发展趋势，推动政府数字化转型，构建数字政府，引领经济社会高质量发展，是落实“网络强国”战略，加快建设“数字中国”的必然要求，是全面深化改革，以信息化推进国家治理体系和治理能力现代化的关键抉择。党的十九届四中全会明确指出，要建立健全运用互联网、大数据、人工智能等技术手段进行行政管理的制度规则，推进数字政府建设，加强数据有序共享，依法保护个人信息。建设数字政府已成为“为人民服务、对人民负责、受人民监督，创新行政方式，提高行政效能，建设人民满意的服务型政府”的重要途径。</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数字政府是“数字中国”体系的有机组成部分，是推动“数字中国”建设和经济社会高质量发展，持续优化营商环境的重要抓手和重要引擎，也是对电子政务发展模式的改革创新。2</w:t>
      </w:r>
      <w:r>
        <w:rPr>
          <w:rFonts w:ascii="仿宋_GB2312" w:hAnsi="仿宋_GB2312" w:eastAsia="仿宋_GB2312" w:cs="仿宋_GB2312"/>
          <w:color w:val="000000" w:themeColor="text1"/>
          <w:sz w:val="32"/>
          <w:szCs w:val="32"/>
          <w14:textFill>
            <w14:solidFill>
              <w14:schemeClr w14:val="tx1"/>
            </w14:solidFill>
          </w14:textFill>
        </w:rPr>
        <w:t>017</w:t>
      </w:r>
      <w:r>
        <w:rPr>
          <w:rFonts w:hint="eastAsia" w:ascii="仿宋_GB2312" w:hAnsi="仿宋_GB2312" w:eastAsia="仿宋_GB2312" w:cs="仿宋_GB2312"/>
          <w:color w:val="000000" w:themeColor="text1"/>
          <w:sz w:val="32"/>
          <w:szCs w:val="32"/>
          <w14:textFill>
            <w14:solidFill>
              <w14:schemeClr w14:val="tx1"/>
            </w14:solidFill>
          </w14:textFill>
        </w:rPr>
        <w:t>年以来，龙华区着力推进“智慧龙华”和“数字政府”相关工作，在提高政务服务能力和行政协同水平等方面，取得了丰硕成果。数字化转型已经深度融入了城市发展的各领域、各环节、各方面，数字政府改革建设为广大人民群众带来了实实在在的获得感，有力带动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14:textFill>
            <w14:solidFill>
              <w14:schemeClr w14:val="tx1"/>
            </w14:solidFill>
          </w14:textFill>
        </w:rPr>
        <w:t>区经济社会发展，对粤港澳大湾区建设和深圳建设中国特色</w:t>
      </w:r>
      <w:bookmarkStart w:id="465" w:name="_GoBack"/>
      <w:r>
        <w:rPr>
          <w:rFonts w:hint="eastAsia" w:ascii="仿宋_GB2312" w:hAnsi="仿宋_GB2312" w:eastAsia="仿宋_GB2312" w:cs="仿宋_GB2312"/>
          <w:color w:val="000000" w:themeColor="text1"/>
          <w:sz w:val="32"/>
          <w:szCs w:val="32"/>
          <w14:textFill>
            <w14:solidFill>
              <w14:schemeClr w14:val="tx1"/>
            </w14:solidFill>
          </w14:textFill>
        </w:rPr>
        <w:t>社会主义先行示范区</w:t>
      </w:r>
      <w:bookmarkEnd w:id="465"/>
      <w:r>
        <w:rPr>
          <w:rFonts w:hint="eastAsia" w:ascii="仿宋_GB2312" w:hAnsi="仿宋_GB2312" w:eastAsia="仿宋_GB2312" w:cs="仿宋_GB2312"/>
          <w:color w:val="000000" w:themeColor="text1"/>
          <w:sz w:val="32"/>
          <w:szCs w:val="32"/>
          <w14:textFill>
            <w14:solidFill>
              <w14:schemeClr w14:val="tx1"/>
            </w14:solidFill>
          </w14:textFill>
        </w:rPr>
        <w:t>贡献了重要力量，数字化在推进城市治理体系和治理能力现代化方面发挥了重要作用，为新时期的发展奠定了坚实基础。</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五”时期，世界处于百年未有之大变局，我国进入现代化强国建设的新征程，深圳进入粤港澳大湾区、深圳先行示范区“双区”驱动和深圳经济特区、深圳先行示范区“双区”叠加的黄金发展期。龙华将永葆“闯”的精神、“创”的劲头、“干”的作风，全面建设“三位一体”数字龙华，加速建成中轴新城，为高标准打造深圳都市核心区而努力奋斗，在率先实现社会主义现代化</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14:textFill>
            <w14:solidFill>
              <w14:schemeClr w14:val="tx1"/>
            </w14:solidFill>
          </w14:textFill>
        </w:rPr>
        <w:t>新征程中走在最前列。</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《“智慧龙华”和“数字政府”第十四个五年规划》依据国家、省、市、区各项方针、政策、规划进行编制，是未来五年指导全区新型智慧城市和“数字政府”改革建设的行动纲领。</w:t>
      </w:r>
    </w:p>
    <w:p>
      <w:pPr>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br w:type="page"/>
      </w:r>
    </w:p>
    <w:p>
      <w:pPr>
        <w:pStyle w:val="4"/>
        <w:spacing w:before="0" w:after="0" w:line="560" w:lineRule="exact"/>
        <w:ind w:firstLine="640" w:firstLineChars="200"/>
        <w:rPr>
          <w:rFonts w:ascii="黑体" w:hAnsi="黑体" w:eastAsia="黑体"/>
          <w:b w:val="0"/>
          <w:color w:val="000000" w:themeColor="text1"/>
          <w14:textFill>
            <w14:solidFill>
              <w14:schemeClr w14:val="tx1"/>
            </w14:solidFill>
          </w14:textFill>
        </w:rPr>
      </w:pPr>
      <w:bookmarkStart w:id="9" w:name="_Toc28891"/>
      <w:bookmarkStart w:id="10" w:name="_Toc74067334"/>
      <w:bookmarkStart w:id="11" w:name="_Toc18394"/>
      <w:bookmarkStart w:id="12" w:name="_Toc6276"/>
      <w:bookmarkStart w:id="13" w:name="_Toc8484"/>
      <w:bookmarkStart w:id="14" w:name="_Toc17091"/>
      <w:r>
        <w:rPr>
          <w:rFonts w:hint="eastAsia" w:ascii="黑体" w:hAnsi="黑体" w:eastAsia="黑体"/>
          <w:b w:val="0"/>
          <w:color w:val="000000" w:themeColor="text1"/>
          <w14:textFill>
            <w14:solidFill>
              <w14:schemeClr w14:val="tx1"/>
            </w14:solidFill>
          </w14:textFill>
        </w:rPr>
        <w:t>一、发展</w:t>
      </w:r>
      <w:bookmarkEnd w:id="8"/>
      <w:r>
        <w:rPr>
          <w:rFonts w:hint="eastAsia" w:ascii="黑体" w:hAnsi="黑体" w:eastAsia="黑体"/>
          <w:b w:val="0"/>
          <w:color w:val="000000" w:themeColor="text1"/>
          <w14:textFill>
            <w14:solidFill>
              <w14:schemeClr w14:val="tx1"/>
            </w14:solidFill>
          </w14:textFill>
        </w:rPr>
        <w:t>现状</w:t>
      </w:r>
      <w:bookmarkEnd w:id="9"/>
      <w:bookmarkEnd w:id="10"/>
      <w:bookmarkEnd w:id="11"/>
      <w:bookmarkEnd w:id="12"/>
      <w:bookmarkEnd w:id="13"/>
      <w:bookmarkEnd w:id="14"/>
    </w:p>
    <w:p>
      <w:pPr>
        <w:pStyle w:val="4"/>
        <w:spacing w:before="0" w:after="0" w:line="560" w:lineRule="exact"/>
        <w:ind w:firstLine="640" w:firstLineChars="200"/>
        <w:rPr>
          <w:rFonts w:ascii="楷体_GB2312" w:hAnsi="楷体" w:eastAsia="楷体_GB2312"/>
          <w:b w:val="0"/>
          <w:color w:val="000000" w:themeColor="text1"/>
          <w14:textFill>
            <w14:solidFill>
              <w14:schemeClr w14:val="tx1"/>
            </w14:solidFill>
          </w14:textFill>
        </w:rPr>
      </w:pPr>
      <w:bookmarkStart w:id="15" w:name="_Toc54594581"/>
      <w:bookmarkStart w:id="16" w:name="_Toc74067335"/>
      <w:bookmarkStart w:id="17" w:name="_Toc24398"/>
      <w:bookmarkStart w:id="18" w:name="_Toc3320"/>
      <w:bookmarkStart w:id="19" w:name="_Toc20405"/>
      <w:bookmarkStart w:id="20" w:name="_Toc2968"/>
      <w:bookmarkStart w:id="21" w:name="_Toc30978"/>
      <w:r>
        <w:rPr>
          <w:rFonts w:hint="eastAsia" w:ascii="楷体_GB2312" w:hAnsi="楷体" w:eastAsia="楷体_GB2312"/>
          <w:b w:val="0"/>
          <w:color w:val="000000" w:themeColor="text1"/>
          <w14:textFill>
            <w14:solidFill>
              <w14:schemeClr w14:val="tx1"/>
            </w14:solidFill>
          </w14:textFill>
        </w:rPr>
        <w:t>（一）</w:t>
      </w:r>
      <w:bookmarkEnd w:id="15"/>
      <w:r>
        <w:rPr>
          <w:rFonts w:hint="eastAsia" w:ascii="楷体_GB2312" w:hAnsi="楷体" w:eastAsia="楷体_GB2312"/>
          <w:b w:val="0"/>
          <w:color w:val="000000" w:themeColor="text1"/>
          <w14:textFill>
            <w14:solidFill>
              <w14:schemeClr w14:val="tx1"/>
            </w14:solidFill>
          </w14:textFill>
        </w:rPr>
        <w:t>建设成果</w:t>
      </w:r>
      <w:bookmarkEnd w:id="16"/>
      <w:bookmarkEnd w:id="17"/>
      <w:bookmarkEnd w:id="18"/>
      <w:bookmarkEnd w:id="19"/>
      <w:bookmarkEnd w:id="20"/>
      <w:bookmarkEnd w:id="21"/>
    </w:p>
    <w:p>
      <w:pPr>
        <w:pStyle w:val="14"/>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以来，龙华逐步启动了“智慧龙华”建设，城市数字化、网络化、智能化水平显著提升。信息化应用全面渗透政府服务、城市管理、民生保障等领域，电子政务效率持续改善，数字城市管理能级明显提升，数字惠民效果逐步显现；信息化与工业化深度融合推动产业加快向高端发展，信息技术自主创新和产业化能力进一步增强，电子商务蓬勃发展；信息安全技术支撑和保障机制不断完善，可信、可靠的区域信息安全保障体系基本形成；通信质量、网络带宽、综合服务能力显著提高，基本构建起宽带、泛在、融合、安全的信息基础设施体系。</w:t>
      </w:r>
    </w:p>
    <w:p>
      <w:pPr>
        <w:spacing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基础设施建设领先</w:t>
      </w:r>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网络设施建设成效显著。</w:t>
      </w:r>
      <w:r>
        <w:rPr>
          <w:rFonts w:hint="eastAsia" w:ascii="仿宋_GB2312" w:hAnsi="仿宋_GB2312" w:eastAsia="仿宋_GB2312" w:cs="仿宋_GB2312"/>
          <w:color w:val="000000" w:themeColor="text1"/>
          <w:kern w:val="0"/>
          <w:sz w:val="32"/>
          <w:szCs w:val="32"/>
          <w14:textFill>
            <w14:solidFill>
              <w14:schemeClr w14:val="tx1"/>
            </w14:solidFill>
          </w14:textFill>
        </w:rPr>
        <w:t>龙华</w:t>
      </w:r>
      <w:r>
        <w:rPr>
          <w:rFonts w:hint="eastAsia" w:ascii="仿宋_GB2312" w:hAnsi="仿宋_GB2312" w:eastAsia="仿宋_GB2312" w:cs="仿宋_GB2312"/>
          <w:color w:val="000000" w:themeColor="text1"/>
          <w:sz w:val="32"/>
          <w:szCs w:val="32"/>
          <w:lang w:bidi="ar"/>
          <w14:textFill>
            <w14:solidFill>
              <w14:schemeClr w14:val="tx1"/>
            </w14:solidFill>
          </w14:textFill>
        </w:rPr>
        <w:t>采用“2+6”OTN环网设计，建设长达70km、延伸至全区53个机关单位、贯穿龙华的环形信息高速公路</w:t>
      </w:r>
      <w:r>
        <w:rPr>
          <w:rFonts w:hint="eastAsia" w:ascii="仿宋_GB2312" w:hAnsi="仿宋_GB2312" w:eastAsia="仿宋_GB2312" w:cs="仿宋_GB2312"/>
          <w:color w:val="000000" w:themeColor="text1"/>
          <w:kern w:val="0"/>
          <w:sz w:val="32"/>
          <w:szCs w:val="32"/>
          <w14:textFill>
            <w14:solidFill>
              <w14:schemeClr w14:val="tx1"/>
            </w14:solidFill>
          </w14:textFill>
        </w:rPr>
        <w:t>，为实现“多网合一”打下基础，5G网络实现全覆盖，无线政务外网覆盖全区各政府单位办公场所，对社区健康服务中心、公园、重点商圈等区域进行公益性WLAN免费接入覆盖，统一电子网络基本建成，政务网络光缆总长达850皮长公里，政务公共网接入约60家单位。</w:t>
      </w:r>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物联感知建设初具规模。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搭建物联感知平台，兼容三大运营商网络和七大类标准协议，接入消防、环水、视频监控等十大类超24万个终端，初步建成龙华区物联感知一张图。 </w:t>
      </w:r>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数据中心机房布局</w:t>
      </w:r>
      <w:r>
        <w:rPr>
          <w:rFonts w:hint="eastAsia" w:ascii="仿宋_GB2312" w:hAnsi="仿宋_GB2312" w:eastAsia="仿宋_GB2312" w:cs="仿宋_GB2312"/>
          <w:b/>
          <w:bCs/>
          <w:color w:val="auto"/>
          <w:kern w:val="0"/>
          <w:sz w:val="32"/>
          <w:szCs w:val="32"/>
          <w:lang w:val="en-US" w:eastAsia="zh-CN"/>
        </w:rPr>
        <w:t>科学</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建成国家A级2009平方米的模块化大数据中心机房，与区委中心机房互为备份，将6个街道作为节点机房，全面实时监测、管理机房运行状态，数据中心初步建成，面向政府的云服务、资源备份、高性能计算等能力大幅提升。</w:t>
      </w:r>
    </w:p>
    <w:p>
      <w:pPr>
        <w:autoSpaceDE w:val="0"/>
        <w:autoSpaceDN w:val="0"/>
        <w:spacing w:line="560" w:lineRule="exact"/>
        <w:ind w:firstLine="643" w:firstLineChars="200"/>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14:textFill>
            <w14:solidFill>
              <w14:schemeClr w14:val="tx1"/>
            </w14:solidFill>
          </w14:textFill>
        </w:rPr>
        <w:t>政务数据汇聚共享</w:t>
      </w:r>
    </w:p>
    <w:p>
      <w:pPr>
        <w:autoSpaceDE w:val="0"/>
        <w:autoSpaceDN w:val="0"/>
        <w:spacing w:line="560" w:lineRule="exact"/>
        <w:ind w:firstLine="643" w:firstLineChars="200"/>
        <w:rPr>
          <w:rFonts w:hint="default" w:ascii="仿宋_GB2312" w:hAnsi="仿宋" w:eastAsia="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政务数据广泛汇聚。</w:t>
      </w:r>
      <w:r>
        <w:rPr>
          <w:rFonts w:hint="eastAsia" w:ascii="仿宋_GB2312" w:hAnsi="仿宋_GB2312" w:eastAsia="仿宋_GB2312" w:cs="仿宋_GB2312"/>
          <w:color w:val="000000" w:themeColor="text1"/>
          <w:kern w:val="0"/>
          <w:sz w:val="32"/>
          <w:szCs w:val="32"/>
          <w14:textFill>
            <w14:solidFill>
              <w14:schemeClr w14:val="tx1"/>
            </w14:solidFill>
          </w14:textFill>
        </w:rPr>
        <w:t>建立区统一大数据平台，目前已汇聚市区各业务系统数据总量约34亿条，并构建全区统一的人口、法人、房屋、电子证照、地理信息5大基础库，以及医疗、交通、安监、消防等12大主题数据库，龙华大数据湖初具规模；统筹建设龙华区OCR组件、统计报表、流程引擎等通用工具或组件，实现全区通用服务共享，形成“条块结合、纵横贯通、全区一体”的业务格局。</w:t>
      </w:r>
    </w:p>
    <w:p>
      <w:pPr>
        <w:spacing w:line="240" w:lineRule="auto"/>
        <w:ind w:firstLine="0" w:firstLineChars="0"/>
        <w:jc w:val="center"/>
        <w:rPr>
          <w:rFonts w:hint="eastAsia"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drawing>
          <wp:inline distT="0" distB="0" distL="114300" distR="114300">
            <wp:extent cx="4961255" cy="3847465"/>
            <wp:effectExtent l="0" t="0" r="10795" b="635"/>
            <wp:docPr id="7" name="图片 7" descr="新建 PPTX 演示文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新建 PPTX 演示文稿_01"/>
                    <pic:cNvPicPr>
                      <a:picLocks noChangeAspect="1"/>
                    </pic:cNvPicPr>
                  </pic:nvPicPr>
                  <pic:blipFill>
                    <a:blip r:embed="rId6"/>
                    <a:srcRect l="10819" t="3449" r="16137" b="4599"/>
                    <a:stretch>
                      <a:fillRect/>
                    </a:stretch>
                  </pic:blipFill>
                  <pic:spPr>
                    <a:xfrm>
                      <a:off x="0" y="0"/>
                      <a:ext cx="4961255" cy="3847465"/>
                    </a:xfrm>
                    <a:prstGeom prst="rect">
                      <a:avLst/>
                    </a:prstGeom>
                  </pic:spPr>
                </pic:pic>
              </a:graphicData>
            </a:graphic>
          </wp:inline>
        </w:drawing>
      </w:r>
    </w:p>
    <w:p>
      <w:pPr>
        <w:spacing w:line="240" w:lineRule="auto"/>
        <w:ind w:firstLine="0" w:firstLineChars="0"/>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图1：“智慧龙华”阶段性“十六统一”成效</w:t>
      </w:r>
    </w:p>
    <w:p>
      <w:pPr>
        <w:spacing w:line="560" w:lineRule="exact"/>
        <w:ind w:firstLine="643" w:firstLineChars="200"/>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b/>
          <w:bCs/>
          <w:color w:val="000000" w:themeColor="text1"/>
          <w:sz w:val="32"/>
          <w:szCs w:val="32"/>
          <w14:textFill>
            <w14:solidFill>
              <w14:schemeClr w14:val="tx1"/>
            </w14:solidFill>
          </w14:textFill>
        </w:rPr>
        <w:t>公共服务高效便捷</w:t>
      </w:r>
    </w:p>
    <w:p>
      <w:pPr>
        <w:autoSpaceDE w:val="0"/>
        <w:autoSpaceDN w:val="0"/>
        <w:spacing w:line="560" w:lineRule="exact"/>
        <w:ind w:firstLine="643" w:firstLineChars="200"/>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b/>
          <w:bCs/>
          <w:color w:val="000000" w:themeColor="text1"/>
          <w:kern w:val="0"/>
          <w:sz w:val="32"/>
          <w:szCs w:val="32"/>
          <w14:textFill>
            <w14:solidFill>
              <w14:schemeClr w14:val="tx1"/>
            </w14:solidFill>
          </w14:textFill>
        </w:rPr>
        <w:t>政务服务纵深推进。</w:t>
      </w:r>
      <w:r>
        <w:rPr>
          <w:rFonts w:hint="eastAsia" w:ascii="仿宋_GB2312" w:hAnsi="仿宋" w:eastAsia="仿宋_GB2312" w:cs="Times New Roman"/>
          <w:color w:val="000000" w:themeColor="text1"/>
          <w:sz w:val="32"/>
          <w:szCs w:val="32"/>
          <w14:textFill>
            <w14:solidFill>
              <w14:schemeClr w14:val="tx1"/>
            </w14:solidFill>
          </w14:textFill>
        </w:rPr>
        <w:t>一是</w:t>
      </w:r>
      <w:r>
        <w:rPr>
          <w:rFonts w:hint="eastAsia" w:ascii="仿宋_GB2312" w:hAnsi="仿宋" w:eastAsia="仿宋_GB2312" w:cs="仿宋_GB2312"/>
          <w:color w:val="000000" w:themeColor="text1"/>
          <w:kern w:val="0"/>
          <w:sz w:val="32"/>
          <w:szCs w:val="32"/>
          <w14:textFill>
            <w14:solidFill>
              <w14:schemeClr w14:val="tx1"/>
            </w14:solidFill>
          </w14:textFill>
        </w:rPr>
        <w:t>深化</w:t>
      </w:r>
      <w:r>
        <w:rPr>
          <w:rFonts w:hint="eastAsia" w:ascii="仿宋_GB2312" w:hAnsi="仿宋" w:eastAsia="仿宋_GB2312" w:cs="Times New Roman"/>
          <w:color w:val="000000" w:themeColor="text1"/>
          <w:sz w:val="32"/>
          <w:szCs w:val="32"/>
          <w14:textFill>
            <w14:solidFill>
              <w14:schemeClr w14:val="tx1"/>
            </w14:solidFill>
          </w14:textFill>
        </w:rPr>
        <w:t>“放管服”改革工作，着力推动190项“主题办”；主动探索告知承诺制，推出167项可“容缺受理”事项，推动行政审批再提速。二是创新“互联网+政务服务”发展模式，以“互联网+政务服务”改革为抓手，推出涉及21个业务部门共计447项679个情形“不见面”审批政务服务事项；着力推动区级个人和法人事项下放街道、社区实现同层级、跨层级受理，已推出301项区内通办事项，246项全城通办事项；梳理出79项可实现“秒批”事项清单，搭建龙华“秒批”平台，目前，已推出超74项“秒批”事项上线运行。</w:t>
      </w:r>
    </w:p>
    <w:p>
      <w:pPr>
        <w:autoSpaceDE w:val="0"/>
        <w:autoSpaceDN w:val="0"/>
        <w:spacing w:line="560" w:lineRule="exact"/>
        <w:ind w:firstLine="643" w:firstLineChars="200"/>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b/>
          <w:bCs/>
          <w:color w:val="000000" w:themeColor="text1"/>
          <w:kern w:val="0"/>
          <w:sz w:val="32"/>
          <w:szCs w:val="32"/>
          <w14:textFill>
            <w14:solidFill>
              <w14:schemeClr w14:val="tx1"/>
            </w14:solidFill>
          </w14:textFill>
        </w:rPr>
        <w:t>营商环境“优”无止境。</w:t>
      </w:r>
      <w:r>
        <w:rPr>
          <w:rFonts w:hint="eastAsia" w:ascii="仿宋_GB2312" w:hAnsi="仿宋" w:eastAsia="仿宋_GB2312" w:cs="Times New Roman"/>
          <w:color w:val="000000" w:themeColor="text1"/>
          <w:sz w:val="32"/>
          <w:szCs w:val="32"/>
          <w14:textFill>
            <w14:solidFill>
              <w14:schemeClr w14:val="tx1"/>
            </w14:solidFill>
          </w14:textFill>
        </w:rPr>
        <w:t>加大优化政务服务力度，全面推行“政务+”（民生、税务、医保、社保）一站式集成办服务，探索政务窗口“前移办”服务模式；持续压缩政务服务事项时限，全区所有政务服务事项在法定承诺时限的基础上压缩62%，其中行政许可事项办理时限压缩92.4%，即来即办率达85.4%，即办率一次性提高20%以上，审批服务效能持续高效提升；建设龙华自助服务终端体系、“i深圳”龙华预约专区、排队信息“码上查询”功能，增加龙华政务服务智慧元素，提升企业和群众获得感；搭建政务服务平台，靶向服务龙华企业，提供办理涵盖区、街道、社区三级共359项业务，实现企业在家门口办理业务，推出政务“四通”举措（“创客通”“银政通”“E线通”“政策通”）、企业服务“四专办”模式等个性化惠企服务，缩减企业办事时限50%以上。</w:t>
      </w:r>
    </w:p>
    <w:p>
      <w:pPr>
        <w:spacing w:line="560" w:lineRule="exact"/>
        <w:ind w:firstLine="643" w:firstLineChars="200"/>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4.</w:t>
      </w:r>
      <w:r>
        <w:rPr>
          <w:rFonts w:hint="eastAsia" w:ascii="仿宋_GB2312" w:hAnsi="仿宋" w:eastAsia="仿宋_GB2312"/>
          <w:b/>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b/>
          <w:bCs/>
          <w:color w:val="000000" w:themeColor="text1"/>
          <w:sz w:val="32"/>
          <w:szCs w:val="32"/>
          <w14:textFill>
            <w14:solidFill>
              <w14:schemeClr w14:val="tx1"/>
            </w14:solidFill>
          </w14:textFill>
        </w:rPr>
        <w:t>城市治理能力提升</w:t>
      </w:r>
    </w:p>
    <w:p>
      <w:pPr>
        <w:autoSpaceDE w:val="0"/>
        <w:autoSpaceDN w:val="0"/>
        <w:spacing w:line="560" w:lineRule="exact"/>
        <w:ind w:firstLine="643" w:firstLineChars="200"/>
        <w:jc w:val="left"/>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b/>
          <w:bCs/>
          <w:color w:val="000000" w:themeColor="text1"/>
          <w:kern w:val="0"/>
          <w:sz w:val="32"/>
          <w:szCs w:val="32"/>
          <w14:textFill>
            <w14:solidFill>
              <w14:schemeClr w14:val="tx1"/>
            </w14:solidFill>
          </w14:textFill>
        </w:rPr>
        <w:t>决策协同体系初步构建。</w:t>
      </w:r>
      <w:r>
        <w:rPr>
          <w:rFonts w:hint="eastAsia" w:ascii="仿宋_GB2312" w:hAnsi="仿宋" w:eastAsia="仿宋_GB2312" w:cs="Times New Roman"/>
          <w:color w:val="000000" w:themeColor="text1"/>
          <w:sz w:val="32"/>
          <w:szCs w:val="32"/>
          <w14:textFill>
            <w14:solidFill>
              <w14:schemeClr w14:val="tx1"/>
            </w14:solidFill>
          </w14:textFill>
        </w:rPr>
        <w:t>建设“智慧龙华”运营管理中心及街道分中心，集中多维综合展现“智慧龙华”建设成果，同时与多个业务系统对接，实现各类系统的协调调用、信息查看和决策指挥，并对接市政府管理服务指挥中心，实现市—区—街道指挥调度三级联动。</w:t>
      </w:r>
      <w:r>
        <w:rPr>
          <w:rFonts w:hint="eastAsia" w:ascii="仿宋_GB2312" w:hAnsi="仿宋" w:eastAsia="仿宋_GB2312" w:cs="仿宋_GB2312"/>
          <w:color w:val="000000" w:themeColor="text1"/>
          <w:kern w:val="0"/>
          <w:sz w:val="32"/>
          <w:szCs w:val="32"/>
          <w14:textFill>
            <w14:solidFill>
              <w14:schemeClr w14:val="tx1"/>
            </w14:solidFill>
          </w14:textFill>
        </w:rPr>
        <w:t>以大数据为支撑的政府决策机制雏形初现，形成一体化联动城市运行管理体系格局。</w:t>
      </w:r>
    </w:p>
    <w:p>
      <w:pPr>
        <w:keepNext w:val="0"/>
        <w:keepLines w:val="0"/>
        <w:pageBreakBefore w:val="0"/>
        <w:widowControl w:val="0"/>
        <w:kinsoku/>
        <w:wordWrap/>
        <w:overflowPunct/>
        <w:topLinePunct w:val="0"/>
        <w:autoSpaceDE w:val="0"/>
        <w:autoSpaceDN w:val="0"/>
        <w:bidi w:val="0"/>
        <w:adjustRightInd/>
        <w:snapToGrid/>
        <w:spacing w:after="157" w:afterLines="50" w:line="560" w:lineRule="exact"/>
        <w:ind w:firstLine="643" w:firstLineChars="200"/>
        <w:jc w:val="left"/>
        <w:textAlignment w:val="auto"/>
        <w:rPr>
          <w:rFonts w:hint="eastAsia" w:ascii="仿宋_GB2312" w:hAnsi="仿宋" w:eastAsia="仿宋_GB2312" w:cs="仿宋_GB2312"/>
          <w:color w:val="auto"/>
          <w:kern w:val="0"/>
          <w:sz w:val="32"/>
          <w:szCs w:val="32"/>
        </w:rPr>
      </w:pPr>
      <w:r>
        <w:rPr>
          <w:rFonts w:hint="eastAsia" w:ascii="仿宋_GB2312" w:hAnsi="仿宋" w:eastAsia="仿宋_GB2312" w:cs="仿宋_GB2312"/>
          <w:b/>
          <w:bCs/>
          <w:color w:val="000000" w:themeColor="text1"/>
          <w:kern w:val="0"/>
          <w:sz w:val="32"/>
          <w:szCs w:val="32"/>
          <w14:textFill>
            <w14:solidFill>
              <w14:schemeClr w14:val="tx1"/>
            </w14:solidFill>
          </w14:textFill>
        </w:rPr>
        <w:t>社会治理能力持续提升。</w:t>
      </w:r>
      <w:r>
        <w:rPr>
          <w:rFonts w:hint="eastAsia" w:ascii="仿宋_GB2312" w:hAnsi="仿宋" w:eastAsia="仿宋_GB2312" w:cs="仿宋_GB2312"/>
          <w:color w:val="000000" w:themeColor="text1"/>
          <w:kern w:val="0"/>
          <w:sz w:val="32"/>
          <w:szCs w:val="32"/>
          <w14:textFill>
            <w14:solidFill>
              <w14:schemeClr w14:val="tx1"/>
            </w14:solidFill>
          </w14:textFill>
        </w:rPr>
        <w:t>灵活运用城市网格化管理，利用网格划分实时动态、精确掌握社会管理基础信息；城市交通、环保、水务、市场监督、城管等领域的信息化城市治理应用体系初步形成；“雪亮”工程、智慧消防、安全生产综合管理等应用及城市应急管理机制逐步完善。</w:t>
      </w:r>
    </w:p>
    <w:p>
      <w:pPr>
        <w:pStyle w:val="2"/>
        <w:jc w:val="center"/>
        <w:rPr>
          <w:rFonts w:hint="default" w:ascii="宋体" w:eastAsia="仿宋_GB2312" w:cs="Courier New" w:hAnsiTheme="minorHAnsi"/>
          <w:b w:val="0"/>
          <w:bCs w:val="0"/>
          <w:kern w:val="2"/>
          <w:sz w:val="28"/>
          <w:szCs w:val="28"/>
          <w:highlight w:val="none"/>
        </w:rPr>
      </w:pPr>
      <w:r>
        <w:rPr>
          <w:rFonts w:hint="eastAsia" w:ascii="黑体" w:hAnsi="黑体" w:eastAsia="黑体" w:cs="黑体"/>
          <w:b w:val="0"/>
          <w:bCs w:val="0"/>
          <w:color w:val="auto"/>
          <w:kern w:val="0"/>
          <w:sz w:val="28"/>
          <w:szCs w:val="28"/>
          <w:highlight w:val="none"/>
          <w:lang w:val="en-US" w:eastAsia="zh-CN"/>
        </w:rPr>
        <w:t>表1：“智慧龙华”已建成项目清单（截至2019年12月）</w:t>
      </w:r>
    </w:p>
    <w:tbl>
      <w:tblPr>
        <w:tblStyle w:val="16"/>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791"/>
        <w:gridCol w:w="794"/>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w w:val="90"/>
                <w:sz w:val="24"/>
                <w:szCs w:val="24"/>
                <w:vertAlign w:val="baseline"/>
                <w:lang w:eastAsia="zh-CN"/>
              </w:rPr>
            </w:pPr>
            <w:r>
              <w:rPr>
                <w:rFonts w:hint="eastAsia" w:ascii="黑体" w:hAnsi="黑体" w:eastAsia="黑体" w:cs="黑体"/>
                <w:b w:val="0"/>
                <w:bCs w:val="0"/>
                <w:w w:val="90"/>
                <w:sz w:val="24"/>
                <w:szCs w:val="24"/>
                <w:vertAlign w:val="baseline"/>
                <w:lang w:eastAsia="zh-CN"/>
              </w:rPr>
              <w:t>序号</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w w:val="90"/>
                <w:sz w:val="24"/>
                <w:szCs w:val="24"/>
                <w:vertAlign w:val="baseline"/>
                <w:lang w:eastAsia="zh-CN"/>
              </w:rPr>
            </w:pPr>
            <w:r>
              <w:rPr>
                <w:rFonts w:hint="eastAsia" w:ascii="黑体" w:hAnsi="黑体" w:eastAsia="黑体" w:cs="黑体"/>
                <w:b w:val="0"/>
                <w:bCs w:val="0"/>
                <w:w w:val="90"/>
                <w:sz w:val="24"/>
                <w:szCs w:val="24"/>
                <w:vertAlign w:val="baseline"/>
                <w:lang w:eastAsia="zh-CN"/>
              </w:rPr>
              <w:t>项目名称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w w:val="90"/>
                <w:sz w:val="24"/>
                <w:szCs w:val="24"/>
                <w:vertAlign w:val="baseline"/>
                <w:lang w:eastAsia="zh-CN"/>
              </w:rPr>
            </w:pPr>
            <w:r>
              <w:rPr>
                <w:rFonts w:hint="eastAsia" w:ascii="黑体" w:hAnsi="黑体" w:eastAsia="黑体" w:cs="黑体"/>
                <w:b w:val="0"/>
                <w:bCs w:val="0"/>
                <w:w w:val="90"/>
                <w:sz w:val="24"/>
                <w:szCs w:val="24"/>
                <w:vertAlign w:val="baseline"/>
                <w:lang w:eastAsia="zh-CN"/>
              </w:rPr>
              <w:t>序号</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w w:val="90"/>
                <w:sz w:val="24"/>
                <w:szCs w:val="24"/>
                <w:vertAlign w:val="baseline"/>
                <w:lang w:eastAsia="zh-CN"/>
              </w:rPr>
            </w:pPr>
            <w:r>
              <w:rPr>
                <w:rFonts w:hint="eastAsia" w:ascii="黑体" w:hAnsi="黑体" w:eastAsia="黑体" w:cs="黑体"/>
                <w:b w:val="0"/>
                <w:bCs w:val="0"/>
                <w:w w:val="90"/>
                <w:sz w:val="24"/>
                <w:szCs w:val="24"/>
                <w:vertAlign w:val="baseline"/>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1</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w w:val="100"/>
                <w:sz w:val="21"/>
                <w:szCs w:val="21"/>
                <w:vertAlign w:val="baseline"/>
              </w:rPr>
            </w:pPr>
            <w:r>
              <w:rPr>
                <w:rFonts w:hint="eastAsia" w:ascii="仿宋_GB2312" w:hAnsi="仿宋" w:eastAsia="仿宋_GB2312" w:cs="仿宋_GB2312"/>
                <w:color w:val="auto"/>
                <w:kern w:val="0"/>
                <w:sz w:val="21"/>
                <w:szCs w:val="21"/>
              </w:rPr>
              <w:t>大数据平台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17</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环卫精细化管理系统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2</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云计算服务平台扩容</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18</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工程项目管理平台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3</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信息安全保障</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19</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城市部件普查及确权系统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4</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龙华区三维警用地理信息系统建设</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20</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已封场渣土场自动化监测</w:t>
            </w:r>
            <w:r>
              <w:rPr>
                <w:rFonts w:hint="eastAsia" w:ascii="仿宋_GB2312" w:hAnsi="仿宋" w:eastAsia="仿宋_GB2312" w:cs="仿宋_GB2312"/>
                <w:color w:val="auto"/>
                <w:kern w:val="0"/>
                <w:sz w:val="21"/>
                <w:szCs w:val="21"/>
                <w:lang w:eastAsia="zh-CN"/>
              </w:rPr>
              <w:t>（</w:t>
            </w:r>
            <w:r>
              <w:rPr>
                <w:rFonts w:hint="eastAsia" w:ascii="仿宋_GB2312" w:hAnsi="仿宋" w:eastAsia="仿宋_GB2312" w:cs="仿宋_GB2312"/>
                <w:color w:val="auto"/>
                <w:kern w:val="0"/>
                <w:sz w:val="21"/>
                <w:szCs w:val="21"/>
              </w:rPr>
              <w:t>龙华区田心石场边</w:t>
            </w:r>
            <w:r>
              <w:rPr>
                <w:rFonts w:hint="eastAsia" w:ascii="仿宋_GB2312" w:hAnsi="仿宋" w:eastAsia="仿宋_GB2312" w:cs="仿宋_GB2312"/>
                <w:color w:val="auto"/>
                <w:kern w:val="0"/>
                <w:sz w:val="21"/>
                <w:szCs w:val="21"/>
                <w:lang w:eastAsia="zh-CN"/>
              </w:rPr>
              <w:t>坡自动化监测）</w:t>
            </w:r>
            <w:r>
              <w:rPr>
                <w:rFonts w:hint="eastAsia" w:ascii="仿宋_GB2312" w:hAnsi="仿宋" w:eastAsia="仿宋_GB2312" w:cs="仿宋_GB2312"/>
                <w:color w:val="auto"/>
                <w:kern w:val="0"/>
                <w:sz w:val="21"/>
                <w:szCs w:val="21"/>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5</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龙华公安分局全网安全加固系统</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21</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城市照明智能监控系统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6</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智能消防</w:t>
            </w:r>
            <w:r>
              <w:rPr>
                <w:rFonts w:hint="eastAsia" w:ascii="仿宋_GB2312" w:hAnsi="仿宋" w:eastAsia="仿宋_GB2312" w:cs="仿宋_GB2312"/>
                <w:color w:val="auto"/>
                <w:kern w:val="0"/>
                <w:sz w:val="21"/>
                <w:szCs w:val="21"/>
                <w:lang w:eastAsia="zh-CN"/>
              </w:rPr>
              <w:t>（一期）-</w:t>
            </w:r>
            <w:r>
              <w:rPr>
                <w:rFonts w:hint="eastAsia" w:ascii="仿宋_GB2312" w:hAnsi="仿宋" w:eastAsia="仿宋_GB2312" w:cs="仿宋_GB2312"/>
                <w:color w:val="auto"/>
                <w:kern w:val="0"/>
                <w:sz w:val="21"/>
                <w:szCs w:val="21"/>
              </w:rPr>
              <w:t>公安消防</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22</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lang w:val="en-US" w:eastAsia="zh-CN"/>
              </w:rPr>
              <w:t>运营管理</w:t>
            </w:r>
            <w:r>
              <w:rPr>
                <w:rFonts w:hint="eastAsia" w:ascii="仿宋_GB2312" w:hAnsi="仿宋" w:eastAsia="仿宋_GB2312" w:cs="仿宋_GB2312"/>
                <w:color w:val="auto"/>
                <w:kern w:val="0"/>
                <w:sz w:val="21"/>
                <w:szCs w:val="21"/>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7</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智慧安监系统</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23</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文体云项目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8</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燃气管理系统</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24</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会计核算中心综合管理平台建设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9</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龙华公安分局信息化统</w:t>
            </w:r>
            <w:r>
              <w:rPr>
                <w:rFonts w:hint="eastAsia" w:ascii="仿宋_GB2312" w:hAnsi="仿宋" w:eastAsia="仿宋_GB2312" w:cs="仿宋_GB2312"/>
                <w:color w:val="auto"/>
                <w:kern w:val="0"/>
                <w:sz w:val="21"/>
                <w:szCs w:val="21"/>
                <w:lang w:eastAsia="zh-CN"/>
              </w:rPr>
              <w:t>一</w:t>
            </w:r>
            <w:r>
              <w:rPr>
                <w:rFonts w:hint="eastAsia" w:ascii="仿宋_GB2312" w:hAnsi="仿宋" w:eastAsia="仿宋_GB2312" w:cs="仿宋_GB2312"/>
                <w:color w:val="auto"/>
                <w:kern w:val="0"/>
                <w:sz w:val="21"/>
                <w:szCs w:val="21"/>
              </w:rPr>
              <w:t>运维管理系统</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25</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党群服务中心多方会议系统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10</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动态人像识别系统</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26</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无线政务外网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11</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观澜高新园区视频监控系统建设</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27</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rPr>
              <w:t>视频会议系统</w:t>
            </w:r>
            <w:r>
              <w:rPr>
                <w:rFonts w:hint="eastAsia" w:ascii="仿宋_GB2312" w:hAnsi="仿宋" w:eastAsia="仿宋_GB2312" w:cs="仿宋_GB2312"/>
                <w:color w:val="auto"/>
                <w:kern w:val="0"/>
                <w:sz w:val="21"/>
                <w:szCs w:val="21"/>
                <w:lang w:eastAsia="zh-CN"/>
              </w:rPr>
              <w:t>（</w:t>
            </w:r>
            <w:r>
              <w:rPr>
                <w:rFonts w:hint="eastAsia" w:ascii="仿宋_GB2312" w:hAnsi="仿宋" w:eastAsia="仿宋_GB2312" w:cs="仿宋_GB2312"/>
                <w:color w:val="auto"/>
                <w:kern w:val="0"/>
                <w:sz w:val="21"/>
                <w:szCs w:val="21"/>
              </w:rPr>
              <w:t>三期</w:t>
            </w:r>
            <w:r>
              <w:rPr>
                <w:rFonts w:hint="eastAsia" w:ascii="仿宋_GB2312" w:hAnsi="仿宋" w:eastAsia="仿宋_GB2312" w:cs="仿宋_GB2312"/>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12</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智能移动警务软件开发项目</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28</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门户网站优化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13</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涉案财物管理中心系统平台项目建设</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29</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龙华区党风康政监督考评系统建设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14</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交通管控平台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30</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区人大代表履职量化评估系统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15</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lang w:val="en-US" w:eastAsia="zh-CN"/>
              </w:rPr>
              <w:t>智慧</w:t>
            </w:r>
            <w:r>
              <w:rPr>
                <w:rFonts w:hint="eastAsia" w:ascii="仿宋_GB2312" w:hAnsi="仿宋" w:eastAsia="仿宋_GB2312" w:cs="仿宋_GB2312"/>
                <w:color w:val="auto"/>
                <w:kern w:val="0"/>
                <w:sz w:val="21"/>
                <w:szCs w:val="21"/>
              </w:rPr>
              <w:t>医疗</w:t>
            </w:r>
            <w:r>
              <w:rPr>
                <w:rFonts w:hint="eastAsia" w:ascii="仿宋_GB2312" w:hAnsi="仿宋" w:eastAsia="仿宋_GB2312" w:cs="仿宋_GB2312"/>
                <w:color w:val="auto"/>
                <w:kern w:val="0"/>
                <w:sz w:val="21"/>
                <w:szCs w:val="21"/>
                <w:lang w:eastAsia="zh-CN"/>
              </w:rPr>
              <w:t>“</w:t>
            </w:r>
            <w:r>
              <w:rPr>
                <w:rFonts w:hint="eastAsia" w:ascii="仿宋_GB2312" w:hAnsi="仿宋" w:eastAsia="仿宋_GB2312" w:cs="仿宋_GB2312"/>
                <w:color w:val="auto"/>
                <w:kern w:val="0"/>
                <w:sz w:val="21"/>
                <w:szCs w:val="21"/>
              </w:rPr>
              <w:t>114工程</w:t>
            </w:r>
            <w:r>
              <w:rPr>
                <w:rFonts w:hint="eastAsia" w:ascii="仿宋_GB2312" w:hAnsi="仿宋" w:eastAsia="仿宋_GB2312" w:cs="仿宋_GB2312"/>
                <w:color w:val="auto"/>
                <w:kern w:val="0"/>
                <w:sz w:val="21"/>
                <w:szCs w:val="21"/>
                <w:lang w:eastAsia="zh-CN"/>
              </w:rPr>
              <w:t>”</w:t>
            </w:r>
            <w:r>
              <w:rPr>
                <w:rFonts w:hint="eastAsia" w:ascii="仿宋_GB2312" w:hAnsi="仿宋" w:eastAsia="仿宋_GB2312" w:cs="仿宋_GB2312"/>
                <w:color w:val="auto"/>
                <w:kern w:val="0"/>
                <w:sz w:val="21"/>
                <w:szCs w:val="21"/>
              </w:rPr>
              <w:t>龙华区全民健康信息平台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31</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区智慧产业经服项目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rPr>
            </w:pPr>
            <w:r>
              <w:rPr>
                <w:rFonts w:hint="eastAsia" w:ascii="仿宋_GB2312" w:hAnsi="仿宋" w:eastAsia="仿宋_GB2312" w:cs="仿宋_GB2312"/>
                <w:color w:val="auto"/>
                <w:kern w:val="0"/>
                <w:sz w:val="21"/>
                <w:szCs w:val="21"/>
                <w:lang w:val="en-US" w:eastAsia="zh-CN"/>
              </w:rPr>
              <w:t>16</w:t>
            </w:r>
          </w:p>
        </w:tc>
        <w:tc>
          <w:tcPr>
            <w:tcW w:w="37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环水综合管理平台</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w w:val="90"/>
                <w:sz w:val="21"/>
                <w:szCs w:val="21"/>
                <w:vertAlign w:val="baseline"/>
                <w:lang w:val="en-US" w:eastAsia="zh-CN"/>
              </w:rPr>
            </w:pPr>
            <w:r>
              <w:rPr>
                <w:rFonts w:hint="eastAsia" w:ascii="仿宋_GB2312" w:hAnsi="仿宋_GB2312" w:eastAsia="仿宋_GB2312" w:cs="仿宋_GB2312"/>
                <w:w w:val="90"/>
                <w:sz w:val="21"/>
                <w:szCs w:val="21"/>
                <w:vertAlign w:val="baseline"/>
                <w:lang w:val="en-US" w:eastAsia="zh-CN"/>
              </w:rPr>
              <w:t>32</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rPr>
            </w:pPr>
            <w:r>
              <w:rPr>
                <w:rFonts w:hint="eastAsia" w:ascii="仿宋_GB2312" w:hAnsi="仿宋" w:eastAsia="仿宋_GB2312" w:cs="仿宋_GB2312"/>
                <w:color w:val="auto"/>
                <w:kern w:val="0"/>
                <w:sz w:val="21"/>
                <w:szCs w:val="21"/>
              </w:rPr>
              <w:t>区智慧社区经服项目</w:t>
            </w:r>
          </w:p>
        </w:tc>
      </w:tr>
    </w:tbl>
    <w:p>
      <w:pPr>
        <w:pStyle w:val="2"/>
        <w:rPr>
          <w:rFonts w:hint="eastAsia"/>
        </w:rPr>
      </w:pPr>
    </w:p>
    <w:p>
      <w:pPr>
        <w:spacing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数字经济强基补链</w:t>
      </w:r>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技术研发能力持续增强。</w:t>
      </w:r>
      <w:r>
        <w:rPr>
          <w:rFonts w:hint="eastAsia" w:ascii="仿宋_GB2312" w:hAnsi="仿宋_GB2312" w:eastAsia="仿宋_GB2312" w:cs="仿宋_GB2312"/>
          <w:color w:val="000000" w:themeColor="text1"/>
          <w:kern w:val="0"/>
          <w:sz w:val="32"/>
          <w:szCs w:val="32"/>
          <w14:textFill>
            <w14:solidFill>
              <w14:schemeClr w14:val="tx1"/>
            </w14:solidFill>
          </w14:textFill>
        </w:rPr>
        <w:t>依托基础研究机构，开展关键核心技术攻坚，加快区块链与大数据、物联网等前沿信息技术的深度融合，引导企业组建研发机构，鼓励龙头企业成立产学研创新战略联盟；九龙山智能科技城规划建设全面提速。</w:t>
      </w:r>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支柱产业“固本”“强群”。</w:t>
      </w:r>
      <w:r>
        <w:rPr>
          <w:rFonts w:hint="eastAsia" w:ascii="仿宋_GB2312" w:hAnsi="仿宋_GB2312" w:eastAsia="仿宋_GB2312" w:cs="仿宋_GB2312"/>
          <w:color w:val="000000" w:themeColor="text1"/>
          <w:kern w:val="0"/>
          <w:sz w:val="32"/>
          <w:szCs w:val="32"/>
          <w14:textFill>
            <w14:solidFill>
              <w14:schemeClr w14:val="tx1"/>
            </w14:solidFill>
          </w14:textFill>
        </w:rPr>
        <w:t>在“双区建设”的政策红利逐步释放下，龙华作为全球电子信息产业大区，在工业互联网、人工智能、5G等智能制造领域发展走在全球前列。优化布局先进制造业产业集群、人工智能产业集群、生命健康产业集群、文化创意产业集群，不断探索创新应用，积极推动5G、物联网、人工智能等新兴技术在远程医疗、物流、能源、AR/VR、智能网联汽车等领域的典型示范应用。</w:t>
      </w:r>
    </w:p>
    <w:p>
      <w:pPr>
        <w:spacing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保障体系日趋完善</w:t>
      </w:r>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组织管理日益完善。</w:t>
      </w:r>
      <w:r>
        <w:rPr>
          <w:rFonts w:hint="eastAsia" w:ascii="仿宋_GB2312" w:hAnsi="仿宋_GB2312" w:eastAsia="仿宋_GB2312" w:cs="仿宋_GB2312"/>
          <w:color w:val="000000" w:themeColor="text1"/>
          <w:kern w:val="0"/>
          <w:sz w:val="32"/>
          <w:szCs w:val="32"/>
          <w14:textFill>
            <w14:solidFill>
              <w14:schemeClr w14:val="tx1"/>
            </w14:solidFill>
          </w14:textFill>
        </w:rPr>
        <w:t>建立“全区一盘棋”管理体制机制，组建区政务服务数据管理局作为“智慧龙华”</w:t>
      </w:r>
      <w:r>
        <w:rPr>
          <w:rFonts w:hint="eastAsia" w:ascii="仿宋_GB2312" w:hAnsi="仿宋_GB2312" w:eastAsia="仿宋_GB2312" w:cs="仿宋_GB2312"/>
          <w:color w:val="000000" w:themeColor="text1"/>
          <w:sz w:val="32"/>
          <w:szCs w:val="32"/>
          <w14:textFill>
            <w14:solidFill>
              <w14:schemeClr w14:val="tx1"/>
            </w14:solidFill>
          </w14:textFill>
        </w:rPr>
        <w:t>和“数字政府”</w:t>
      </w:r>
      <w:r>
        <w:rPr>
          <w:rFonts w:hint="eastAsia" w:ascii="仿宋_GB2312" w:hAnsi="仿宋_GB2312" w:eastAsia="仿宋_GB2312" w:cs="仿宋_GB2312"/>
          <w:color w:val="000000" w:themeColor="text1"/>
          <w:kern w:val="0"/>
          <w:sz w:val="32"/>
          <w:szCs w:val="32"/>
          <w14:textFill>
            <w14:solidFill>
              <w14:schemeClr w14:val="tx1"/>
            </w14:solidFill>
          </w14:textFill>
        </w:rPr>
        <w:t>建设工作的主管部门；积极引导社会力量参与城市治理与建设，依托一批领军科技企业，聚集和培育一大批IT企业和创新创业人才。</w:t>
      </w:r>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安全保障成效显著。</w:t>
      </w:r>
      <w:r>
        <w:rPr>
          <w:rFonts w:hint="eastAsia" w:ascii="仿宋_GB2312" w:hAnsi="仿宋_GB2312" w:eastAsia="仿宋_GB2312" w:cs="仿宋_GB2312"/>
          <w:color w:val="000000" w:themeColor="text1"/>
          <w:kern w:val="0"/>
          <w:sz w:val="32"/>
          <w:szCs w:val="32"/>
          <w14:textFill>
            <w14:solidFill>
              <w14:schemeClr w14:val="tx1"/>
            </w14:solidFill>
          </w14:textFill>
        </w:rPr>
        <w:t>部署上网行为审计设备、网页防篡改系统、网络准入设备等基础安全设备，搭建信息安全态势感知平台和安全度量平台，对接入龙华区电子政务网的终端及服务器进行实时监测；编制《大数据平台数据安全规范》《龙华区网络与信息安全突发事件应急预案》，建设网络空间安全保障体系，信息安全防护水平与综合保障能力显著提升。</w:t>
      </w:r>
    </w:p>
    <w:p>
      <w:pPr>
        <w:pStyle w:val="4"/>
        <w:spacing w:before="0" w:after="0" w:line="560" w:lineRule="exact"/>
        <w:ind w:firstLine="640" w:firstLineChars="200"/>
        <w:rPr>
          <w:rFonts w:ascii="楷体_GB2312" w:hAnsi="楷体" w:eastAsia="楷体_GB2312"/>
          <w:b w:val="0"/>
          <w:color w:val="000000" w:themeColor="text1"/>
          <w14:textFill>
            <w14:solidFill>
              <w14:schemeClr w14:val="tx1"/>
            </w14:solidFill>
          </w14:textFill>
        </w:rPr>
      </w:pPr>
      <w:bookmarkStart w:id="22" w:name="_Toc4141"/>
      <w:bookmarkStart w:id="23" w:name="_Toc74067336"/>
      <w:bookmarkStart w:id="24" w:name="_Toc4736"/>
      <w:bookmarkStart w:id="25" w:name="_Toc24194"/>
      <w:bookmarkStart w:id="26" w:name="_Toc11385"/>
      <w:bookmarkStart w:id="27" w:name="_Toc17668"/>
      <w:bookmarkStart w:id="28" w:name="_Toc54594582"/>
      <w:r>
        <w:rPr>
          <w:rFonts w:hint="eastAsia" w:ascii="楷体_GB2312" w:hAnsi="楷体" w:eastAsia="楷体_GB2312"/>
          <w:b w:val="0"/>
          <w:color w:val="000000" w:themeColor="text1"/>
          <w14:textFill>
            <w14:solidFill>
              <w14:schemeClr w14:val="tx1"/>
            </w14:solidFill>
          </w14:textFill>
        </w:rPr>
        <w:t>（二）发展趋势</w:t>
      </w:r>
      <w:bookmarkEnd w:id="22"/>
      <w:bookmarkEnd w:id="23"/>
      <w:bookmarkEnd w:id="24"/>
      <w:bookmarkEnd w:id="25"/>
      <w:bookmarkEnd w:id="26"/>
      <w:bookmarkEnd w:id="27"/>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今世界，数据成为驱动产业创新变革的先导力量，围绕数字竞争力的全球战略布局全面升级，打造网络强国成为全球主要大国的共识。龙华亟需以“智慧龙华”和“数字政府”建设为抓手，服务国家战略，补齐短板，破解瓶颈，推动信息化与经济社会发展深度创新融合，促进产业转型升级，提升民生服务水平，增强社会治理能力，在践行新发展理念上先行一步。</w:t>
      </w:r>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社会发展创造新需求。</w:t>
      </w:r>
      <w:r>
        <w:rPr>
          <w:rFonts w:hint="eastAsia" w:ascii="仿宋_GB2312" w:hAnsi="仿宋_GB2312" w:eastAsia="仿宋_GB2312" w:cs="仿宋_GB2312"/>
          <w:color w:val="000000" w:themeColor="text1"/>
          <w:kern w:val="0"/>
          <w:sz w:val="32"/>
          <w:szCs w:val="32"/>
          <w14:textFill>
            <w14:solidFill>
              <w14:schemeClr w14:val="tx1"/>
            </w14:solidFill>
          </w14:textFill>
        </w:rPr>
        <w:t>党的十九大提出以人民为中心的发展思想，推进国家治理体系和治理能力现代化，提升人民群众的获得感、幸福感和安全感。龙华作为国内率先进入信息社会发展中级阶段的城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14:textFill>
            <w14:solidFill>
              <w14:schemeClr w14:val="tx1"/>
            </w14:solidFill>
          </w14:textFill>
        </w:rPr>
        <w:t>，需积极探索和实践在数字化转型下经济和社会发展的创新模式，不断激发和释放社会活力，推进“数字政府”改革建设，实现主动、精准、整体式、智能化的政府管理和服务，构建协同创新的数字经济发展业态，提升全时全域高效便捷的民生服务能级，打造共建共治共享的社会治理格局，让数字化建设成果惠及全民。</w:t>
      </w:r>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“双区建设”赋予新使命。</w:t>
      </w:r>
      <w:r>
        <w:rPr>
          <w:rFonts w:hint="eastAsia" w:ascii="仿宋_GB2312" w:hAnsi="仿宋_GB2312" w:eastAsia="仿宋_GB2312" w:cs="仿宋_GB2312"/>
          <w:color w:val="000000" w:themeColor="text1"/>
          <w:kern w:val="0"/>
          <w:sz w:val="32"/>
          <w:szCs w:val="32"/>
          <w14:textFill>
            <w14:solidFill>
              <w14:schemeClr w14:val="tx1"/>
            </w14:solidFill>
          </w14:textFill>
        </w:rPr>
        <w:t>龙华面临打造数字经济先行区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建设现代化国际化创新型中轴新城等一系列重大利好叠加的新机遇和新使命，要求龙华高举新时代改革开放旗帜、争当建设中国特色社会主义先行示范区尖兵，成为全国乃至全球的“高质量发展高地、法治城市示范、城市文明典范、民生幸福标杆、可持续发展先锋”，更好落实粤港澳大湾区战略部署，努力在创建社会主义现代化国际城市范例中走在前列，打造国际一流的新型智慧城市和“数字政府”。</w:t>
      </w:r>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数字时代带来新机遇。</w:t>
      </w:r>
      <w:r>
        <w:rPr>
          <w:rFonts w:hint="eastAsia" w:ascii="仿宋_GB2312" w:hAnsi="仿宋_GB2312" w:eastAsia="仿宋_GB2312" w:cs="仿宋_GB2312"/>
          <w:color w:val="000000" w:themeColor="text1"/>
          <w:kern w:val="0"/>
          <w:sz w:val="32"/>
          <w:szCs w:val="32"/>
          <w14:textFill>
            <w14:solidFill>
              <w14:schemeClr w14:val="tx1"/>
            </w14:solidFill>
          </w14:textFill>
        </w:rPr>
        <w:t>当前，信息技术和智能技术发展日新月异，信息革命正从技术产业革命向经济社会变革加速演进，全球数字化转型成为大势所趋。数字化已成为推动“数字龙华”建设，促进</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color w:val="000000" w:themeColor="text1"/>
          <w:kern w:val="0"/>
          <w:sz w:val="32"/>
          <w:szCs w:val="32"/>
          <w14:textFill>
            <w14:solidFill>
              <w14:schemeClr w14:val="tx1"/>
            </w14:solidFill>
          </w14:textFill>
        </w:rPr>
        <w:t>区经济社会高质量发展的重要抓手和引擎。加快建设泛在先进、开放物联的新型基础设施体系，利用5G、物联网、区块链、云计算、大数据、人工智能等新一代信息技术全面赋能信息基础设施，发挥新型基础设施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color w:val="000000" w:themeColor="text1"/>
          <w:kern w:val="0"/>
          <w:sz w:val="32"/>
          <w:szCs w:val="32"/>
          <w14:textFill>
            <w14:solidFill>
              <w14:schemeClr w14:val="tx1"/>
            </w14:solidFill>
          </w14:textFill>
        </w:rPr>
        <w:t>区经济社会发展中的基础性、战略性作用。在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color w:val="000000" w:themeColor="text1"/>
          <w:kern w:val="0"/>
          <w:sz w:val="32"/>
          <w:szCs w:val="32"/>
          <w14:textFill>
            <w14:solidFill>
              <w14:schemeClr w14:val="tx1"/>
            </w14:solidFill>
          </w14:textFill>
        </w:rPr>
        <w:t>区的供给侧结构性改革的总体发展进程中，政务数字化建设将进入上层应用场景融合创新、促进管理组织体系架构直接创新的新时期。</w:t>
      </w:r>
    </w:p>
    <w:p>
      <w:pPr>
        <w:widowControl/>
        <w:autoSpaceDE w:val="0"/>
        <w:autoSpaceDN w:val="0"/>
        <w:spacing w:line="560" w:lineRule="exact"/>
        <w:ind w:firstLine="643" w:firstLineChars="20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科技进步赋能新动力。</w:t>
      </w:r>
      <w:r>
        <w:rPr>
          <w:rFonts w:hint="eastAsia" w:ascii="仿宋_GB2312" w:hAnsi="仿宋_GB2312" w:eastAsia="仿宋_GB2312" w:cs="仿宋_GB2312"/>
          <w:color w:val="000000" w:themeColor="text1"/>
          <w:kern w:val="0"/>
          <w:sz w:val="32"/>
          <w:szCs w:val="32"/>
          <w14:textFill>
            <w14:solidFill>
              <w14:schemeClr w14:val="tx1"/>
            </w14:solidFill>
          </w14:textFill>
        </w:rPr>
        <w:t>新一轮科技革命和产业变革正在重构全球创新版图、重塑全球经济结构，以5G、大数据、云计算、区块链、物联网、量子信息、人工智能等为代表的新一代信息技术和智能技术加速突破应用，正推动国家治理形态朝数字化、网络化、智能化方向转变。龙华应抢抓科技革命和产业变革的机遇，以数据为驱动，以网络为载体，以新一代信息技术和智能技术为依托，推动业务创新和流程优化，提高社会治理的智能化、科学化和精准化水平。</w:t>
      </w:r>
    </w:p>
    <w:p>
      <w:pPr>
        <w:pStyle w:val="4"/>
        <w:spacing w:before="0" w:after="0" w:line="560" w:lineRule="exact"/>
        <w:ind w:firstLine="640" w:firstLineChars="200"/>
        <w:rPr>
          <w:rFonts w:ascii="楷体_GB2312" w:hAnsi="楷体" w:eastAsia="楷体_GB2312"/>
          <w:b w:val="0"/>
          <w:color w:val="000000" w:themeColor="text1"/>
          <w14:textFill>
            <w14:solidFill>
              <w14:schemeClr w14:val="tx1"/>
            </w14:solidFill>
          </w14:textFill>
        </w:rPr>
      </w:pPr>
      <w:bookmarkStart w:id="29" w:name="_Toc31805"/>
      <w:bookmarkStart w:id="30" w:name="_Toc6065"/>
      <w:bookmarkStart w:id="31" w:name="_Toc74067337"/>
      <w:bookmarkStart w:id="32" w:name="_Toc12680"/>
      <w:bookmarkStart w:id="33" w:name="_Toc13290"/>
      <w:bookmarkStart w:id="34" w:name="_Toc5131"/>
      <w:r>
        <w:rPr>
          <w:rFonts w:hint="eastAsia" w:ascii="楷体_GB2312" w:hAnsi="楷体" w:eastAsia="楷体_GB2312"/>
          <w:b w:val="0"/>
          <w:color w:val="000000" w:themeColor="text1"/>
          <w14:textFill>
            <w14:solidFill>
              <w14:schemeClr w14:val="tx1"/>
            </w14:solidFill>
          </w14:textFill>
        </w:rPr>
        <w:t>（三）</w:t>
      </w:r>
      <w:bookmarkEnd w:id="28"/>
      <w:r>
        <w:rPr>
          <w:rFonts w:hint="eastAsia" w:ascii="楷体_GB2312" w:hAnsi="楷体" w:eastAsia="楷体_GB2312"/>
          <w:b w:val="0"/>
          <w:color w:val="000000" w:themeColor="text1"/>
          <w14:textFill>
            <w14:solidFill>
              <w14:schemeClr w14:val="tx1"/>
            </w14:solidFill>
          </w14:textFill>
        </w:rPr>
        <w:t>面临挑战</w:t>
      </w:r>
      <w:bookmarkEnd w:id="29"/>
      <w:bookmarkEnd w:id="30"/>
      <w:bookmarkEnd w:id="31"/>
      <w:bookmarkEnd w:id="32"/>
      <w:bookmarkEnd w:id="33"/>
      <w:bookmarkEnd w:id="34"/>
    </w:p>
    <w:p>
      <w:pPr>
        <w:autoSpaceDE w:val="0"/>
        <w:autoSpaceDN w:val="0"/>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龙华区在新型智慧城市和“数字政府”的前期建设中已取得了一定较好成绩，但在达到“国际一流”建设目标、实现高质量发展的道路上，仍面临一系列挑战。</w:t>
      </w:r>
    </w:p>
    <w:p>
      <w:pPr>
        <w:autoSpaceDE w:val="0"/>
        <w:autoSpaceDN w:val="0"/>
        <w:spacing w:line="560" w:lineRule="exact"/>
        <w:ind w:firstLine="643" w:firstLineChars="200"/>
        <w:jc w:val="both"/>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新型基础设施支撑能力</w:t>
      </w:r>
      <w:r>
        <w:rPr>
          <w:rFonts w:hint="eastAsia" w:ascii="仿宋_GB2312" w:hAnsi="仿宋_GB2312" w:eastAsia="仿宋_GB2312" w:cs="仿宋_GB2312"/>
          <w:b/>
          <w:bCs/>
          <w:color w:val="000000" w:themeColor="text1"/>
          <w:kern w:val="0"/>
          <w:sz w:val="32"/>
          <w:szCs w:val="32"/>
          <w14:textFill>
            <w14:solidFill>
              <w14:schemeClr w14:val="tx1"/>
            </w14:solidFill>
          </w14:textFill>
        </w:rPr>
        <w:t>无法满足快速增长的业务与应用需求</w:t>
      </w:r>
    </w:p>
    <w:p>
      <w:pPr>
        <w:autoSpaceDE w:val="0"/>
        <w:autoSpaceDN w:val="0"/>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随着“智慧龙华”业务系统不断上线，计算资源、存储资源和网络资源的瓶颈出现，资源浪费、资源分配不均衡等问题凸显，亟需改善资源分配机制，实现按需分配，最大限度利用资源；惠民利企的应用日益增加，对网络设施和接入平台提出高并发、高连接的需求；物联感知网络面临优化升级以更好实现城市整体运行的全面、实时、动态监测，为城市运行监测、智能决策等应用的需求提供更有力支撑。</w:t>
      </w:r>
    </w:p>
    <w:p>
      <w:pPr>
        <w:spacing w:line="560" w:lineRule="exact"/>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数据资源利用效能仍需提高</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公共数据资源汇聚力度有待加强。</w:t>
      </w:r>
      <w:r>
        <w:rPr>
          <w:rFonts w:hint="eastAsia" w:ascii="仿宋_GB2312" w:hAnsi="仿宋_GB2312" w:eastAsia="仿宋_GB2312" w:cs="仿宋_GB2312"/>
          <w:color w:val="000000" w:themeColor="text1"/>
          <w:kern w:val="0"/>
          <w:sz w:val="32"/>
          <w:szCs w:val="32"/>
          <w14:textFill>
            <w14:solidFill>
              <w14:schemeClr w14:val="tx1"/>
            </w14:solidFill>
          </w14:textFill>
        </w:rPr>
        <w:t>在政务数据之外，水电气、旅行、就业等部分掌握在企业与个人手中的社会公共数据尚未形成全面汇聚，出现“不愿共享、不敢共享、不会共享”等问题，因此造成部分公共数据难以共享交换或用于增值利用，在社会公共数据资源汇聚方面上还有较大汇聚空间，将会更好支撑城市运行管理服务需要。</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数据资源共享交换机制有待优化。</w:t>
      </w:r>
      <w:r>
        <w:rPr>
          <w:rFonts w:hint="eastAsia" w:ascii="仿宋_GB2312" w:hAnsi="仿宋_GB2312" w:eastAsia="仿宋_GB2312" w:cs="仿宋_GB2312"/>
          <w:color w:val="000000" w:themeColor="text1"/>
          <w:kern w:val="0"/>
          <w:sz w:val="32"/>
          <w:szCs w:val="32"/>
          <w14:textFill>
            <w14:solidFill>
              <w14:schemeClr w14:val="tx1"/>
            </w14:solidFill>
          </w14:textFill>
        </w:rPr>
        <w:t>一方面，数据共享虽然有相应制度，但在实际执行中，相应流程进度缓慢，各单位倾向于直接进行需求数据的对接；另一方面，现有共享交换中心受到技术限制，数据共享交换的实时性、稳定性和便捷性不足。此外，受多级财政、垂直业务系统管理影响，部分跨区域、跨行业、跨部门、跨层级全方位的数据难以进行共享。</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数据治理标准体系规范亟待完善。</w:t>
      </w:r>
      <w:r>
        <w:rPr>
          <w:rFonts w:hint="eastAsia" w:ascii="仿宋_GB2312" w:hAnsi="仿宋_GB2312" w:eastAsia="仿宋_GB2312" w:cs="仿宋_GB2312"/>
          <w:color w:val="000000" w:themeColor="text1"/>
          <w:kern w:val="0"/>
          <w:sz w:val="32"/>
          <w:szCs w:val="32"/>
          <w14:textFill>
            <w14:solidFill>
              <w14:schemeClr w14:val="tx1"/>
            </w14:solidFill>
          </w14:textFill>
        </w:rPr>
        <w:t>健全“一数一源”数据确权机制，完善围绕数据资源管理的全生命周期的数据管理绩效评价指标体系和全流程管理机制，以提高数据完整性、一致性、时效性、可用性。</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数据开放应用生态仍需完善。</w:t>
      </w:r>
      <w:r>
        <w:rPr>
          <w:rFonts w:hint="eastAsia" w:ascii="仿宋_GB2312" w:hAnsi="仿宋_GB2312" w:eastAsia="仿宋_GB2312" w:cs="仿宋_GB2312"/>
          <w:color w:val="000000" w:themeColor="text1"/>
          <w:kern w:val="0"/>
          <w:sz w:val="32"/>
          <w:szCs w:val="32"/>
          <w14:textFill>
            <w14:solidFill>
              <w14:schemeClr w14:val="tx1"/>
            </w14:solidFill>
          </w14:textFill>
        </w:rPr>
        <w:t>数据资源的开放标准有待进一步明确，数据的开放范围有待扩大，社会公共数据资源共享开发利用的深度有待提升，数据资源交易、利用的生态体系有待优化；数据资源增值利用效果有待进一步挖掘发挥。</w:t>
      </w:r>
    </w:p>
    <w:p>
      <w:pPr>
        <w:spacing w:line="560" w:lineRule="exact"/>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城市治理协同决策能力亟待提升</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一体化政务协同体系有待优化。</w:t>
      </w:r>
      <w:r>
        <w:rPr>
          <w:rFonts w:hint="eastAsia" w:ascii="仿宋_GB2312" w:hAnsi="仿宋_GB2312" w:eastAsia="仿宋_GB2312" w:cs="仿宋_GB2312"/>
          <w:color w:val="000000" w:themeColor="text1"/>
          <w:kern w:val="0"/>
          <w:sz w:val="32"/>
          <w:szCs w:val="32"/>
          <w14:textFill>
            <w14:solidFill>
              <w14:schemeClr w14:val="tx1"/>
            </w14:solidFill>
          </w14:textFill>
        </w:rPr>
        <w:t>进一步优化跨层级、跨地域、跨系统、跨部门、跨业务的一体化政务协同，特别是领域性、行业性应用系统有待进一步横向打通。协同OA办公功能有待优化提升，以进一步提升协同办公效率。</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智能决策指挥体系仍需完善。</w:t>
      </w:r>
      <w:r>
        <w:rPr>
          <w:rFonts w:hint="eastAsia" w:ascii="仿宋_GB2312" w:hAnsi="仿宋_GB2312" w:eastAsia="仿宋_GB2312" w:cs="仿宋_GB2312"/>
          <w:color w:val="000000" w:themeColor="text1"/>
          <w:kern w:val="0"/>
          <w:sz w:val="32"/>
          <w:szCs w:val="32"/>
          <w14:textFill>
            <w14:solidFill>
              <w14:schemeClr w14:val="tx1"/>
            </w14:solidFill>
          </w14:textFill>
        </w:rPr>
        <w:t>区政府服务管理指挥中心在分级联动、预警防控、决策指挥和应急处置等方面有待进一步优化，以发挥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助推</w:t>
      </w:r>
      <w:r>
        <w:rPr>
          <w:rFonts w:hint="eastAsia" w:ascii="仿宋_GB2312" w:hAnsi="仿宋_GB2312" w:eastAsia="仿宋_GB2312" w:cs="仿宋_GB2312"/>
          <w:color w:val="000000" w:themeColor="text1"/>
          <w:kern w:val="0"/>
          <w:sz w:val="32"/>
          <w:szCs w:val="32"/>
          <w14:textFill>
            <w14:solidFill>
              <w14:schemeClr w14:val="tx1"/>
            </w14:solidFill>
          </w14:textFill>
        </w:rPr>
        <w:t>城市运行的重要支撑作用；各部门、各业务体系和指挥体系在全面对接方面有待进一步完善，城市整体数据分析能力和现代化治理手段有待增强，以实现主动、精准、整体式、智能化的政府管理和服务。</w:t>
      </w:r>
    </w:p>
    <w:p>
      <w:pPr>
        <w:spacing w:line="560" w:lineRule="exact"/>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利企惠民服务群众获得感仍需提升</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以对象为中心的整体性政务服务亟待加强。</w:t>
      </w:r>
      <w:r>
        <w:rPr>
          <w:rFonts w:hint="eastAsia" w:ascii="仿宋_GB2312" w:hAnsi="仿宋_GB2312" w:eastAsia="仿宋_GB2312" w:cs="仿宋_GB2312"/>
          <w:color w:val="000000" w:themeColor="text1"/>
          <w:kern w:val="0"/>
          <w:sz w:val="32"/>
          <w:szCs w:val="32"/>
          <w14:textFill>
            <w14:solidFill>
              <w14:schemeClr w14:val="tx1"/>
            </w14:solidFill>
          </w14:textFill>
        </w:rPr>
        <w:t>政务服务平台在场景式、主题式“一件事”服务上有待进一步加强。以“秒批”“无感申办”为代表的智能、高效政务服务有待进一步推广，在主动服务领域的探索上有待进一步加强。</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医疗、教育等重点民生领域应用不足。</w:t>
      </w:r>
      <w:r>
        <w:rPr>
          <w:rFonts w:hint="eastAsia" w:ascii="仿宋_GB2312" w:hAnsi="仿宋_GB2312" w:eastAsia="仿宋_GB2312" w:cs="仿宋_GB2312"/>
          <w:color w:val="000000" w:themeColor="text1"/>
          <w:kern w:val="0"/>
          <w:sz w:val="32"/>
          <w:szCs w:val="32"/>
          <w14:textFill>
            <w14:solidFill>
              <w14:schemeClr w14:val="tx1"/>
            </w14:solidFill>
          </w14:textFill>
        </w:rPr>
        <w:t>医疗、教育、就业保障、养老、文化、旅游、体育等重点领域的民生服务应用效果与智慧程度尚处于初级阶段，与社会公众需求仍然存在差距，需加强统筹规划，进行顶层设计，避免无序发展和重复建设，不断提升群众获得感和城市体验感。</w:t>
      </w:r>
    </w:p>
    <w:p>
      <w:pPr>
        <w:spacing w:line="560" w:lineRule="exact"/>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数字产业创新活力亟需提升</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数字产业生态仍有提升空间。</w:t>
      </w:r>
      <w:r>
        <w:rPr>
          <w:rFonts w:hint="eastAsia" w:ascii="仿宋_GB2312" w:hAnsi="仿宋_GB2312" w:eastAsia="仿宋_GB2312" w:cs="仿宋_GB2312"/>
          <w:color w:val="000000" w:themeColor="text1"/>
          <w:kern w:val="0"/>
          <w:sz w:val="32"/>
          <w:szCs w:val="32"/>
          <w14:textFill>
            <w14:solidFill>
              <w14:schemeClr w14:val="tx1"/>
            </w14:solidFill>
          </w14:textFill>
        </w:rPr>
        <w:t>缺乏创新创业服务平台和全生命周期企业服务平台，人才、资本、信息、技术等创新要素活力难以高效流动；政策红利和港澳资源未能得到深入广泛利用，在粤港澳大湾区和先行示范区建设中相关体制机制创新还有待加强。</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部分关键信息技术仍待攻破。</w:t>
      </w:r>
      <w:r>
        <w:rPr>
          <w:rFonts w:hint="eastAsia" w:ascii="仿宋_GB2312" w:hAnsi="仿宋_GB2312" w:eastAsia="仿宋_GB2312" w:cs="仿宋_GB2312"/>
          <w:color w:val="000000" w:themeColor="text1"/>
          <w:kern w:val="0"/>
          <w:sz w:val="32"/>
          <w:szCs w:val="32"/>
          <w14:textFill>
            <w14:solidFill>
              <w14:schemeClr w14:val="tx1"/>
            </w14:solidFill>
          </w14:textFill>
        </w:rPr>
        <w:t>国内经济下行压力加剧，宏观经济运行外部风险增多，新一代信息技术和智能技术产业作为龙华区强项，部分关键核心的新兴产业技术仍然受制于人或未能实现技术突破，解决“卡脖子”问题更加迫切。</w:t>
      </w:r>
    </w:p>
    <w:p>
      <w:pPr>
        <w:spacing w:line="560" w:lineRule="exact"/>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机制体制运行效率亟待提升</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组织管理统筹力度有待加强。</w:t>
      </w:r>
      <w:r>
        <w:rPr>
          <w:rFonts w:hint="eastAsia" w:ascii="仿宋_GB2312" w:hAnsi="仿宋_GB2312" w:eastAsia="仿宋_GB2312" w:cs="仿宋_GB2312"/>
          <w:color w:val="000000" w:themeColor="text1"/>
          <w:kern w:val="0"/>
          <w:sz w:val="32"/>
          <w:szCs w:val="32"/>
          <w14:textFill>
            <w14:solidFill>
              <w14:schemeClr w14:val="tx1"/>
            </w14:solidFill>
          </w14:textFill>
        </w:rPr>
        <w:t>部分政府信息系统建设多从自身职能管理角度出发，统筹力度有待进一步加强；部分部门存在技术主导思维，在充分利用互联网、大数据和信息共享思维对传统管理模式、服务方式和业务流程进行优化创新上有待进一步加强，避免出现业务和技术两张皮现象；信息化队伍规模、能力参差不齐，兼具业务和技术能力的复合型人才短缺，高端数字化人才供需缺口较大，专业化运营能力有待提升。</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标准规范体系仍需完善，编制修订较慢。</w:t>
      </w:r>
      <w:r>
        <w:rPr>
          <w:rFonts w:hint="eastAsia" w:ascii="仿宋_GB2312" w:hAnsi="仿宋_GB2312" w:eastAsia="仿宋_GB2312" w:cs="仿宋_GB2312"/>
          <w:color w:val="000000" w:themeColor="text1"/>
          <w:kern w:val="0"/>
          <w:sz w:val="32"/>
          <w:szCs w:val="32"/>
          <w14:textFill>
            <w14:solidFill>
              <w14:schemeClr w14:val="tx1"/>
            </w14:solidFill>
          </w14:textFill>
        </w:rPr>
        <w:t>在政务服务领域的标准规范存在部分缺失，难以适应社会快速发展需要，与港澳合作还存在一些法律障碍和机制体制突破；标准规范体系性有待完善，一方面，部分单位自行编制，难以协同，另一方面，编制与修订较慢，落后于“智慧龙华”与“数字政府”建设。</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信息及网络空间安全保障亟待完善。</w:t>
      </w:r>
      <w:r>
        <w:rPr>
          <w:rFonts w:hint="eastAsia" w:ascii="仿宋_GB2312" w:hAnsi="仿宋_GB2312" w:eastAsia="仿宋_GB2312" w:cs="仿宋_GB2312"/>
          <w:color w:val="000000" w:themeColor="text1"/>
          <w:kern w:val="0"/>
          <w:sz w:val="32"/>
          <w:szCs w:val="32"/>
          <w14:textFill>
            <w14:solidFill>
              <w14:schemeClr w14:val="tx1"/>
            </w14:solidFill>
          </w14:textFill>
        </w:rPr>
        <w:t>自主可控的关键技术体系有待完善，网络空间的设计规划、制度安排、技术保障有待增强。数据保密性、完整性、安全可用环境不能完全保障，个人隐私问题、关键信息基础设施安全的防护问题日趋凸显，随着公共数据体量的日益增长，数据开放、共享、利用与数据安全之间矛盾日渐突出。</w:t>
      </w:r>
    </w:p>
    <w:p>
      <w:pPr>
        <w:pStyle w:val="4"/>
        <w:spacing w:before="0" w:after="0" w:line="560" w:lineRule="exact"/>
        <w:ind w:firstLine="640" w:firstLineChars="200"/>
        <w:jc w:val="both"/>
        <w:rPr>
          <w:rFonts w:ascii="黑体" w:hAnsi="黑体" w:eastAsia="黑体"/>
          <w:b w:val="0"/>
          <w:color w:val="000000" w:themeColor="text1"/>
          <w14:textFill>
            <w14:solidFill>
              <w14:schemeClr w14:val="tx1"/>
            </w14:solidFill>
          </w14:textFill>
        </w:rPr>
      </w:pPr>
      <w:bookmarkStart w:id="35" w:name="_Toc74067338"/>
      <w:bookmarkStart w:id="36" w:name="_Toc29013"/>
      <w:bookmarkStart w:id="37" w:name="_Toc11652"/>
      <w:bookmarkStart w:id="38" w:name="_Toc9855"/>
      <w:bookmarkStart w:id="39" w:name="_Toc32225"/>
      <w:bookmarkStart w:id="40" w:name="_Toc7064"/>
      <w:bookmarkStart w:id="41" w:name="_Toc54594584"/>
      <w:r>
        <w:rPr>
          <w:rFonts w:hint="eastAsia" w:ascii="黑体" w:hAnsi="黑体" w:eastAsia="黑体"/>
          <w:b w:val="0"/>
          <w:color w:val="000000" w:themeColor="text1"/>
          <w14:textFill>
            <w14:solidFill>
              <w14:schemeClr w14:val="tx1"/>
            </w14:solidFill>
          </w14:textFill>
        </w:rPr>
        <w:t>二、总体思路</w:t>
      </w:r>
      <w:bookmarkEnd w:id="35"/>
      <w:bookmarkEnd w:id="36"/>
      <w:bookmarkEnd w:id="37"/>
      <w:bookmarkEnd w:id="38"/>
      <w:bookmarkEnd w:id="39"/>
      <w:bookmarkEnd w:id="40"/>
      <w:bookmarkEnd w:id="41"/>
    </w:p>
    <w:p>
      <w:pPr>
        <w:pStyle w:val="4"/>
        <w:spacing w:before="0" w:after="0" w:line="560" w:lineRule="exact"/>
        <w:ind w:firstLine="640" w:firstLineChars="200"/>
        <w:jc w:val="both"/>
        <w:rPr>
          <w:rFonts w:ascii="楷体_GB2312" w:hAnsi="楷体" w:eastAsia="楷体_GB2312"/>
          <w:b w:val="0"/>
          <w:color w:val="000000" w:themeColor="text1"/>
          <w:lang w:bidi="ar"/>
          <w14:textFill>
            <w14:solidFill>
              <w14:schemeClr w14:val="tx1"/>
            </w14:solidFill>
          </w14:textFill>
        </w:rPr>
      </w:pPr>
      <w:bookmarkStart w:id="42" w:name="_Toc15782"/>
      <w:bookmarkStart w:id="43" w:name="_Toc49177452"/>
      <w:bookmarkStart w:id="44" w:name="_Toc7607"/>
      <w:bookmarkStart w:id="45" w:name="_Toc50385334"/>
      <w:bookmarkStart w:id="46" w:name="_Toc29443"/>
      <w:bookmarkStart w:id="47" w:name="_Toc2947"/>
      <w:bookmarkStart w:id="48" w:name="_Toc11118"/>
      <w:bookmarkStart w:id="49" w:name="_Toc74067339"/>
      <w:bookmarkStart w:id="50" w:name="_Toc49765144"/>
      <w:bookmarkStart w:id="51" w:name="_Toc35510038"/>
      <w:bookmarkStart w:id="52" w:name="_Toc24582"/>
      <w:bookmarkStart w:id="53" w:name="_Toc54594585"/>
      <w:r>
        <w:rPr>
          <w:rFonts w:hint="eastAsia" w:ascii="楷体_GB2312" w:hAnsi="楷体" w:eastAsia="楷体_GB2312"/>
          <w:b w:val="0"/>
          <w:color w:val="000000" w:themeColor="text1"/>
          <w:lang w:bidi="ar"/>
          <w14:textFill>
            <w14:solidFill>
              <w14:schemeClr w14:val="tx1"/>
            </w14:solidFill>
          </w14:textFill>
        </w:rPr>
        <w:t>（一）指导思想</w:t>
      </w:r>
      <w:bookmarkEnd w:id="42"/>
      <w:bookmarkEnd w:id="43"/>
      <w:bookmarkEnd w:id="44"/>
      <w:bookmarkEnd w:id="45"/>
      <w:bookmarkEnd w:id="46"/>
      <w:bookmarkEnd w:id="47"/>
      <w:bookmarkEnd w:id="48"/>
      <w:bookmarkEnd w:id="49"/>
      <w:bookmarkEnd w:id="50"/>
      <w:bookmarkEnd w:id="51"/>
      <w:bookmarkEnd w:id="52"/>
      <w:bookmarkEnd w:id="53"/>
    </w:p>
    <w:p>
      <w:pPr>
        <w:autoSpaceDE w:val="0"/>
        <w:autoSpaceDN w:val="0"/>
        <w:spacing w:line="560" w:lineRule="exact"/>
        <w:ind w:firstLine="640" w:firstLineChars="200"/>
        <w:jc w:val="both"/>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习近平新时代中国特色社会主义思想为指导，落实《深圳市人民政府关于加快智慧城市和数字政府建设的若干意见》要求，坚持新发展理念，顺应新一轮信息技术和科技革命发展浪潮，聚焦数字政府、智慧社会、数字经济等，更高水平满足人民对美好生活的向往，更高质量助力经济转型创新发展，更高效率提高城市管理和社会治理水平，着力优化体制机制、完善体系架构、加强总体谋划，统筹规划、建设、管理和生产、生活、生态等各方面，聚焦“优政、兴业、惠民”，打开“数字政府”新空间、增强数字经济新动能、拓展智慧生活新内涵，推动城市管理从数字化到智能化再到智慧化，不断推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color w:val="000000" w:themeColor="text1"/>
          <w:kern w:val="0"/>
          <w:sz w:val="32"/>
          <w:szCs w:val="32"/>
          <w14:textFill>
            <w14:solidFill>
              <w14:schemeClr w14:val="tx1"/>
            </w14:solidFill>
          </w14:textFill>
        </w:rPr>
        <w:t>区新型智慧城市和“数字政府”建设走在全市前列，为龙华打造数字经济先行示范区，建设现代化国际化创新型中轴新城提供有力支撑。</w:t>
      </w:r>
    </w:p>
    <w:p>
      <w:pPr>
        <w:pStyle w:val="4"/>
        <w:spacing w:before="0" w:after="0" w:line="560" w:lineRule="exact"/>
        <w:ind w:firstLine="640" w:firstLineChars="200"/>
        <w:jc w:val="both"/>
        <w:rPr>
          <w:rFonts w:ascii="楷体_GB2312" w:hAnsi="楷体" w:eastAsia="楷体_GB2312"/>
          <w:b w:val="0"/>
          <w:color w:val="000000" w:themeColor="text1"/>
          <w:lang w:bidi="ar"/>
          <w14:textFill>
            <w14:solidFill>
              <w14:schemeClr w14:val="tx1"/>
            </w14:solidFill>
          </w14:textFill>
        </w:rPr>
      </w:pPr>
      <w:bookmarkStart w:id="54" w:name="_Toc12450"/>
      <w:bookmarkStart w:id="55" w:name="_Toc35510039"/>
      <w:bookmarkStart w:id="56" w:name="_Toc10138"/>
      <w:bookmarkStart w:id="57" w:name="_Toc30735"/>
      <w:bookmarkStart w:id="58" w:name="_Toc49177453"/>
      <w:bookmarkStart w:id="59" w:name="_Toc50385335"/>
      <w:bookmarkStart w:id="60" w:name="_Toc21034"/>
      <w:bookmarkStart w:id="61" w:name="_Toc74067340"/>
      <w:bookmarkStart w:id="62" w:name="_Toc49765145"/>
      <w:bookmarkStart w:id="63" w:name="_Toc54594586"/>
      <w:bookmarkStart w:id="64" w:name="_Toc15245"/>
      <w:bookmarkStart w:id="65" w:name="_Toc17070"/>
      <w:r>
        <w:rPr>
          <w:rFonts w:hint="eastAsia" w:ascii="楷体_GB2312" w:hAnsi="楷体" w:eastAsia="楷体_GB2312"/>
          <w:b w:val="0"/>
          <w:color w:val="000000" w:themeColor="text1"/>
          <w:lang w:bidi="ar"/>
          <w14:textFill>
            <w14:solidFill>
              <w14:schemeClr w14:val="tx1"/>
            </w14:solidFill>
          </w14:textFill>
        </w:rPr>
        <w:t>（二）</w:t>
      </w:r>
      <w:bookmarkEnd w:id="54"/>
      <w:bookmarkEnd w:id="55"/>
      <w:r>
        <w:rPr>
          <w:rFonts w:hint="eastAsia" w:ascii="楷体_GB2312" w:hAnsi="楷体" w:eastAsia="楷体_GB2312"/>
          <w:b w:val="0"/>
          <w:color w:val="000000" w:themeColor="text1"/>
          <w:lang w:bidi="ar"/>
          <w14:textFill>
            <w14:solidFill>
              <w14:schemeClr w14:val="tx1"/>
            </w14:solidFill>
          </w14:textFill>
        </w:rPr>
        <w:t>基本原则</w:t>
      </w:r>
      <w:bookmarkEnd w:id="56"/>
      <w:bookmarkEnd w:id="57"/>
      <w:bookmarkEnd w:id="58"/>
      <w:bookmarkEnd w:id="59"/>
      <w:bookmarkEnd w:id="60"/>
      <w:bookmarkEnd w:id="61"/>
      <w:bookmarkEnd w:id="62"/>
      <w:bookmarkEnd w:id="63"/>
      <w:bookmarkEnd w:id="64"/>
      <w:bookmarkEnd w:id="65"/>
    </w:p>
    <w:p>
      <w:pPr>
        <w:spacing w:line="560" w:lineRule="exact"/>
        <w:ind w:firstLine="643" w:firstLineChars="200"/>
        <w:jc w:val="both"/>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坚持统筹协调。</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按照全区“一盘棋”的要求，继承“智慧龙华”前期建设成果，坚持“统一网络、统一平台、统一数据、统一运行、统一安全”集约共享原则，统筹兼顾各单位、各领域、各系统建设重点，推动形成结构清晰、体系完备、标准统一、贴近需求、操作性强的“智慧龙华”架构体系，促进系统大集成、数据大融合、业务大协同、社会大合作。</w:t>
      </w:r>
    </w:p>
    <w:p>
      <w:pPr>
        <w:spacing w:line="560" w:lineRule="exact"/>
        <w:ind w:firstLine="643" w:firstLineChars="200"/>
        <w:jc w:val="both"/>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坚持创新引领。</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吸收国内外先进城市的成功经验，凝聚各方智慧和资源，充分发挥大数据智能化在服务创新、治理创新中的重要作用，推动技术创新、管理创新、商业模式创新和投融资机制创新，激发全社会参与“智慧龙华”和“数字政府”积极性。</w:t>
      </w:r>
    </w:p>
    <w:p>
      <w:pPr>
        <w:spacing w:line="560" w:lineRule="exact"/>
        <w:ind w:firstLine="643" w:firstLineChars="200"/>
        <w:jc w:val="both"/>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坚持惠民为本。</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以人民日益增长的美好生活需要为“智慧龙华”和“数字政府”建设的出发点和落脚点，切实解决社会各方最关心最现实的痛点、堵点、难点问题，充分应用大数据智能化手段提供多样化服务，促进城市资源要素的合理流动和优化配置，切实让“智慧龙华”和“数字政府”建设成果惠及全民。</w:t>
      </w:r>
    </w:p>
    <w:p>
      <w:pPr>
        <w:autoSpaceDE w:val="0"/>
        <w:spacing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坚持政企合作。</w:t>
      </w:r>
      <w:r>
        <w:rPr>
          <w:rFonts w:hint="eastAsia" w:ascii="仿宋_GB2312" w:hAnsi="仿宋_GB2312" w:eastAsia="仿宋_GB2312" w:cs="仿宋_GB2312"/>
          <w:color w:val="000000" w:themeColor="text1"/>
          <w:sz w:val="32"/>
          <w:szCs w:val="32"/>
          <w14:textFill>
            <w14:solidFill>
              <w14:schemeClr w14:val="tx1"/>
            </w14:solidFill>
          </w14:textFill>
        </w:rPr>
        <w:t>强化政府主导作用，通过总体设计、统筹规划，实现“智慧龙华”和“数字政府”的有序建设。引入市场机制，多渠道链接整合各类资源，形成未来城市场景试验最大合力，逐步推行市场化运作模式，创新商业模式，构建政府、企业、市民等社会多方共同参与、共建共享的发展格局。</w:t>
      </w:r>
    </w:p>
    <w:p>
      <w:pPr>
        <w:spacing w:line="560" w:lineRule="exact"/>
        <w:ind w:firstLine="643" w:firstLineChars="200"/>
        <w:jc w:val="both"/>
        <w:rPr>
          <w:rFonts w:ascii="仿宋_GB2312" w:hAnsi="仿宋" w:eastAsia="仿宋_GB2312" w:cs="方正仿宋_GBK"/>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坚持安全可控。</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完善网络和信息安全管理，强化要害信息系统和信息基础设施安全保障，加强个人信息保护，确保城市新型信息基础设施和数据资源的自主、安全、可控。健全网络和信息化安全标准体系，形成部门协同、上下联动的安全发展良好格局</w:t>
      </w:r>
      <w:r>
        <w:rPr>
          <w:rFonts w:hint="eastAsia" w:ascii="仿宋_GB2312" w:hAnsi="仿宋" w:eastAsia="仿宋_GB2312" w:cs="方正仿宋_GBK"/>
          <w:snapToGrid w:val="0"/>
          <w:color w:val="000000" w:themeColor="text1"/>
          <w:kern w:val="0"/>
          <w:sz w:val="32"/>
          <w:szCs w:val="32"/>
          <w14:textFill>
            <w14:solidFill>
              <w14:schemeClr w14:val="tx1"/>
            </w14:solidFill>
          </w14:textFill>
        </w:rPr>
        <w:t>。</w:t>
      </w:r>
    </w:p>
    <w:p>
      <w:pPr>
        <w:pStyle w:val="4"/>
        <w:spacing w:before="0" w:after="0" w:line="560" w:lineRule="exact"/>
        <w:ind w:firstLine="640" w:firstLineChars="200"/>
        <w:jc w:val="both"/>
        <w:rPr>
          <w:rFonts w:ascii="楷体_GB2312" w:hAnsi="楷体" w:eastAsia="楷体_GB2312"/>
          <w:b w:val="0"/>
          <w:color w:val="000000" w:themeColor="text1"/>
          <w:lang w:bidi="ar"/>
          <w14:textFill>
            <w14:solidFill>
              <w14:schemeClr w14:val="tx1"/>
            </w14:solidFill>
          </w14:textFill>
        </w:rPr>
      </w:pPr>
      <w:bookmarkStart w:id="66" w:name="_Toc49177454"/>
      <w:bookmarkStart w:id="67" w:name="_Toc74067341"/>
      <w:bookmarkStart w:id="68" w:name="_Toc20785"/>
      <w:bookmarkStart w:id="69" w:name="_Toc10753"/>
      <w:bookmarkStart w:id="70" w:name="_Toc49765146"/>
      <w:bookmarkStart w:id="71" w:name="_Toc27812"/>
      <w:bookmarkStart w:id="72" w:name="_Toc29450"/>
      <w:bookmarkStart w:id="73" w:name="_Toc54594587"/>
      <w:bookmarkStart w:id="74" w:name="_Toc1165"/>
      <w:bookmarkStart w:id="75" w:name="_Toc50385336"/>
      <w:r>
        <w:rPr>
          <w:rFonts w:hint="eastAsia" w:ascii="楷体_GB2312" w:hAnsi="楷体" w:eastAsia="楷体_GB2312"/>
          <w:b w:val="0"/>
          <w:color w:val="000000" w:themeColor="text1"/>
          <w:lang w:bidi="ar"/>
          <w14:textFill>
            <w14:solidFill>
              <w14:schemeClr w14:val="tx1"/>
            </w14:solidFill>
          </w14:textFill>
        </w:rPr>
        <w:t>（三）建设目标</w:t>
      </w:r>
      <w:bookmarkEnd w:id="66"/>
      <w:bookmarkEnd w:id="67"/>
      <w:bookmarkEnd w:id="68"/>
      <w:bookmarkEnd w:id="69"/>
      <w:bookmarkEnd w:id="70"/>
      <w:bookmarkEnd w:id="71"/>
      <w:bookmarkEnd w:id="72"/>
      <w:bookmarkEnd w:id="73"/>
      <w:bookmarkEnd w:id="74"/>
      <w:bookmarkEnd w:id="75"/>
    </w:p>
    <w:p>
      <w:pPr>
        <w:autoSpaceDE w:val="0"/>
        <w:autoSpaceDN w:val="0"/>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坚持以人民为中心，以系统工程的理念，深入推进区数字政府改革建设，不断提高政府工作效率和政务服务效能。以“一网通办”为目标，政府服务由分散向融合转变；以“一网统管”为目标，政府决策由数字向智慧转变；以“一网协同”为目标，政府运行由独立向协同转变。到2025年，数据成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color w:val="000000" w:themeColor="text1"/>
          <w:kern w:val="0"/>
          <w:sz w:val="32"/>
          <w:szCs w:val="32"/>
          <w14:textFill>
            <w14:solidFill>
              <w14:schemeClr w14:val="tx1"/>
            </w14:solidFill>
          </w14:textFill>
        </w:rPr>
        <w:t>区各级政府部门处理复杂治理问题的重要资源，“互联网+”成为创新驱动发展的有效手段，一体化平台成为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color w:val="000000" w:themeColor="text1"/>
          <w:kern w:val="0"/>
          <w:sz w:val="32"/>
          <w:szCs w:val="32"/>
          <w14:textFill>
            <w14:solidFill>
              <w14:schemeClr w14:val="tx1"/>
            </w14:solidFill>
          </w14:textFill>
        </w:rPr>
        <w:t>区各级政府开展数字化转型的主要载体，政府在服务、治理、协调等领域“信息化、智能化、智慧化”履职水平不断提升，数字政府引领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color w:val="000000" w:themeColor="text1"/>
          <w:kern w:val="0"/>
          <w:sz w:val="32"/>
          <w:szCs w:val="32"/>
          <w14:textFill>
            <w14:solidFill>
              <w14:schemeClr w14:val="tx1"/>
            </w14:solidFill>
          </w14:textFill>
        </w:rPr>
        <w:t>区数字经济、智慧社会发展的作用进一步增强，为打造国际一流营商环境、为各级政府治理体系和治理能力现代化提供坚实支撑，为全国数字政府改革建设提供“龙华经验”具体目标：</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政务服务能力走在全市前列。</w:t>
      </w:r>
      <w:r>
        <w:rPr>
          <w:rFonts w:hint="eastAsia" w:ascii="仿宋_GB2312" w:hAnsi="仿宋_GB2312" w:eastAsia="仿宋_GB2312" w:cs="仿宋_GB2312"/>
          <w:bCs/>
          <w:color w:val="000000" w:themeColor="text1"/>
          <w:kern w:val="0"/>
          <w:sz w:val="32"/>
          <w:szCs w:val="32"/>
          <w14:textFill>
            <w14:solidFill>
              <w14:schemeClr w14:val="tx1"/>
            </w14:solidFill>
          </w14:textFill>
        </w:rPr>
        <w:t>从政务服务供给侧</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结构性</w:t>
      </w:r>
      <w:r>
        <w:rPr>
          <w:rFonts w:hint="eastAsia" w:ascii="仿宋_GB2312" w:hAnsi="仿宋_GB2312" w:eastAsia="仿宋_GB2312" w:cs="仿宋_GB2312"/>
          <w:bCs/>
          <w:color w:val="000000" w:themeColor="text1"/>
          <w:kern w:val="0"/>
          <w:sz w:val="32"/>
          <w:szCs w:val="32"/>
          <w14:textFill>
            <w14:solidFill>
              <w14:schemeClr w14:val="tx1"/>
            </w14:solidFill>
          </w14:textFill>
        </w:rPr>
        <w:t>改革出发，运用云计算、大数据、物联网、人工智能等技术，推动政务数据跨地区、跨部门、跨层级互认融通共享，实现各职能部门的各种资源高度整合，为全区“互联网+政务服务”可持续发展提供关键的支撑环境，促使在线办理趋于成熟，服务方式相对完备，服务层级全面覆盖，推动</w:t>
      </w:r>
      <w:r>
        <w:rPr>
          <w:rFonts w:hint="eastAsia" w:ascii="仿宋_GB2312" w:hAnsi="仿宋_GB2312" w:eastAsia="仿宋_GB2312" w:cs="仿宋_GB2312"/>
          <w:color w:val="000000" w:themeColor="text1"/>
          <w:kern w:val="0"/>
          <w:sz w:val="32"/>
          <w:szCs w:val="32"/>
          <w14:textFill>
            <w14:solidFill>
              <w14:schemeClr w14:val="tx1"/>
            </w14:solidFill>
          </w14:textFill>
        </w:rPr>
        <w:t>政务服务从“可办”向“好办”转变。</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营商环境走在全市前列。</w:t>
      </w:r>
      <w:r>
        <w:rPr>
          <w:rFonts w:hint="eastAsia" w:ascii="仿宋_GB2312" w:hAnsi="仿宋_GB2312" w:eastAsia="仿宋_GB2312" w:cs="仿宋_GB2312"/>
          <w:color w:val="000000" w:themeColor="text1"/>
          <w:kern w:val="0"/>
          <w:sz w:val="32"/>
          <w:szCs w:val="32"/>
          <w14:textFill>
            <w14:solidFill>
              <w14:schemeClr w14:val="tx1"/>
            </w14:solidFill>
          </w14:textFill>
        </w:rPr>
        <w:t>对标国内最佳实践，把“数字政府”改革建设作为着力点和突破口，建设全市服务效率高、管理规范、综合成本低的营商环境高地，推动数字经济发展持续“领跑”全市。</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政府治理格局走在全市前列。</w:t>
      </w:r>
      <w:r>
        <w:rPr>
          <w:rFonts w:hint="eastAsia" w:ascii="仿宋_GB2312" w:hAnsi="仿宋_GB2312" w:eastAsia="仿宋_GB2312" w:cs="仿宋_GB2312"/>
          <w:color w:val="000000" w:themeColor="text1"/>
          <w:kern w:val="0"/>
          <w:sz w:val="32"/>
          <w:szCs w:val="32"/>
          <w14:textFill>
            <w14:solidFill>
              <w14:schemeClr w14:val="tx1"/>
            </w14:solidFill>
          </w14:textFill>
        </w:rPr>
        <w:t>以“全周期管理”重塑政府治理格局，推动现代科技与政府治理深度融合，助力完善生态治理、市场治理、社会治理体系，建设全市和谐稳定、公平正义、法治环境好的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城</w:t>
      </w:r>
      <w:r>
        <w:rPr>
          <w:rFonts w:hint="eastAsia" w:ascii="仿宋_GB2312" w:hAnsi="仿宋_GB2312" w:eastAsia="仿宋_GB2312" w:cs="仿宋_GB2312"/>
          <w:color w:val="000000" w:themeColor="text1"/>
          <w:kern w:val="0"/>
          <w:sz w:val="32"/>
          <w:szCs w:val="32"/>
          <w14:textFill>
            <w14:solidFill>
              <w14:schemeClr w14:val="tx1"/>
            </w14:solidFill>
          </w14:textFill>
        </w:rPr>
        <w:t>区之一。</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政府行政效能走在全市前列。</w:t>
      </w:r>
      <w:r>
        <w:rPr>
          <w:rFonts w:hint="eastAsia" w:ascii="仿宋_GB2312" w:hAnsi="仿宋_GB2312" w:eastAsia="仿宋_GB2312" w:cs="仿宋_GB2312"/>
          <w:color w:val="000000" w:themeColor="text1"/>
          <w:kern w:val="0"/>
          <w:sz w:val="32"/>
          <w:szCs w:val="32"/>
          <w14:textFill>
            <w14:solidFill>
              <w14:schemeClr w14:val="tx1"/>
            </w14:solidFill>
          </w14:textFill>
        </w:rPr>
        <w:t>办公移动化、便利化程度不断提升，各级各部门“用数”便利度大幅提升，大数据辅助决策得到广泛应用，基层减负取得明显成效，实现80%政府内部办事不用跑。</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一体化技术架构走在全市前列。</w:t>
      </w:r>
      <w:r>
        <w:rPr>
          <w:rFonts w:hint="eastAsia" w:ascii="仿宋_GB2312" w:hAnsi="仿宋_GB2312" w:eastAsia="仿宋_GB2312" w:cs="仿宋_GB2312"/>
          <w:color w:val="000000" w:themeColor="text1"/>
          <w:kern w:val="0"/>
          <w:sz w:val="32"/>
          <w:szCs w:val="32"/>
          <w14:textFill>
            <w14:solidFill>
              <w14:schemeClr w14:val="tx1"/>
            </w14:solidFill>
          </w14:textFill>
        </w:rPr>
        <w:t>构建集约高效、安全可靠的技术架构，政务云、政务网进一步提质增容，部门非涉密专网实现100%打通，基础设施实现精细化动态管理，数据共享率和鲜活率达到100%，基本建成可信、可靠、可控的信息安全体系，网络与信息安全水平明显提升。</w:t>
      </w:r>
    </w:p>
    <w:p>
      <w:pPr>
        <w:keepNext w:val="0"/>
        <w:keepLines w:val="0"/>
        <w:pageBreakBefore w:val="0"/>
        <w:widowControl w:val="0"/>
        <w:kinsoku/>
        <w:wordWrap/>
        <w:overflowPunct/>
        <w:topLinePunct w:val="0"/>
        <w:autoSpaceDE w:val="0"/>
        <w:autoSpaceDN w:val="0"/>
        <w:bidi w:val="0"/>
        <w:adjustRightInd/>
        <w:snapToGrid/>
        <w:spacing w:after="157" w:afterLines="50" w:line="560" w:lineRule="exact"/>
        <w:ind w:firstLine="643" w:firstLineChars="200"/>
        <w:jc w:val="both"/>
        <w:textAlignment w:val="auto"/>
        <w:rPr>
          <w:rFonts w:hint="eastAsia"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数据要素市场化配置走在全市前列。</w:t>
      </w:r>
      <w:r>
        <w:rPr>
          <w:rFonts w:hint="eastAsia" w:ascii="仿宋_GB2312" w:hAnsi="仿宋_GB2312" w:eastAsia="仿宋_GB2312" w:cs="仿宋_GB2312"/>
          <w:color w:val="000000" w:themeColor="text1"/>
          <w:kern w:val="0"/>
          <w:sz w:val="32"/>
          <w:szCs w:val="32"/>
          <w14:textFill>
            <w14:solidFill>
              <w14:schemeClr w14:val="tx1"/>
            </w14:solidFill>
          </w14:textFill>
        </w:rPr>
        <w:t>数据确权与流通机制基本建成，政府数据资源全面开放，向社会陆续开放数据产品和数据服务，数据交易活跃度和规模全市领先</w:t>
      </w:r>
      <w:r>
        <w:rPr>
          <w:rFonts w:hint="eastAsia" w:ascii="仿宋_GB2312" w:hAnsi="仿宋" w:eastAsia="仿宋_GB2312" w:cs="仿宋_GB2312"/>
          <w:color w:val="000000" w:themeColor="text1"/>
          <w:kern w:val="0"/>
          <w:sz w:val="32"/>
          <w:szCs w:val="32"/>
          <w14:textFill>
            <w14:solidFill>
              <w14:schemeClr w14:val="tx1"/>
            </w14:solidFill>
          </w14:textFill>
        </w:rPr>
        <w:t>。</w:t>
      </w:r>
      <w:bookmarkStart w:id="76" w:name="_Toc49765147"/>
      <w:bookmarkStart w:id="77" w:name="_Toc50385337"/>
      <w:bookmarkStart w:id="78" w:name="_Toc49177455"/>
      <w:bookmarkStart w:id="79" w:name="_Toc54594588"/>
    </w:p>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cs="黑体"/>
          <w:b w:val="0"/>
          <w:bCs w:val="0"/>
          <w:color w:val="auto"/>
          <w:sz w:val="28"/>
          <w:szCs w:val="28"/>
        </w:rPr>
      </w:pPr>
      <w:r>
        <w:rPr>
          <w:rFonts w:hint="eastAsia" w:ascii="黑体" w:hAnsi="黑体" w:eastAsia="黑体" w:cs="黑体"/>
          <w:b w:val="0"/>
          <w:bCs w:val="0"/>
          <w:color w:val="000000" w:themeColor="text1"/>
          <w:sz w:val="28"/>
          <w:szCs w:val="28"/>
          <w14:textFill>
            <w14:solidFill>
              <w14:schemeClr w14:val="tx1"/>
            </w14:solidFill>
          </w14:textFill>
        </w:rPr>
        <w:t>表2</w:t>
      </w:r>
      <w:r>
        <w:rPr>
          <w:rFonts w:hint="eastAsia" w:ascii="黑体" w:hAnsi="黑体" w:eastAsia="黑体" w:cs="黑体"/>
          <w:b w:val="0"/>
          <w:bCs w:val="0"/>
          <w:color w:val="000000" w:themeColor="text1"/>
          <w:sz w:val="28"/>
          <w:szCs w:val="28"/>
          <w:lang w:eastAsia="zh-CN"/>
          <w14:textFill>
            <w14:solidFill>
              <w14:schemeClr w14:val="tx1"/>
            </w14:solidFill>
          </w14:textFill>
        </w:rPr>
        <w:t>：</w:t>
      </w:r>
      <w:r>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t>“智慧龙华”和“数字政府”</w:t>
      </w:r>
      <w:r>
        <w:rPr>
          <w:rFonts w:hint="eastAsia" w:ascii="黑体" w:hAnsi="黑体" w:eastAsia="黑体" w:cs="黑体"/>
          <w:b w:val="0"/>
          <w:bCs w:val="0"/>
          <w:color w:val="000000" w:themeColor="text1"/>
          <w:sz w:val="28"/>
          <w:szCs w:val="28"/>
          <w14:textFill>
            <w14:solidFill>
              <w14:schemeClr w14:val="tx1"/>
            </w14:solidFill>
          </w14:textFill>
        </w:rPr>
        <w:t>第十四个五年规划</w:t>
      </w:r>
      <w:r>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t>主要公共指标</w:t>
      </w:r>
    </w:p>
    <w:tbl>
      <w:tblPr>
        <w:tblStyle w:val="15"/>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61"/>
        <w:gridCol w:w="794"/>
        <w:gridCol w:w="3918"/>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SA"/>
                <w14:textFill>
                  <w14:solidFill>
                    <w14:schemeClr w14:val="tx1"/>
                  </w14:solidFill>
                </w14:textFill>
              </w:rPr>
              <w:t>类别</w:t>
            </w: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SA"/>
                <w14:textFill>
                  <w14:solidFill>
                    <w14:schemeClr w14:val="tx1"/>
                  </w14:solidFill>
                </w14:textFill>
              </w:rPr>
              <w:t>序号</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SA"/>
                <w14:textFill>
                  <w14:solidFill>
                    <w14:schemeClr w14:val="tx1"/>
                  </w14:solidFill>
                </w14:textFill>
              </w:rPr>
              <w:t>主要指标</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SA"/>
                <w14:textFill>
                  <w14:solidFill>
                    <w14:schemeClr w14:val="tx1"/>
                  </w14:solidFill>
                </w14:textFill>
              </w:rPr>
              <w:t>规划值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restart"/>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auto"/>
                <w:kern w:val="0"/>
                <w:sz w:val="24"/>
                <w:szCs w:val="24"/>
                <w:lang w:val="en-US" w:eastAsia="zh-CN" w:bidi="ar-SA"/>
              </w:rPr>
            </w:pPr>
          </w:p>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auto"/>
                <w:kern w:val="0"/>
                <w:sz w:val="24"/>
                <w:szCs w:val="24"/>
                <w:lang w:val="en-US" w:eastAsia="zh-CN" w:bidi="ar-SA"/>
              </w:rPr>
            </w:pPr>
          </w:p>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auto"/>
                <w:kern w:val="0"/>
                <w:sz w:val="24"/>
                <w:szCs w:val="24"/>
                <w:lang w:val="en-US" w:eastAsia="zh-CN" w:bidi="ar-SA"/>
              </w:rPr>
            </w:pPr>
          </w:p>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auto"/>
                <w:kern w:val="0"/>
                <w:sz w:val="24"/>
                <w:szCs w:val="24"/>
                <w:lang w:val="en-US" w:eastAsia="zh-CN" w:bidi="ar-SA"/>
              </w:rPr>
            </w:pPr>
          </w:p>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auto"/>
                <w:kern w:val="0"/>
                <w:sz w:val="24"/>
                <w:szCs w:val="24"/>
                <w:lang w:val="en-US" w:eastAsia="zh-CN" w:bidi="ar-SA"/>
              </w:rPr>
            </w:pPr>
          </w:p>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auto"/>
                <w:kern w:val="0"/>
                <w:sz w:val="24"/>
                <w:szCs w:val="24"/>
                <w:lang w:val="en-US" w:eastAsia="zh-CN" w:bidi="ar-SA"/>
              </w:rPr>
            </w:pPr>
          </w:p>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auto"/>
                <w:kern w:val="0"/>
                <w:sz w:val="24"/>
                <w:szCs w:val="24"/>
                <w:lang w:val="en-US" w:eastAsia="zh-CN" w:bidi="ar-SA"/>
              </w:rPr>
            </w:pPr>
          </w:p>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themeColor="text1"/>
                <w:kern w:val="0"/>
                <w:sz w:val="24"/>
                <w:szCs w:val="24"/>
                <w:lang w:val="en-US" w:eastAsia="zh-CN" w:bidi="ar-SA"/>
                <w14:textFill>
                  <w14:solidFill>
                    <w14:schemeClr w14:val="tx1"/>
                  </w14:solidFill>
                </w14:textFill>
              </w:rPr>
            </w:pPr>
            <w:r>
              <w:rPr>
                <w:rFonts w:hint="eastAsia" w:ascii="黑体" w:hAnsi="黑体" w:eastAsia="黑体" w:cs="黑体"/>
                <w:color w:val="auto"/>
                <w:kern w:val="0"/>
                <w:sz w:val="24"/>
                <w:szCs w:val="24"/>
                <w:lang w:val="en-US" w:eastAsia="zh-CN" w:bidi="ar-SA"/>
              </w:rPr>
              <w:t>数字化履职能力</w:t>
            </w: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 w:eastAsia="仿宋_GB2312" w:cs="仿宋_GB2312"/>
                <w:color w:val="auto"/>
                <w:kern w:val="0"/>
                <w:sz w:val="21"/>
                <w:szCs w:val="21"/>
                <w:lang w:val="en-US" w:eastAsia="zh-CN" w:bidi="ar-SA"/>
              </w:rPr>
              <w:t>“i龙华”用户数（万人）</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 w:eastAsia="仿宋_GB2312" w:cs="仿宋_GB2312"/>
                <w:color w:val="000000" w:themeColor="text1"/>
                <w:kern w:val="0"/>
                <w:sz w:val="24"/>
                <w:szCs w:val="24"/>
                <w:lang w:val="en-US" w:eastAsia="zh-CN" w:bidi="ar-SA"/>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网上办理率（%）</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3</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秒批事项数（个）</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4</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免申即享事项（项）</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5</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深莞跨城办（项）</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6</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零跑动事项覆盖率（%）</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7</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告知承诺制事项（项）</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8</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容缺受理事项（项）</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9</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即来即办事项（项）</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10</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个人事项可指尖办占比（%）</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11</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无感申办（项）</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12</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一件事一次办（项）</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13</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政务1厅访问量（万次）</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14</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事项办理事项时限压缩率（%）</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15</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法人事项可指尖办比例（%）</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16</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一网统管行业覆盖率(%)</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61" w:type="dxa"/>
            <w:vMerge w:val="restart"/>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r>
              <w:rPr>
                <w:rFonts w:hint="eastAsia" w:ascii="黑体" w:hAnsi="黑体" w:eastAsia="黑体" w:cs="黑体"/>
                <w:color w:val="auto"/>
                <w:kern w:val="0"/>
                <w:sz w:val="24"/>
                <w:szCs w:val="24"/>
                <w:lang w:val="en-US" w:eastAsia="zh-CN" w:bidi="ar-SA"/>
              </w:rPr>
              <w:t>数字化支撑能力</w:t>
            </w: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17</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政务云资源算力物理核数（核）</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61" w:type="dxa"/>
            <w:vMerge w:val="continue"/>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000000" w:themeColor="text1"/>
                <w:kern w:val="0"/>
                <w:sz w:val="24"/>
                <w:szCs w:val="24"/>
                <w:lang w:val="en-US" w:eastAsia="zh-CN" w:bidi="ar-SA"/>
                <w14:textFill>
                  <w14:solidFill>
                    <w14:schemeClr w14:val="tx1"/>
                  </w14:solidFill>
                </w14:textFill>
              </w:rPr>
            </w:pPr>
          </w:p>
        </w:tc>
        <w:tc>
          <w:tcPr>
            <w:tcW w:w="794"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18</w:t>
            </w:r>
          </w:p>
        </w:tc>
        <w:tc>
          <w:tcPr>
            <w:tcW w:w="3918"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电子证照调用次数（万次）</w:t>
            </w:r>
          </w:p>
        </w:tc>
        <w:tc>
          <w:tcPr>
            <w:tcW w:w="1433" w:type="dxa"/>
            <w:shd w:val="clear" w:color="auto" w:fill="FFFFFF"/>
            <w:noWrap/>
            <w:vAlign w:val="center"/>
          </w:tcPr>
          <w:p>
            <w:pPr>
              <w:pStyle w:val="11"/>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240</w:t>
            </w:r>
          </w:p>
        </w:tc>
      </w:tr>
    </w:tbl>
    <w:p>
      <w:pPr>
        <w:spacing w:line="560" w:lineRule="exact"/>
        <w:ind w:firstLine="0" w:firstLineChars="0"/>
        <w:jc w:val="center"/>
        <w:rPr>
          <w:rFonts w:hint="eastAsia" w:ascii="黑体" w:hAnsi="黑体" w:eastAsia="黑体" w:cs="黑体"/>
          <w:b w:val="0"/>
          <w:bCs w:val="0"/>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表</w:t>
      </w:r>
      <w:r>
        <w:rPr>
          <w:rFonts w:hint="eastAsia" w:ascii="黑体" w:hAnsi="黑体" w:eastAsia="黑体" w:cs="黑体"/>
          <w:b w:val="0"/>
          <w:bCs w:val="0"/>
          <w:color w:val="000000" w:themeColor="text1"/>
          <w:sz w:val="28"/>
          <w:szCs w:val="28"/>
          <w:lang w:val="en-US" w:eastAsia="zh-CN"/>
          <w14:textFill>
            <w14:solidFill>
              <w14:schemeClr w14:val="tx1"/>
            </w14:solidFill>
          </w14:textFill>
        </w:rPr>
        <w:t>3</w:t>
      </w:r>
      <w:r>
        <w:rPr>
          <w:rFonts w:hint="eastAsia" w:ascii="黑体" w:hAnsi="黑体" w:eastAsia="黑体" w:cs="黑体"/>
          <w:b w:val="0"/>
          <w:bCs w:val="0"/>
          <w:color w:val="000000" w:themeColor="text1"/>
          <w:sz w:val="28"/>
          <w:szCs w:val="28"/>
          <w:lang w:eastAsia="zh-CN"/>
          <w14:textFill>
            <w14:solidFill>
              <w14:schemeClr w14:val="tx1"/>
            </w14:solidFill>
          </w14:textFill>
        </w:rPr>
        <w:t>：</w:t>
      </w:r>
      <w:r>
        <w:rPr>
          <w:rFonts w:hint="eastAsia" w:ascii="黑体" w:hAnsi="黑体" w:eastAsia="黑体" w:cs="黑体"/>
          <w:b w:val="0"/>
          <w:bCs w:val="0"/>
          <w:color w:val="000000" w:themeColor="text1"/>
          <w:sz w:val="28"/>
          <w:szCs w:val="28"/>
          <w14:textFill>
            <w14:solidFill>
              <w14:schemeClr w14:val="tx1"/>
            </w14:solidFill>
          </w14:textFill>
        </w:rPr>
        <w:t>“智慧龙华”和“数字政府”第十四个五年规划重大项目指标</w:t>
      </w:r>
    </w:p>
    <w:tbl>
      <w:tblPr>
        <w:tblStyle w:val="16"/>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2"/>
        <w:gridCol w:w="3380"/>
        <w:gridCol w:w="129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领域</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项目名称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完成时间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auto"/>
                <w:kern w:val="0"/>
                <w:sz w:val="24"/>
                <w:szCs w:val="24"/>
                <w:lang w:val="en-US" w:eastAsia="zh-CN" w:bidi="ar-SA"/>
              </w:rPr>
              <w:t>基础设施</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龙华区网络扩容升级项目</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2022年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auto"/>
                <w:kern w:val="0"/>
                <w:sz w:val="24"/>
                <w:szCs w:val="24"/>
                <w:lang w:val="en-US" w:eastAsia="zh-CN" w:bidi="ar-SA"/>
              </w:rPr>
              <w:t>基础平台</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w:t>
            </w:r>
          </w:p>
        </w:tc>
        <w:tc>
          <w:tcPr>
            <w:tcW w:w="33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龙华区智慧全栈云平台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2022年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3</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龙华区经济大数据综合平台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2022年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4</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深圳北站片区数字孪生城市平台系统项目</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2023年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auto"/>
                <w:kern w:val="0"/>
                <w:sz w:val="24"/>
                <w:szCs w:val="24"/>
                <w:lang w:val="en-US" w:eastAsia="zh-CN" w:bidi="ar-SA"/>
              </w:rPr>
              <w:t>支撑平台</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5</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政务网区块链底层技术平台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2025年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auto"/>
                <w:kern w:val="0"/>
                <w:sz w:val="24"/>
                <w:szCs w:val="24"/>
                <w:lang w:val="en-US" w:eastAsia="zh-CN" w:bidi="ar-SA"/>
              </w:rPr>
              <w:t>智慧中台</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6</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智能运算能力平台建设</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2021年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auto"/>
                <w:kern w:val="0"/>
                <w:sz w:val="24"/>
                <w:szCs w:val="24"/>
                <w:lang w:val="en-US" w:eastAsia="zh-CN" w:bidi="ar-SA"/>
              </w:rPr>
              <w:t>智慧应用</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7</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智慧住建综合管理平台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2023年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8</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应急指挥中心</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2025年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14:textFill>
                  <w14:solidFill>
                    <w14:schemeClr w14:val="tx1"/>
                  </w14:solidFill>
                </w14:textFill>
              </w:rPr>
            </w:pP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9</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龙华区第三代半导体产业园区基础设施改造提升项目（信息化部分）</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2021年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10</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智慧环水综合系统</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2023年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11</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智慧医疗“114”工程-区域智慧医院国家4级水平建设项目</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2022年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12</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智慧医疗“114”工程-电子病历区块链认证系统</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2024年</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仿宋_GB2312"/>
                <w:color w:val="auto"/>
                <w:kern w:val="0"/>
                <w:sz w:val="21"/>
                <w:szCs w:val="21"/>
                <w:lang w:val="en-US" w:eastAsia="zh-CN" w:bidi="ar-SA"/>
              </w:rPr>
            </w:pPr>
            <w:r>
              <w:rPr>
                <w:rFonts w:hint="eastAsia" w:ascii="仿宋_GB2312" w:hAnsi="仿宋" w:eastAsia="仿宋_GB2312" w:cs="仿宋_GB2312"/>
                <w:color w:val="auto"/>
                <w:kern w:val="0"/>
                <w:sz w:val="21"/>
                <w:szCs w:val="21"/>
                <w:lang w:val="en-US" w:eastAsia="zh-CN" w:bidi="ar-SA"/>
              </w:rPr>
              <w:t>预期性</w:t>
            </w:r>
          </w:p>
        </w:tc>
      </w:tr>
      <w:bookmarkEnd w:id="76"/>
      <w:bookmarkEnd w:id="77"/>
      <w:bookmarkEnd w:id="78"/>
      <w:bookmarkEnd w:id="79"/>
    </w:tbl>
    <w:p>
      <w:pPr>
        <w:pStyle w:val="4"/>
        <w:keepNext/>
        <w:keepLines/>
        <w:pageBreakBefore w:val="0"/>
        <w:widowControl w:val="0"/>
        <w:kinsoku/>
        <w:wordWrap/>
        <w:overflowPunct/>
        <w:topLinePunct w:val="0"/>
        <w:autoSpaceDE/>
        <w:autoSpaceDN/>
        <w:bidi w:val="0"/>
        <w:adjustRightInd/>
        <w:snapToGrid/>
        <w:spacing w:before="157" w:beforeLines="50" w:after="0" w:line="500" w:lineRule="exact"/>
        <w:ind w:firstLine="640" w:firstLineChars="200"/>
        <w:textAlignment w:val="auto"/>
        <w:rPr>
          <w:rFonts w:ascii="楷体_GB2312" w:hAnsi="楷体" w:eastAsia="楷体_GB2312"/>
          <w:b w:val="0"/>
          <w:color w:val="000000" w:themeColor="text1"/>
          <w:lang w:bidi="ar"/>
          <w14:textFill>
            <w14:solidFill>
              <w14:schemeClr w14:val="tx1"/>
            </w14:solidFill>
          </w14:textFill>
        </w:rPr>
      </w:pPr>
      <w:bookmarkStart w:id="80" w:name="_Toc74067342"/>
      <w:bookmarkStart w:id="81" w:name="_Toc32494"/>
      <w:bookmarkStart w:id="82" w:name="_Toc19421"/>
      <w:bookmarkStart w:id="83" w:name="_Toc21592"/>
      <w:bookmarkStart w:id="84" w:name="_Toc1543"/>
      <w:bookmarkStart w:id="85" w:name="_Toc15985"/>
      <w:r>
        <w:rPr>
          <w:rFonts w:hint="eastAsia" w:ascii="楷体_GB2312" w:hAnsi="楷体" w:eastAsia="楷体_GB2312"/>
          <w:b w:val="0"/>
          <w:color w:val="000000" w:themeColor="text1"/>
          <w:lang w:bidi="ar"/>
          <w14:textFill>
            <w14:solidFill>
              <w14:schemeClr w14:val="tx1"/>
            </w14:solidFill>
          </w14:textFill>
        </w:rPr>
        <w:t>（四）框架体系</w:t>
      </w:r>
      <w:bookmarkEnd w:id="80"/>
      <w:bookmarkEnd w:id="81"/>
      <w:bookmarkEnd w:id="82"/>
      <w:bookmarkEnd w:id="83"/>
      <w:bookmarkEnd w:id="84"/>
      <w:bookmarkEnd w:id="85"/>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智慧龙华”项目建设采用向下联结城市泛在的智能终端，中间利用横向融合云、人工智能、大数据、视频、融合通信，时空地理信息、物联网等新一代信息技术的统一应用支撑平台，向上提供统一服务，支撑“智慧+”应用的总体架构。总体框架如下所示：</w:t>
      </w:r>
    </w:p>
    <w:p>
      <w:pPr>
        <w:spacing w:line="560" w:lineRule="exact"/>
        <w:ind w:firstLine="0" w:firstLineChars="0"/>
        <w:jc w:val="center"/>
        <w:rPr>
          <w:rFonts w:hint="eastAsia" w:ascii="仿宋_GB2312" w:hAnsi="仿宋" w:eastAsia="仿宋_GB2312"/>
          <w:b/>
          <w:bCs/>
          <w:color w:val="auto"/>
          <w:sz w:val="28"/>
          <w:szCs w:val="28"/>
        </w:rPr>
      </w:pPr>
    </w:p>
    <w:p>
      <w:pPr>
        <w:spacing w:line="560" w:lineRule="exact"/>
        <w:ind w:firstLine="0" w:firstLineChars="0"/>
        <w:jc w:val="center"/>
        <w:rPr>
          <w:rFonts w:hint="eastAsia" w:ascii="仿宋_GB2312" w:hAnsi="仿宋" w:eastAsia="仿宋_GB2312"/>
          <w:b/>
          <w:bCs/>
          <w:color w:val="auto"/>
          <w:sz w:val="28"/>
          <w:szCs w:val="28"/>
        </w:rPr>
      </w:pPr>
    </w:p>
    <w:p>
      <w:pPr>
        <w:spacing w:line="560" w:lineRule="exact"/>
        <w:ind w:firstLine="0" w:firstLineChars="0"/>
        <w:jc w:val="center"/>
        <w:rPr>
          <w:rFonts w:hint="eastAsia" w:ascii="黑体" w:hAnsi="黑体" w:eastAsia="黑体" w:cs="黑体"/>
          <w:b w:val="0"/>
          <w:bCs w:val="0"/>
          <w:color w:val="auto"/>
          <w:sz w:val="30"/>
          <w:szCs w:val="30"/>
        </w:rPr>
      </w:pPr>
      <w:r>
        <w:rPr>
          <w:color w:val="auto"/>
        </w:rPr>
        <w:drawing>
          <wp:anchor distT="0" distB="0" distL="0" distR="0" simplePos="0" relativeHeight="251660288" behindDoc="0" locked="0" layoutInCell="1" allowOverlap="1">
            <wp:simplePos x="0" y="0"/>
            <wp:positionH relativeFrom="column">
              <wp:posOffset>191135</wp:posOffset>
            </wp:positionH>
            <wp:positionV relativeFrom="paragraph">
              <wp:posOffset>1905</wp:posOffset>
            </wp:positionV>
            <wp:extent cx="4828540" cy="3836035"/>
            <wp:effectExtent l="0" t="0" r="10160" b="1206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828540" cy="3836035"/>
                    </a:xfrm>
                    <a:prstGeom prst="rect">
                      <a:avLst/>
                    </a:prstGeom>
                  </pic:spPr>
                </pic:pic>
              </a:graphicData>
            </a:graphic>
          </wp:anchor>
        </w:drawing>
      </w:r>
    </w:p>
    <w:p>
      <w:pPr>
        <w:spacing w:line="560" w:lineRule="exact"/>
        <w:ind w:firstLine="0" w:firstLineChars="0"/>
        <w:jc w:val="center"/>
        <w:rPr>
          <w:rFonts w:hint="eastAsia" w:ascii="黑体" w:hAnsi="黑体" w:eastAsia="黑体" w:cs="黑体"/>
          <w:b w:val="0"/>
          <w:bCs w:val="0"/>
          <w:color w:val="auto"/>
          <w:sz w:val="30"/>
          <w:szCs w:val="30"/>
        </w:rPr>
      </w:pPr>
    </w:p>
    <w:p>
      <w:pPr>
        <w:spacing w:line="560" w:lineRule="exact"/>
        <w:ind w:firstLine="0" w:firstLineChars="0"/>
        <w:jc w:val="center"/>
        <w:rPr>
          <w:rFonts w:hint="eastAsia" w:ascii="黑体" w:hAnsi="黑体" w:eastAsia="黑体" w:cs="黑体"/>
          <w:b w:val="0"/>
          <w:bCs w:val="0"/>
          <w:color w:val="auto"/>
          <w:sz w:val="30"/>
          <w:szCs w:val="30"/>
        </w:rPr>
      </w:pPr>
    </w:p>
    <w:p>
      <w:pPr>
        <w:spacing w:line="560" w:lineRule="exact"/>
        <w:ind w:firstLine="0" w:firstLineChars="0"/>
        <w:jc w:val="center"/>
        <w:rPr>
          <w:rFonts w:hint="eastAsia" w:ascii="黑体" w:hAnsi="黑体" w:eastAsia="黑体" w:cs="黑体"/>
          <w:b w:val="0"/>
          <w:bCs w:val="0"/>
          <w:color w:val="auto"/>
          <w:sz w:val="30"/>
          <w:szCs w:val="30"/>
        </w:rPr>
      </w:pPr>
    </w:p>
    <w:p>
      <w:pPr>
        <w:spacing w:line="560" w:lineRule="exact"/>
        <w:ind w:firstLine="0" w:firstLineChars="0"/>
        <w:jc w:val="center"/>
        <w:rPr>
          <w:rFonts w:hint="eastAsia" w:ascii="黑体" w:hAnsi="黑体" w:eastAsia="黑体" w:cs="黑体"/>
          <w:b w:val="0"/>
          <w:bCs w:val="0"/>
          <w:color w:val="auto"/>
          <w:sz w:val="30"/>
          <w:szCs w:val="30"/>
        </w:rPr>
      </w:pPr>
    </w:p>
    <w:p>
      <w:pPr>
        <w:spacing w:line="560" w:lineRule="exact"/>
        <w:ind w:firstLine="0" w:firstLineChars="0"/>
        <w:jc w:val="center"/>
        <w:rPr>
          <w:rFonts w:hint="eastAsia" w:ascii="黑体" w:hAnsi="黑体" w:eastAsia="黑体" w:cs="黑体"/>
          <w:b w:val="0"/>
          <w:bCs w:val="0"/>
          <w:color w:val="auto"/>
          <w:sz w:val="30"/>
          <w:szCs w:val="30"/>
        </w:rPr>
      </w:pPr>
    </w:p>
    <w:p>
      <w:pPr>
        <w:spacing w:line="560" w:lineRule="exact"/>
        <w:ind w:firstLine="0" w:firstLineChars="0"/>
        <w:jc w:val="center"/>
        <w:rPr>
          <w:rFonts w:hint="eastAsia" w:ascii="黑体" w:hAnsi="黑体" w:eastAsia="黑体" w:cs="黑体"/>
          <w:b w:val="0"/>
          <w:bCs w:val="0"/>
          <w:color w:val="auto"/>
          <w:sz w:val="30"/>
          <w:szCs w:val="30"/>
        </w:rPr>
      </w:pPr>
    </w:p>
    <w:p>
      <w:pPr>
        <w:spacing w:line="560" w:lineRule="exact"/>
        <w:ind w:firstLine="0" w:firstLineChars="0"/>
        <w:jc w:val="center"/>
        <w:rPr>
          <w:rFonts w:hint="eastAsia" w:ascii="黑体" w:hAnsi="黑体" w:eastAsia="黑体" w:cs="黑体"/>
          <w:b w:val="0"/>
          <w:bCs w:val="0"/>
          <w:color w:val="auto"/>
          <w:sz w:val="30"/>
          <w:szCs w:val="30"/>
        </w:rPr>
      </w:pPr>
    </w:p>
    <w:p>
      <w:pPr>
        <w:spacing w:line="560" w:lineRule="exact"/>
        <w:ind w:firstLine="0" w:firstLineChars="0"/>
        <w:jc w:val="center"/>
        <w:rPr>
          <w:rFonts w:hint="eastAsia" w:ascii="黑体" w:hAnsi="黑体" w:eastAsia="黑体" w:cs="黑体"/>
          <w:b w:val="0"/>
          <w:bCs w:val="0"/>
          <w:color w:val="auto"/>
          <w:sz w:val="30"/>
          <w:szCs w:val="30"/>
        </w:rPr>
      </w:pPr>
    </w:p>
    <w:p>
      <w:pPr>
        <w:spacing w:line="560" w:lineRule="exact"/>
        <w:ind w:firstLine="0" w:firstLineChars="0"/>
        <w:jc w:val="center"/>
        <w:rPr>
          <w:rFonts w:hint="eastAsia" w:ascii="黑体" w:hAnsi="黑体" w:eastAsia="黑体" w:cs="黑体"/>
          <w:b w:val="0"/>
          <w:bCs w:val="0"/>
          <w:color w:val="auto"/>
          <w:sz w:val="30"/>
          <w:szCs w:val="30"/>
        </w:rPr>
      </w:pPr>
    </w:p>
    <w:p>
      <w:pPr>
        <w:spacing w:line="560" w:lineRule="exact"/>
        <w:ind w:firstLine="0" w:firstLineChars="0"/>
        <w:jc w:val="center"/>
        <w:rPr>
          <w:rFonts w:hint="eastAsia" w:ascii="黑体" w:hAnsi="黑体" w:eastAsia="黑体" w:cs="黑体"/>
          <w:b w:val="0"/>
          <w:bCs w:val="0"/>
          <w:color w:val="auto"/>
          <w:sz w:val="30"/>
          <w:szCs w:val="30"/>
        </w:rPr>
      </w:pPr>
    </w:p>
    <w:p>
      <w:pPr>
        <w:spacing w:line="460" w:lineRule="exact"/>
        <w:ind w:firstLine="0" w:firstLineChars="0"/>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图2</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rPr>
        <w:t>“智慧龙华”总体框架</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left"/>
        <w:textAlignment w:val="auto"/>
        <w:rPr>
          <w:rFonts w:ascii="仿宋_GB2312" w:hAnsi="仿宋" w:eastAsia="仿宋_GB2312" w:cs="方正仿宋_GBK"/>
          <w:snapToGrid w:val="0"/>
          <w:color w:val="000000" w:themeColor="text1"/>
          <w:kern w:val="0"/>
          <w:sz w:val="28"/>
          <w:szCs w:val="28"/>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“十四五”时期的“智慧龙华”建设将依托“数字深圳”成果，坚持“大平台、厚服务、强应用”的理念，通过对平台或系统的微服务重构，以满足更多的业务需求，具体技术框架如下：</w:t>
      </w:r>
    </w:p>
    <w:p>
      <w:pPr>
        <w:spacing w:line="460" w:lineRule="exact"/>
        <w:ind w:firstLine="0" w:firstLineChars="0"/>
        <w:jc w:val="center"/>
        <w:rPr>
          <w:rFonts w:hint="eastAsia" w:ascii="黑体" w:hAnsi="黑体" w:eastAsia="黑体" w:cs="黑体"/>
          <w:b w:val="0"/>
          <w:bCs w:val="0"/>
          <w:color w:val="auto"/>
          <w:sz w:val="28"/>
          <w:szCs w:val="28"/>
        </w:rPr>
      </w:pPr>
      <w:r>
        <w:rPr>
          <w:rFonts w:hint="eastAsia" w:ascii="仿宋_GB2312" w:hAnsi="仿宋" w:eastAsia="仿宋_GB2312" w:cs="方正仿宋_GBK"/>
          <w:color w:val="000000" w:themeColor="text1"/>
          <w:kern w:val="0"/>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margin">
              <wp:posOffset>422275</wp:posOffset>
            </wp:positionH>
            <wp:positionV relativeFrom="paragraph">
              <wp:posOffset>55245</wp:posOffset>
            </wp:positionV>
            <wp:extent cx="4614545" cy="2598420"/>
            <wp:effectExtent l="0" t="0" r="0" b="1143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extLst>
                        <a:ext uri="{28A0092B-C50C-407E-A947-70E740481C1C}">
                          <a14:useLocalDpi xmlns:a14="http://schemas.microsoft.com/office/drawing/2010/main" val="0"/>
                        </a:ext>
                      </a:extLst>
                    </a:blip>
                    <a:srcRect l="-1" r="-1567" b="11105"/>
                    <a:stretch>
                      <a:fillRect/>
                    </a:stretch>
                  </pic:blipFill>
                  <pic:spPr>
                    <a:xfrm>
                      <a:off x="0" y="0"/>
                      <a:ext cx="4614545" cy="2598420"/>
                    </a:xfrm>
                    <a:prstGeom prst="rect">
                      <a:avLst/>
                    </a:prstGeom>
                    <a:ln>
                      <a:noFill/>
                    </a:ln>
                  </pic:spPr>
                </pic:pic>
              </a:graphicData>
            </a:graphic>
          </wp:anchor>
        </w:drawing>
      </w:r>
      <w:r>
        <w:rPr>
          <w:rFonts w:hint="eastAsia" w:ascii="黑体" w:hAnsi="黑体" w:eastAsia="黑体" w:cs="黑体"/>
          <w:b w:val="0"/>
          <w:bCs w:val="0"/>
          <w:color w:val="auto"/>
          <w:sz w:val="28"/>
          <w:szCs w:val="28"/>
        </w:rPr>
        <w:t>图3</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rPr>
        <w:t>“智慧龙华”技术框架</w:t>
      </w:r>
    </w:p>
    <w:p>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I</w:t>
      </w:r>
      <w:r>
        <w:rPr>
          <w:rFonts w:ascii="仿宋_GB2312" w:hAnsi="仿宋" w:eastAsia="仿宋_GB2312"/>
          <w:b/>
          <w:bCs/>
          <w:color w:val="000000" w:themeColor="text1"/>
          <w:sz w:val="32"/>
          <w:szCs w:val="32"/>
          <w14:textFill>
            <w14:solidFill>
              <w14:schemeClr w14:val="tx1"/>
            </w14:solidFill>
          </w14:textFill>
        </w:rPr>
        <w:t>AA</w:t>
      </w:r>
      <w:r>
        <w:rPr>
          <w:rFonts w:hint="eastAsia" w:ascii="仿宋_GB2312" w:hAnsi="仿宋" w:eastAsia="仿宋_GB2312"/>
          <w:b/>
          <w:bCs/>
          <w:color w:val="000000" w:themeColor="text1"/>
          <w:sz w:val="32"/>
          <w:szCs w:val="32"/>
          <w14:textFill>
            <w14:solidFill>
              <w14:schemeClr w14:val="tx1"/>
            </w14:solidFill>
          </w14:textFill>
        </w:rPr>
        <w:t>S层：</w:t>
      </w:r>
      <w:r>
        <w:rPr>
          <w:rFonts w:hint="eastAsia" w:ascii="仿宋_GB2312" w:hAnsi="仿宋" w:eastAsia="仿宋_GB2312"/>
          <w:color w:val="000000" w:themeColor="text1"/>
          <w:sz w:val="32"/>
          <w:szCs w:val="32"/>
          <w14:textFill>
            <w14:solidFill>
              <w14:schemeClr w14:val="tx1"/>
            </w14:solidFill>
          </w14:textFill>
        </w:rPr>
        <w:t>包括前端感知层、网络层和运行资源三个组成部分，端即城市感知层，通过物联设备、监控探头、移动终端对城市运行状态进行实时监测。网络互联属于城市建设基础设施层，主要包括政务网、物联网、互联网和行业专网。运行资源由政务云、卫健云、公安云等服务平台构成。</w:t>
      </w:r>
    </w:p>
    <w:p>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P</w:t>
      </w:r>
      <w:r>
        <w:rPr>
          <w:rFonts w:ascii="仿宋_GB2312" w:hAnsi="仿宋" w:eastAsia="仿宋_GB2312"/>
          <w:b/>
          <w:bCs/>
          <w:color w:val="000000" w:themeColor="text1"/>
          <w:sz w:val="32"/>
          <w:szCs w:val="32"/>
          <w14:textFill>
            <w14:solidFill>
              <w14:schemeClr w14:val="tx1"/>
            </w14:solidFill>
          </w14:textFill>
        </w:rPr>
        <w:t>AA</w:t>
      </w:r>
      <w:r>
        <w:rPr>
          <w:rFonts w:hint="eastAsia" w:ascii="仿宋_GB2312" w:hAnsi="仿宋" w:eastAsia="仿宋_GB2312"/>
          <w:b/>
          <w:bCs/>
          <w:color w:val="000000" w:themeColor="text1"/>
          <w:sz w:val="32"/>
          <w:szCs w:val="32"/>
          <w14:textFill>
            <w14:solidFill>
              <w14:schemeClr w14:val="tx1"/>
            </w14:solidFill>
          </w14:textFill>
        </w:rPr>
        <w:t>S层：</w:t>
      </w:r>
      <w:r>
        <w:rPr>
          <w:rFonts w:hint="eastAsia" w:ascii="仿宋_GB2312" w:hAnsi="仿宋" w:eastAsia="仿宋_GB2312"/>
          <w:color w:val="000000" w:themeColor="text1"/>
          <w:sz w:val="32"/>
          <w:szCs w:val="32"/>
          <w14:textFill>
            <w14:solidFill>
              <w14:schemeClr w14:val="tx1"/>
            </w14:solidFill>
          </w14:textFill>
        </w:rPr>
        <w:t>包括业务中台、智能中台和数据中台，业务中台集成了常用政务服务功能，包括业务预约、电子证照、电子印章、文件流转、任务派单和排班签到等；数据中台包括四大主题库和12大专题库等数据库，同时支持数据交换、数据模型等功能；智能中台包括一系列常用人工智能算法和应用，包括人员识别、车辆识别、隐患识别、违规识别、证件识别和语义分析等。P</w:t>
      </w:r>
      <w:r>
        <w:rPr>
          <w:rFonts w:ascii="仿宋_GB2312" w:hAnsi="仿宋" w:eastAsia="仿宋_GB2312"/>
          <w:color w:val="000000" w:themeColor="text1"/>
          <w:sz w:val="32"/>
          <w:szCs w:val="32"/>
          <w14:textFill>
            <w14:solidFill>
              <w14:schemeClr w14:val="tx1"/>
            </w14:solidFill>
          </w14:textFill>
        </w:rPr>
        <w:t>AA</w:t>
      </w:r>
      <w:r>
        <w:rPr>
          <w:rFonts w:hint="eastAsia" w:ascii="仿宋_GB2312" w:hAnsi="仿宋" w:eastAsia="仿宋_GB2312"/>
          <w:color w:val="000000" w:themeColor="text1"/>
          <w:sz w:val="32"/>
          <w:szCs w:val="32"/>
          <w14:textFill>
            <w14:solidFill>
              <w14:schemeClr w14:val="tx1"/>
            </w14:solidFill>
          </w14:textFill>
        </w:rPr>
        <w:t>S层里同时包含物联感知、视频共享、人工智能、GIS、BIM、大数据、区块链等技术服务能力和分布式数据库、分布式消息、分布式缓存等中间件，与业务中台、数据中台和智能中台的功能一起由统一应用支撑平台进行服务发布和接口管理，为各种智慧应用提供平台支持。统一应用支撑平台藉由打破各能力平台、云、链、网络边界，连接平台底层能力和上层应用。通过在部门/街道（园区）建立数据湖子节点的方式，基于区政务数据大脑与部门/街道（园区）的数据交互，打通全流程业务流和数据流，实现跨部门、跨区域的数据共享共用。</w:t>
      </w:r>
    </w:p>
    <w:p>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S</w:t>
      </w:r>
      <w:r>
        <w:rPr>
          <w:rFonts w:ascii="仿宋_GB2312" w:hAnsi="仿宋" w:eastAsia="仿宋_GB2312"/>
          <w:b/>
          <w:bCs/>
          <w:color w:val="000000" w:themeColor="text1"/>
          <w:sz w:val="32"/>
          <w:szCs w:val="32"/>
          <w14:textFill>
            <w14:solidFill>
              <w14:schemeClr w14:val="tx1"/>
            </w14:solidFill>
          </w14:textFill>
        </w:rPr>
        <w:t>AA</w:t>
      </w:r>
      <w:r>
        <w:rPr>
          <w:rFonts w:hint="eastAsia" w:ascii="仿宋_GB2312" w:hAnsi="仿宋" w:eastAsia="仿宋_GB2312"/>
          <w:b/>
          <w:bCs/>
          <w:color w:val="000000" w:themeColor="text1"/>
          <w:sz w:val="32"/>
          <w:szCs w:val="32"/>
          <w14:textFill>
            <w14:solidFill>
              <w14:schemeClr w14:val="tx1"/>
            </w14:solidFill>
          </w14:textFill>
        </w:rPr>
        <w:t>S层：</w:t>
      </w:r>
      <w:r>
        <w:rPr>
          <w:rFonts w:hint="eastAsia" w:ascii="仿宋_GB2312" w:hAnsi="仿宋" w:eastAsia="仿宋_GB2312"/>
          <w:color w:val="000000" w:themeColor="text1"/>
          <w:sz w:val="32"/>
          <w:szCs w:val="32"/>
          <w14:textFill>
            <w14:solidFill>
              <w14:schemeClr w14:val="tx1"/>
            </w14:solidFill>
          </w14:textFill>
        </w:rPr>
        <w:t>以统一应用支撑平台为基础，涵盖全方面“智慧龙华”应用建设，在</w:t>
      </w:r>
      <w:r>
        <w:rPr>
          <w:rFonts w:hint="eastAsia" w:ascii="仿宋_GB2312" w:hAnsi="仿宋" w:eastAsia="仿宋_GB2312" w:cs="Times New Roman"/>
          <w:snapToGrid w:val="0"/>
          <w:color w:val="000000" w:themeColor="text1"/>
          <w:kern w:val="0"/>
          <w:sz w:val="32"/>
          <w:szCs w:val="32"/>
          <w14:textFill>
            <w14:solidFill>
              <w14:schemeClr w14:val="tx1"/>
            </w14:solidFill>
          </w14:textFill>
        </w:rPr>
        <w:t>政务服务、城市运行、产业发展、生态环保和民生保障</w:t>
      </w:r>
      <w:r>
        <w:rPr>
          <w:rFonts w:hint="eastAsia" w:ascii="仿宋_GB2312" w:hAnsi="仿宋" w:eastAsia="仿宋_GB2312" w:cs="方正仿宋_GBK"/>
          <w:snapToGrid w:val="0"/>
          <w:color w:val="000000" w:themeColor="text1"/>
          <w:kern w:val="0"/>
          <w:sz w:val="32"/>
          <w:szCs w:val="32"/>
          <w14:textFill>
            <w14:solidFill>
              <w14:schemeClr w14:val="tx1"/>
            </w14:solidFill>
          </w14:textFill>
        </w:rPr>
        <w:t>五大应用领域</w:t>
      </w:r>
      <w:r>
        <w:rPr>
          <w:rFonts w:hint="eastAsia" w:ascii="仿宋_GB2312" w:hAnsi="仿宋" w:eastAsia="仿宋_GB2312"/>
          <w:color w:val="000000" w:themeColor="text1"/>
          <w:sz w:val="32"/>
          <w:szCs w:val="32"/>
          <w14:textFill>
            <w14:solidFill>
              <w14:schemeClr w14:val="tx1"/>
            </w14:solidFill>
          </w14:textFill>
        </w:rPr>
        <w:t>开展“智慧+”应用，包括党建引领基层治理、应急指挥中心、运营管理中心等综合应用以及智慧交通、平安城市、智慧政务、智慧生态、智慧教育、智慧医疗、智慧社区、智慧城管、智能应急等专业应用，籍此打造一个绿色、文明、有序、高效、智慧的新型服务型政府。在打通多部门数据流和业务流的基础上深化“智慧龙华”运营管理中心，与街道（园区）子中心和部门子中心实现业务协同，实现跨部门跨领域跨区域的城市运行态势监测、决策支持、日常事件管理和应急联动指挥调度。</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最终，通过PC端综合办公、移动政务终端、“1+6+N”指挥体系和i龙华向用户提供服务，以实现在不同场景、对不同用户提供灵活便捷的接入方式。PC端综合办公和移动政务终端分别用于PC端和移动端的日常办公；“1+6+N”指挥体系主要用于事件联动指挥、综合决策等；</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i龙华</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是集手机APP、微信公众号和小程序于一体的社会公共服务平台，提供利企惠民的服务，提供随时随地的业务信息查看。</w:t>
      </w:r>
    </w:p>
    <w:p>
      <w:pPr>
        <w:widowControl/>
        <w:spacing w:line="560" w:lineRule="exact"/>
        <w:ind w:firstLine="640" w:firstLineChars="200"/>
        <w:jc w:val="both"/>
        <w:rPr>
          <w:rFonts w:ascii="仿宋_GB2312" w:hAnsi="黑体" w:eastAsia="仿宋_GB2312" w:cstheme="majorBidi"/>
          <w:bCs/>
          <w:color w:val="000000" w:themeColor="text1"/>
          <w:sz w:val="32"/>
          <w:szCs w:val="32"/>
          <w14:textFill>
            <w14:solidFill>
              <w14:schemeClr w14:val="tx1"/>
            </w14:solidFill>
          </w14:textFill>
        </w:rPr>
      </w:pPr>
      <w:r>
        <w:rPr>
          <w:rFonts w:hint="eastAsia" w:ascii="仿宋_GB2312" w:hAnsi="仿宋" w:eastAsia="仿宋_GB2312" w:cs="方正仿宋_GBK"/>
          <w:snapToGrid w:val="0"/>
          <w:color w:val="000000" w:themeColor="text1"/>
          <w:kern w:val="0"/>
          <w:sz w:val="32"/>
          <w:szCs w:val="32"/>
          <w14:textFill>
            <w14:solidFill>
              <w14:schemeClr w14:val="tx1"/>
            </w14:solidFill>
          </w14:textFill>
        </w:rPr>
        <w:t>利用新一代信息基础设施体系、标准评估体系和网络安全体系，支撑“智慧龙华”和“数字政府”高效有序的建设运行。新一代信息基础设施体系包括全域覆盖的感知识别设施、高速泛在的网络传输设施和先进集约的计算存储设施，以区块链、人工智能、工业互联网、物联网和5G等新型基础设施为重点，夯实“智慧龙华”和“数字政府”建设基础。标准评估体系包括覆盖“智慧龙华”和“数字政府”建设各领域的标准规范和评价指标，保证“智慧龙华”和“数字政府”各系统之间的互联、互通和互操作，促进“智慧龙华”和“数字政府”高效推进。网络安全体系与智能化应用同步规划、建设和运行，全方位开展网络安全技术防护、网络安全态势感知和数据资源安全防护，为“智慧龙华”和“数字政府”建设运行保驾护航。</w:t>
      </w:r>
    </w:p>
    <w:p>
      <w:pPr>
        <w:pStyle w:val="4"/>
        <w:spacing w:before="0" w:after="0" w:line="560" w:lineRule="exact"/>
        <w:ind w:firstLine="640" w:firstLineChars="200"/>
        <w:jc w:val="both"/>
        <w:rPr>
          <w:rFonts w:ascii="黑体" w:hAnsi="黑体" w:eastAsia="黑体"/>
          <w:b w:val="0"/>
          <w:color w:val="000000" w:themeColor="text1"/>
          <w14:textFill>
            <w14:solidFill>
              <w14:schemeClr w14:val="tx1"/>
            </w14:solidFill>
          </w14:textFill>
        </w:rPr>
      </w:pPr>
      <w:bookmarkStart w:id="86" w:name="_Toc74067343"/>
      <w:bookmarkStart w:id="87" w:name="_Toc19028"/>
      <w:bookmarkStart w:id="88" w:name="_Toc9187"/>
      <w:bookmarkStart w:id="89" w:name="_Toc13680"/>
      <w:bookmarkStart w:id="90" w:name="_Toc27633"/>
      <w:bookmarkStart w:id="91" w:name="_Toc3466"/>
      <w:r>
        <w:rPr>
          <w:rFonts w:hint="eastAsia" w:ascii="黑体" w:hAnsi="黑体" w:eastAsia="黑体"/>
          <w:b w:val="0"/>
          <w:color w:val="000000" w:themeColor="text1"/>
          <w14:textFill>
            <w14:solidFill>
              <w14:schemeClr w14:val="tx1"/>
            </w14:solidFill>
          </w14:textFill>
        </w:rPr>
        <w:t>三、打造数字政府“一网通办”，彰显惠民利企新形象</w:t>
      </w:r>
      <w:bookmarkEnd w:id="86"/>
      <w:bookmarkEnd w:id="87"/>
      <w:bookmarkEnd w:id="88"/>
      <w:bookmarkEnd w:id="89"/>
      <w:bookmarkEnd w:id="90"/>
      <w:bookmarkEnd w:id="91"/>
    </w:p>
    <w:p>
      <w:pPr>
        <w:pStyle w:val="4"/>
        <w:spacing w:before="0" w:after="0" w:line="560" w:lineRule="exact"/>
        <w:ind w:firstLine="640" w:firstLineChars="200"/>
        <w:jc w:val="both"/>
        <w:rPr>
          <w:rFonts w:ascii="楷体_GB2312" w:hAnsi="楷体" w:eastAsia="楷体_GB2312"/>
          <w:b w:val="0"/>
          <w:snapToGrid w:val="0"/>
          <w:color w:val="000000" w:themeColor="text1"/>
          <w14:textFill>
            <w14:solidFill>
              <w14:schemeClr w14:val="tx1"/>
            </w14:solidFill>
          </w14:textFill>
        </w:rPr>
      </w:pPr>
      <w:bookmarkStart w:id="92" w:name="_Toc21038"/>
      <w:bookmarkStart w:id="93" w:name="_Toc31406"/>
      <w:bookmarkStart w:id="94" w:name="_Toc74067344"/>
      <w:bookmarkStart w:id="95" w:name="_Toc5231"/>
      <w:bookmarkStart w:id="96" w:name="_Toc29936"/>
      <w:bookmarkStart w:id="97" w:name="_Toc20819"/>
      <w:r>
        <w:rPr>
          <w:rFonts w:hint="eastAsia" w:ascii="楷体_GB2312" w:hAnsi="楷体" w:eastAsia="楷体_GB2312"/>
          <w:b w:val="0"/>
          <w:snapToGrid w:val="0"/>
          <w:color w:val="000000" w:themeColor="text1"/>
          <w14:textFill>
            <w14:solidFill>
              <w14:schemeClr w14:val="tx1"/>
            </w14:solidFill>
          </w14:textFill>
        </w:rPr>
        <w:t>（一）提供优质便捷的政务服务</w:t>
      </w:r>
      <w:bookmarkEnd w:id="92"/>
      <w:bookmarkEnd w:id="93"/>
      <w:bookmarkEnd w:id="94"/>
      <w:bookmarkEnd w:id="95"/>
      <w:bookmarkEnd w:id="96"/>
      <w:bookmarkEnd w:id="97"/>
    </w:p>
    <w:p>
      <w:pPr>
        <w:spacing w:line="560" w:lineRule="exact"/>
        <w:ind w:firstLine="640" w:firstLineChars="200"/>
        <w:jc w:val="both"/>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全面深化“放管服”改革，推动全链条优化审批、全过程公正监管、全周期提升服务，建设更高质量“互联网+政务服务”，实现100%政务服务事项“全程网办”，加快推进“数字化”政务服务，促进政务数据互联互通，加大力度融入新一代信息技术，推动“互联网+政务”走进“智慧政务”新时代，真正让政务服务在“互联网+”的引领下变得更聪明、更智慧。</w:t>
      </w:r>
    </w:p>
    <w:p>
      <w:pPr>
        <w:pStyle w:val="5"/>
        <w:spacing w:before="0" w:after="0" w:line="560" w:lineRule="exact"/>
        <w:ind w:firstLine="643" w:firstLineChars="200"/>
        <w:jc w:val="both"/>
        <w:rPr>
          <w:rFonts w:hint="eastAsia" w:ascii="仿宋_GB2312" w:hAnsi="仿宋_GB2312" w:eastAsia="仿宋_GB2312" w:cs="仿宋_GB2312"/>
          <w:b/>
          <w:bCs/>
          <w:snapToGrid w:val="0"/>
          <w:color w:val="000000" w:themeColor="text1"/>
          <w14:textFill>
            <w14:solidFill>
              <w14:schemeClr w14:val="tx1"/>
            </w14:solidFill>
          </w14:textFill>
        </w:rPr>
      </w:pPr>
      <w:bookmarkStart w:id="98" w:name="_Toc7717"/>
      <w:bookmarkStart w:id="99" w:name="_Toc161"/>
      <w:bookmarkStart w:id="100" w:name="_Toc20109"/>
      <w:bookmarkStart w:id="101" w:name="_Toc7570"/>
      <w:bookmarkStart w:id="102" w:name="_Toc31957"/>
      <w:bookmarkStart w:id="103" w:name="_Toc74067345"/>
      <w:r>
        <w:rPr>
          <w:rFonts w:hint="eastAsia" w:ascii="仿宋_GB2312" w:hAnsi="仿宋_GB2312" w:eastAsia="仿宋_GB2312" w:cs="仿宋_GB2312"/>
          <w:b/>
          <w:bCs/>
          <w:snapToGrid w:val="0"/>
          <w:color w:val="000000" w:themeColor="text1"/>
          <w14:textFill>
            <w14:solidFill>
              <w14:schemeClr w14:val="tx1"/>
            </w14:solidFill>
          </w14:textFill>
        </w:rPr>
        <w:t>1.</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以“渠道多元”再提升服务触达能力</w:t>
      </w:r>
      <w:bookmarkEnd w:id="98"/>
      <w:bookmarkEnd w:id="99"/>
      <w:bookmarkEnd w:id="100"/>
      <w:bookmarkEnd w:id="101"/>
      <w:bookmarkEnd w:id="102"/>
      <w:bookmarkEnd w:id="103"/>
    </w:p>
    <w:p>
      <w:pPr>
        <w:spacing w:line="560" w:lineRule="exact"/>
        <w:ind w:firstLine="640" w:firstLineChars="200"/>
        <w:jc w:val="both"/>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color w:val="auto"/>
          <w:sz w:val="32"/>
          <w:szCs w:val="32"/>
        </w:rPr>
        <w:t>深化政务服务事项标准化，提升办事指南规范性和精准度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napToGrid w:val="0"/>
          <w:color w:val="auto"/>
          <w:kern w:val="0"/>
          <w:sz w:val="32"/>
          <w:szCs w:val="32"/>
        </w:rPr>
        <w:t>依</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托一体化在线政务服务平台，按照“渠道多元、内容同源、服务开源”的原则，加快构建以线上办理为主渠道，实体服务大厅和自助服务终端为基础，其他渠道为补充的线上线下深度融合的一体化综合服务体系。进一步拓展政务服务平台应用，提升服务事项覆盖范围，完善服务功能，实现高频民生事项和涉企事项“指尖办”“刷脸办”“一码办”。提升全区政务服务网支撑能力，加强与上级一体化政务服务平台对接，全面实现“一网通办”。加强各级政务服务大厅标准化建设，打造“全科无差别受理”“一站式”服务大厅。统筹推进全区政务服务一体机应用推广，推动三级党群服务中心自助便民终端铺设全覆盖，实现政务服务向基层延伸。</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104" w:name="_Toc4252"/>
      <w:bookmarkStart w:id="105" w:name="_Toc12687"/>
      <w:bookmarkStart w:id="106" w:name="_Toc74067346"/>
      <w:bookmarkStart w:id="107" w:name="_Toc624"/>
      <w:bookmarkStart w:id="108" w:name="_Toc449"/>
      <w:bookmarkStart w:id="109" w:name="_Toc29995"/>
      <w:r>
        <w:rPr>
          <w:rFonts w:hint="eastAsia" w:ascii="仿宋_GB2312" w:hAnsi="仿宋_GB2312" w:eastAsia="仿宋_GB2312" w:cs="仿宋_GB2312"/>
          <w:b/>
          <w:bCs/>
          <w:snapToGrid w:val="0"/>
          <w:color w:val="000000" w:themeColor="text1"/>
          <w14:textFill>
            <w14:solidFill>
              <w14:schemeClr w14:val="tx1"/>
            </w14:solidFill>
          </w14:textFill>
        </w:rPr>
        <w:t>2.</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以“三个通办”再创新服务供给</w:t>
      </w:r>
      <w:bookmarkEnd w:id="104"/>
      <w:bookmarkEnd w:id="105"/>
      <w:bookmarkEnd w:id="106"/>
      <w:bookmarkEnd w:id="107"/>
      <w:bookmarkEnd w:id="108"/>
      <w:bookmarkEnd w:id="109"/>
    </w:p>
    <w:p>
      <w:pPr>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深化政务服务“全区通办”，建立全区各级间协作机制，推动实现政务服务线上线下融合互通、无差别协同办理。推进政务服务“湾区通办”，充分运用信息技术手段优化再造业务流程、强化业务协同，推进政务数据集合共享，梳理完善通办清单，统一业务规则和标准，通过设立线下专窗、线上专栏的方式，不断提升企业群众异地办事便利度。在全国高频政务服务“跨城通办”事项清单基础上，结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区实际情况，聚焦企业群众关切的异地办理事项，不断拓展“跨城通办”范围和深度。深化政银合作、政邮合作</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、政医合作</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机制，推动政务服务向市民群众家门口延伸。</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110" w:name="_Toc6044"/>
      <w:bookmarkStart w:id="111" w:name="_Toc74067347"/>
      <w:bookmarkStart w:id="112" w:name="_Toc228"/>
      <w:bookmarkStart w:id="113" w:name="_Toc27148"/>
      <w:bookmarkStart w:id="114" w:name="_Toc29306"/>
      <w:bookmarkStart w:id="115" w:name="_Toc30231"/>
      <w:r>
        <w:rPr>
          <w:rFonts w:hint="eastAsia" w:ascii="仿宋_GB2312" w:hAnsi="仿宋_GB2312" w:eastAsia="仿宋_GB2312" w:cs="仿宋_GB2312"/>
          <w:b/>
          <w:bCs/>
          <w:snapToGrid w:val="0"/>
          <w:color w:val="000000" w:themeColor="text1"/>
          <w14:textFill>
            <w14:solidFill>
              <w14:schemeClr w14:val="tx1"/>
            </w14:solidFill>
          </w14:textFill>
        </w:rPr>
        <w:t>3.</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以“一件事”再造业务运行流程</w:t>
      </w:r>
      <w:bookmarkEnd w:id="110"/>
      <w:bookmarkEnd w:id="111"/>
      <w:bookmarkEnd w:id="112"/>
      <w:bookmarkEnd w:id="113"/>
      <w:bookmarkEnd w:id="114"/>
      <w:bookmarkEnd w:id="115"/>
    </w:p>
    <w:p>
      <w:pPr>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认真贯彻落实党中央、国务院关于深化“放管服”改革的决策部署，积极探索政务事项集成服务改革，围绕企业发展周期和市民生活工作等多个高频“单项事”，对部门的政务服务事项进行优化，将其整合成企业和群众视角的“一件事”，通过优化审批机制、再造业务流程、强化数据共享等措施，打造跨业务、跨部门、跨平台、跨层级、跨地域的整体服务，对“一件事”实行一体化办理，实现公众侧“一件事一次办”、政府侧“一件事协同办”</w:t>
      </w:r>
      <w:r>
        <w:rPr>
          <w:rFonts w:hint="eastAsia" w:ascii="仿宋_GB2312" w:hAnsi="仿宋_GB2312" w:eastAsia="仿宋_GB2312" w:cs="仿宋_GB2312"/>
          <w:snapToGrid w:val="0"/>
          <w:color w:val="auto"/>
          <w:kern w:val="0"/>
          <w:sz w:val="32"/>
          <w:szCs w:val="32"/>
          <w:lang w:eastAsia="zh-CN"/>
        </w:rPr>
        <w:t>。</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116" w:name="_Toc9971"/>
      <w:bookmarkStart w:id="117" w:name="_Toc6664"/>
      <w:bookmarkStart w:id="118" w:name="_Toc18565"/>
      <w:bookmarkStart w:id="119" w:name="_Toc16644"/>
      <w:bookmarkStart w:id="120" w:name="_Toc6421"/>
      <w:bookmarkStart w:id="121" w:name="_Toc74067348"/>
      <w:r>
        <w:rPr>
          <w:rFonts w:hint="eastAsia" w:ascii="仿宋_GB2312" w:hAnsi="仿宋_GB2312" w:eastAsia="仿宋_GB2312" w:cs="仿宋_GB2312"/>
          <w:b/>
          <w:bCs/>
          <w:snapToGrid w:val="0"/>
          <w:color w:val="000000" w:themeColor="text1"/>
          <w14:textFill>
            <w14:solidFill>
              <w14:schemeClr w14:val="tx1"/>
            </w14:solidFill>
          </w14:textFill>
        </w:rPr>
        <w:t>4.</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以“四免”优化再提升审批效率</w:t>
      </w:r>
      <w:bookmarkEnd w:id="116"/>
      <w:bookmarkEnd w:id="117"/>
      <w:bookmarkEnd w:id="118"/>
      <w:bookmarkEnd w:id="119"/>
      <w:bookmarkEnd w:id="120"/>
      <w:bookmarkEnd w:id="121"/>
    </w:p>
    <w:p>
      <w:pPr>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推进政务服务“四免”优化工作，梳理政务服务“四免”优化事项，推动电子证照、数据共享、电子印章、电子签名等“应用尽用”，逐步实现政府部门核发的材料原则上免提交、政府部门形成的业务表单数据原则上免填写，可用电子印章的免用实物印章，可用电子签名的免用手写签名，实现更多事项全程网办。探索无人工干预自动智能审批，依托全区一体化政务大数据中心，推广“秒批”经验，充分利用人工智能技术，明确审批规则，推出与群众企业密切相关的高频“秒批智办”政务服务事项，全面提升审批效率。</w:t>
      </w:r>
    </w:p>
    <w:p>
      <w:pPr>
        <w:pStyle w:val="5"/>
        <w:spacing w:before="0" w:after="0" w:line="560" w:lineRule="exact"/>
        <w:ind w:firstLine="643" w:firstLineChars="200"/>
        <w:jc w:val="both"/>
        <w:rPr>
          <w:rFonts w:hint="eastAsia" w:ascii="仿宋_GB2312" w:hAnsi="仿宋_GB2312" w:eastAsia="仿宋_GB2312" w:cs="仿宋_GB2312"/>
          <w:b/>
          <w:bCs/>
          <w:snapToGrid w:val="0"/>
          <w:color w:val="000000" w:themeColor="text1"/>
          <w14:textFill>
            <w14:solidFill>
              <w14:schemeClr w14:val="tx1"/>
            </w14:solidFill>
          </w14:textFill>
        </w:rPr>
      </w:pPr>
      <w:bookmarkStart w:id="122" w:name="_Toc5012"/>
      <w:bookmarkStart w:id="123" w:name="_Toc22840"/>
      <w:bookmarkStart w:id="124" w:name="_Toc7099"/>
      <w:bookmarkStart w:id="125" w:name="_Toc3487"/>
      <w:bookmarkStart w:id="126" w:name="_Toc21949"/>
      <w:bookmarkStart w:id="127" w:name="_Toc74067349"/>
      <w:r>
        <w:rPr>
          <w:rFonts w:hint="eastAsia" w:ascii="仿宋_GB2312" w:hAnsi="仿宋_GB2312" w:eastAsia="仿宋_GB2312" w:cs="仿宋_GB2312"/>
          <w:b/>
          <w:bCs/>
          <w:snapToGrid w:val="0"/>
          <w:color w:val="000000" w:themeColor="text1"/>
          <w14:textFill>
            <w14:solidFill>
              <w14:schemeClr w14:val="tx1"/>
            </w14:solidFill>
          </w14:textFill>
        </w:rPr>
        <w:t>5.</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以“好差评”再提升服务品质</w:t>
      </w:r>
      <w:bookmarkEnd w:id="122"/>
      <w:bookmarkEnd w:id="123"/>
      <w:bookmarkEnd w:id="124"/>
      <w:bookmarkEnd w:id="125"/>
      <w:bookmarkEnd w:id="126"/>
      <w:bookmarkEnd w:id="127"/>
    </w:p>
    <w:p>
      <w:pPr>
        <w:spacing w:line="560" w:lineRule="exact"/>
        <w:ind w:firstLine="640" w:firstLineChars="200"/>
        <w:jc w:val="both"/>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持续推进政务服务“好差评”工作，完善好差评制度建设，简化评价流程，提高群众评价积极性。加强对评价数据的综合分析，主动识别、精确化解堵点、难点问题。完善全区政务服务监管平台，逐步接入各级政务服务大厅，与效能监督系统、“好差评”系统、咨询投诉平台等系统深入融合，实现全区线上线下政务服务精细化监管。建立健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区数字政府改革建设第三方评估机制，强化政务服务经验复制推广，推动全区政务服务质量持续提升。</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ascii="楷体_GB2312" w:hAnsi="楷体" w:eastAsia="楷体_GB2312"/>
          <w:b w:val="0"/>
          <w:bCs w:val="0"/>
          <w:color w:val="000000" w:themeColor="text1"/>
          <w14:textFill>
            <w14:solidFill>
              <w14:schemeClr w14:val="tx1"/>
            </w14:solidFill>
          </w14:textFill>
        </w:rPr>
      </w:pPr>
      <w:bookmarkStart w:id="128" w:name="_Toc23047"/>
      <w:bookmarkStart w:id="129" w:name="_Toc2359"/>
      <w:bookmarkStart w:id="130" w:name="_Toc8631"/>
      <w:bookmarkStart w:id="131" w:name="_Toc74067350"/>
      <w:bookmarkStart w:id="132" w:name="_Toc29516"/>
      <w:bookmarkStart w:id="133" w:name="_Toc12088"/>
      <w:r>
        <w:rPr>
          <w:rFonts w:hint="eastAsia" w:ascii="楷体_GB2312" w:hAnsi="楷体" w:eastAsia="楷体_GB2312"/>
          <w:b w:val="0"/>
          <w:bCs w:val="0"/>
          <w:color w:val="000000" w:themeColor="text1"/>
          <w14:textFill>
            <w14:solidFill>
              <w14:schemeClr w14:val="tx1"/>
            </w14:solidFill>
          </w14:textFill>
        </w:rPr>
        <w:t>（二）营造开放一流的营商环境</w:t>
      </w:r>
      <w:bookmarkEnd w:id="128"/>
      <w:bookmarkEnd w:id="129"/>
      <w:bookmarkEnd w:id="130"/>
      <w:bookmarkEnd w:id="131"/>
      <w:bookmarkEnd w:id="132"/>
      <w:bookmarkEnd w:id="133"/>
    </w:p>
    <w:p>
      <w:pPr>
        <w:spacing w:line="560" w:lineRule="exact"/>
        <w:ind w:firstLine="640" w:firstLineChars="200"/>
        <w:jc w:val="both"/>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深化营商环境综合改革行动，围绕企业全生命周期提供智能化精准服务，增强发展环境的吸引力和竞争力，推动营商环境改革走在全市前列，助力打造市场化、法治化、国际化的一流营商环境。</w:t>
      </w:r>
    </w:p>
    <w:p>
      <w:pPr>
        <w:pStyle w:val="5"/>
        <w:spacing w:before="0" w:after="0" w:line="560" w:lineRule="exact"/>
        <w:ind w:firstLine="643" w:firstLineChars="200"/>
        <w:jc w:val="both"/>
        <w:rPr>
          <w:rFonts w:hint="eastAsia" w:ascii="仿宋_GB2312" w:hAnsi="仿宋_GB2312" w:eastAsia="仿宋_GB2312" w:cs="仿宋_GB2312"/>
          <w:b/>
          <w:bCs/>
          <w:snapToGrid w:val="0"/>
          <w:color w:val="000000" w:themeColor="text1"/>
          <w14:textFill>
            <w14:solidFill>
              <w14:schemeClr w14:val="tx1"/>
            </w14:solidFill>
          </w14:textFill>
        </w:rPr>
      </w:pPr>
      <w:bookmarkStart w:id="134" w:name="_Toc21523"/>
      <w:bookmarkStart w:id="135" w:name="_Toc159"/>
      <w:bookmarkStart w:id="136" w:name="_Toc3447"/>
      <w:bookmarkStart w:id="137" w:name="_Toc22279"/>
      <w:bookmarkStart w:id="138" w:name="_Toc283"/>
      <w:bookmarkStart w:id="139" w:name="_Toc74067351"/>
      <w:r>
        <w:rPr>
          <w:rFonts w:hint="eastAsia" w:ascii="仿宋_GB2312" w:hAnsi="仿宋_GB2312" w:eastAsia="仿宋_GB2312" w:cs="仿宋_GB2312"/>
          <w:b/>
          <w:bCs/>
          <w:snapToGrid w:val="0"/>
          <w:color w:val="000000" w:themeColor="text1"/>
          <w14:textFill>
            <w14:solidFill>
              <w14:schemeClr w14:val="tx1"/>
            </w14:solidFill>
          </w14:textFill>
        </w:rPr>
        <w:t>1.</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探索推动政务服务“免申即享”改革</w:t>
      </w:r>
      <w:bookmarkEnd w:id="134"/>
      <w:bookmarkEnd w:id="135"/>
      <w:bookmarkEnd w:id="136"/>
      <w:bookmarkEnd w:id="137"/>
      <w:bookmarkEnd w:id="138"/>
      <w:bookmarkEnd w:id="139"/>
    </w:p>
    <w:p>
      <w:pPr>
        <w:spacing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bookmarkStart w:id="140" w:name="_Hlk51428966"/>
      <w:r>
        <w:rPr>
          <w:rFonts w:hint="eastAsia" w:ascii="仿宋_GB2312" w:hAnsi="仿宋_GB2312" w:eastAsia="仿宋_GB2312" w:cs="仿宋_GB2312"/>
          <w:color w:val="000000" w:themeColor="text1"/>
          <w:sz w:val="32"/>
          <w:szCs w:val="32"/>
          <w14:textFill>
            <w14:solidFill>
              <w14:schemeClr w14:val="tx1"/>
            </w14:solidFill>
          </w14:textFill>
        </w:rPr>
        <w:t>以温暖企业、服务群众为出发点，探索推进惠企利民事项“免申即享”改革，提升政务服务主动、精准、智能化水平。按照“资助范围明确、审核标准清晰、比对数据齐全”的原则，明确“免申即享”事项的发放条件和适用场景，优化政府部门“主动服务”审批流程，规范政策兑现发放程序和监管方式。通过数据共享、部门联审、大数据比对等方式，让符合政策条件的企业和个人，不用跑腿免提交材料，即可享受相关政策资助，实现“政策找人”，政府“送政策上门”。</w:t>
      </w:r>
    </w:p>
    <w:bookmarkEnd w:id="140"/>
    <w:p>
      <w:pPr>
        <w:pStyle w:val="5"/>
        <w:spacing w:before="0" w:after="0" w:line="560" w:lineRule="exact"/>
        <w:ind w:firstLine="643" w:firstLineChars="200"/>
        <w:jc w:val="both"/>
        <w:rPr>
          <w:rFonts w:hint="eastAsia" w:ascii="仿宋_GB2312" w:hAnsi="仿宋_GB2312" w:eastAsia="仿宋_GB2312" w:cs="仿宋_GB2312"/>
          <w:b/>
          <w:bCs/>
          <w:snapToGrid w:val="0"/>
          <w:color w:val="000000" w:themeColor="text1"/>
          <w14:textFill>
            <w14:solidFill>
              <w14:schemeClr w14:val="tx1"/>
            </w14:solidFill>
          </w14:textFill>
        </w:rPr>
      </w:pPr>
      <w:bookmarkStart w:id="141" w:name="_Toc16034"/>
      <w:bookmarkStart w:id="142" w:name="_Toc8103"/>
      <w:bookmarkStart w:id="143" w:name="_Toc4421"/>
      <w:bookmarkStart w:id="144" w:name="_Toc74067352"/>
      <w:bookmarkStart w:id="145" w:name="_Toc32120"/>
      <w:bookmarkStart w:id="146" w:name="_Toc15166"/>
      <w:r>
        <w:rPr>
          <w:rFonts w:hint="eastAsia" w:ascii="仿宋_GB2312" w:hAnsi="仿宋_GB2312" w:eastAsia="仿宋_GB2312" w:cs="仿宋_GB2312"/>
          <w:b/>
          <w:bCs/>
          <w:snapToGrid w:val="0"/>
          <w:color w:val="000000" w:themeColor="text1"/>
          <w14:textFill>
            <w14:solidFill>
              <w14:schemeClr w14:val="tx1"/>
            </w14:solidFill>
          </w14:textFill>
        </w:rPr>
        <w:t>2.</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推动企业融资便利化水平</w:t>
      </w:r>
      <w:bookmarkEnd w:id="141"/>
      <w:bookmarkEnd w:id="142"/>
      <w:bookmarkEnd w:id="143"/>
      <w:bookmarkEnd w:id="144"/>
      <w:bookmarkEnd w:id="145"/>
      <w:bookmarkEnd w:id="146"/>
    </w:p>
    <w:p>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整合完善金融资源，为不同成长阶段的企业提供多元融资服务，解决中小微企业融资贷款难问题。加强银行与保险公司沟通合作，做好系统对接和业务数据信息共享，推动保险公司提供灵活的银行小微企业贷款保证保险产品。加大涉企征信数据、金融资源、惠企政策和涉企服务等资源整合力度，畅通企业征信信息查询机制，助力金融机构快速研判企业信用风险，便利企业更高效、更低成本融资。</w:t>
      </w:r>
    </w:p>
    <w:p>
      <w:pPr>
        <w:pStyle w:val="5"/>
        <w:spacing w:before="0" w:after="0" w:line="560" w:lineRule="exact"/>
        <w:ind w:firstLine="643" w:firstLineChars="200"/>
        <w:jc w:val="both"/>
        <w:rPr>
          <w:rFonts w:hint="eastAsia" w:ascii="仿宋_GB2312" w:hAnsi="仿宋_GB2312" w:eastAsia="仿宋_GB2312" w:cs="仿宋_GB2312"/>
          <w:b/>
          <w:bCs/>
          <w:snapToGrid w:val="0"/>
          <w:color w:val="000000" w:themeColor="text1"/>
          <w14:textFill>
            <w14:solidFill>
              <w14:schemeClr w14:val="tx1"/>
            </w14:solidFill>
          </w14:textFill>
        </w:rPr>
      </w:pPr>
      <w:bookmarkStart w:id="147" w:name="_Toc20726"/>
      <w:bookmarkStart w:id="148" w:name="_Toc8755"/>
      <w:bookmarkStart w:id="149" w:name="_Toc14275"/>
      <w:bookmarkStart w:id="150" w:name="_Toc18525"/>
      <w:bookmarkStart w:id="151" w:name="_Toc16990"/>
      <w:bookmarkStart w:id="152" w:name="_Toc18315"/>
      <w:r>
        <w:rPr>
          <w:rFonts w:hint="eastAsia" w:ascii="仿宋_GB2312" w:hAnsi="仿宋_GB2312" w:eastAsia="仿宋_GB2312" w:cs="仿宋_GB2312"/>
          <w:b/>
          <w:bCs/>
          <w:snapToGrid w:val="0"/>
          <w:color w:val="000000" w:themeColor="text1"/>
          <w14:textFill>
            <w14:solidFill>
              <w14:schemeClr w14:val="tx1"/>
            </w14:solidFill>
          </w14:textFill>
        </w:rPr>
        <w:t>3.</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提升政府网站国际化服务能力</w:t>
      </w:r>
      <w:bookmarkEnd w:id="147"/>
      <w:bookmarkEnd w:id="148"/>
      <w:bookmarkEnd w:id="149"/>
      <w:bookmarkEnd w:id="150"/>
      <w:bookmarkEnd w:id="151"/>
      <w:bookmarkEnd w:id="152"/>
    </w:p>
    <w:p>
      <w:pPr>
        <w:numPr>
          <w:ilvl w:val="255"/>
          <w:numId w:val="0"/>
        </w:numPr>
        <w:spacing w:line="56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充分发挥政务公开第一平台作用，</w:t>
      </w:r>
      <w:r>
        <w:rPr>
          <w:rFonts w:hint="eastAsia" w:ascii="仿宋_GB2312" w:hAnsi="仿宋_GB2312" w:eastAsia="仿宋_GB2312" w:cs="仿宋_GB2312"/>
          <w:color w:val="000000" w:themeColor="text1"/>
          <w:sz w:val="32"/>
          <w:szCs w:val="32"/>
          <w14:textFill>
            <w14:solidFill>
              <w14:schemeClr w14:val="tx1"/>
            </w14:solidFill>
          </w14:textFill>
        </w:rPr>
        <w:t>以“服务群众、优化营商环境”为目标，</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以国际化的视角，深化“龙华政府在线”双语版建设，</w:t>
      </w:r>
      <w:r>
        <w:rPr>
          <w:rFonts w:hint="eastAsia" w:ascii="仿宋_GB2312" w:hAnsi="仿宋_GB2312" w:eastAsia="仿宋_GB2312" w:cs="仿宋_GB2312"/>
          <w:color w:val="000000" w:themeColor="text1"/>
          <w:sz w:val="32"/>
          <w:szCs w:val="32"/>
          <w14:textFill>
            <w14:solidFill>
              <w14:schemeClr w14:val="tx1"/>
            </w14:solidFill>
          </w14:textFill>
        </w:rPr>
        <w:t>将互联网新技术、新应用与政务服务工作双融双促，提升政府网站服务实用性、便捷性、精准性，着力打造惠企利民、人民满意的服务型政府网站。</w:t>
      </w:r>
    </w:p>
    <w:p>
      <w:pPr>
        <w:pStyle w:val="4"/>
        <w:spacing w:before="0" w:after="0" w:line="560" w:lineRule="exact"/>
        <w:ind w:firstLine="640" w:firstLineChars="200"/>
        <w:jc w:val="both"/>
        <w:rPr>
          <w:rFonts w:ascii="楷体_GB2312" w:hAnsi="楷体" w:eastAsia="楷体_GB2312"/>
          <w:b w:val="0"/>
          <w:bCs w:val="0"/>
          <w:color w:val="auto"/>
        </w:rPr>
      </w:pPr>
      <w:bookmarkStart w:id="153" w:name="_Toc74067353"/>
      <w:bookmarkStart w:id="154" w:name="_Toc21017"/>
      <w:bookmarkStart w:id="155" w:name="_Toc7251"/>
      <w:bookmarkStart w:id="156" w:name="_Toc29735"/>
      <w:bookmarkStart w:id="157" w:name="_Toc5225"/>
      <w:bookmarkStart w:id="158" w:name="_Toc29282"/>
      <w:r>
        <w:rPr>
          <w:rFonts w:hint="eastAsia" w:ascii="楷体_GB2312" w:hAnsi="楷体" w:eastAsia="楷体_GB2312"/>
          <w:b w:val="0"/>
          <w:bCs w:val="0"/>
          <w:color w:val="auto"/>
        </w:rPr>
        <w:t>（三）提供普惠便利的公共服务</w:t>
      </w:r>
      <w:bookmarkEnd w:id="153"/>
      <w:bookmarkEnd w:id="154"/>
      <w:bookmarkEnd w:id="155"/>
      <w:bookmarkEnd w:id="156"/>
      <w:bookmarkEnd w:id="157"/>
      <w:bookmarkEnd w:id="158"/>
    </w:p>
    <w:p>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信息化促进政府公共资源优化配置的作用，推动包括教育、医疗、交通、养老在内的信息化民生工程建设，创新服务模式，拓宽服务渠道，有效提升公共服务水平，推进全区公共服务在线化、均等化、普惠化、便捷化。</w:t>
      </w:r>
    </w:p>
    <w:p>
      <w:pPr>
        <w:pStyle w:val="5"/>
        <w:spacing w:before="0" w:after="0" w:line="560" w:lineRule="exact"/>
        <w:ind w:firstLine="643" w:firstLineChars="200"/>
        <w:jc w:val="both"/>
        <w:rPr>
          <w:rFonts w:hint="eastAsia" w:ascii="仿宋_GB2312" w:hAnsi="仿宋_GB2312" w:eastAsia="仿宋_GB2312" w:cs="仿宋_GB2312"/>
          <w:b/>
          <w:bCs/>
          <w:snapToGrid w:val="0"/>
          <w:color w:val="auto"/>
          <w:lang w:eastAsia="zh-CN"/>
        </w:rPr>
      </w:pPr>
      <w:bookmarkStart w:id="159" w:name="_Toc2886"/>
      <w:bookmarkStart w:id="160" w:name="_Toc14395"/>
      <w:bookmarkStart w:id="161" w:name="_Toc29467"/>
      <w:bookmarkStart w:id="162" w:name="_Toc29117"/>
      <w:bookmarkStart w:id="163" w:name="_Toc74067354"/>
      <w:bookmarkStart w:id="164" w:name="_Toc4308"/>
      <w:r>
        <w:rPr>
          <w:rFonts w:hint="eastAsia" w:ascii="仿宋_GB2312" w:hAnsi="仿宋_GB2312" w:eastAsia="仿宋_GB2312" w:cs="仿宋_GB2312"/>
          <w:b/>
          <w:bCs/>
          <w:snapToGrid w:val="0"/>
          <w:color w:val="auto"/>
        </w:rPr>
        <w:t>1.</w:t>
      </w:r>
      <w:r>
        <w:rPr>
          <w:rFonts w:hint="eastAsia" w:ascii="仿宋_GB2312" w:hAnsi="仿宋_GB2312" w:eastAsia="仿宋_GB2312" w:cs="仿宋_GB2312"/>
          <w:b/>
          <w:bCs/>
          <w:snapToGrid w:val="0"/>
          <w:color w:val="auto"/>
          <w:lang w:val="en-US" w:eastAsia="zh-CN"/>
        </w:rPr>
        <w:t xml:space="preserve"> </w:t>
      </w:r>
      <w:r>
        <w:rPr>
          <w:rFonts w:hint="eastAsia" w:ascii="仿宋_GB2312" w:hAnsi="仿宋_GB2312" w:eastAsia="仿宋_GB2312" w:cs="仿宋_GB2312"/>
          <w:b/>
          <w:bCs/>
          <w:snapToGrid w:val="0"/>
          <w:color w:val="auto"/>
        </w:rPr>
        <w:t>创新“智慧教育”发展</w:t>
      </w:r>
      <w:bookmarkEnd w:id="159"/>
      <w:bookmarkEnd w:id="160"/>
      <w:bookmarkEnd w:id="161"/>
      <w:bookmarkEnd w:id="162"/>
      <w:bookmarkEnd w:id="163"/>
      <w:bookmarkEnd w:id="164"/>
    </w:p>
    <w:p>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基于5G、IPv6技术下一代全区教育网，形成智能泛在、安全可靠、覆盖校园的学习、教学、教研和教学管理需要的信息化基础支撑环境，促进“优质资源班班通”和“网络学习空间人人通”实现提质增效。推进信息技术与教育教学全过程业务应用深度融合，实现教学改进、优化管理、提升绩效。构建“互联网+教育”大平台，整合升级各类教育平台系统，促进优质教学资源、优秀师资、教育数据、信息红利的有效共享，助力教育服务供给模式升级和教育治理水平提升。</w:t>
      </w:r>
    </w:p>
    <w:p>
      <w:pPr>
        <w:pStyle w:val="5"/>
        <w:spacing w:before="0" w:after="0" w:line="560" w:lineRule="exact"/>
        <w:ind w:firstLine="643" w:firstLineChars="200"/>
        <w:jc w:val="both"/>
        <w:rPr>
          <w:rFonts w:hint="eastAsia" w:ascii="仿宋_GB2312" w:hAnsi="仿宋_GB2312" w:eastAsia="仿宋_GB2312" w:cs="仿宋_GB2312"/>
          <w:b/>
          <w:bCs/>
          <w:snapToGrid w:val="0"/>
          <w:color w:val="auto"/>
          <w:lang w:eastAsia="zh-CN"/>
        </w:rPr>
      </w:pPr>
      <w:bookmarkStart w:id="165" w:name="_Toc24011"/>
      <w:bookmarkStart w:id="166" w:name="_Toc28304"/>
      <w:bookmarkStart w:id="167" w:name="_Toc30694"/>
      <w:bookmarkStart w:id="168" w:name="_Toc4639"/>
      <w:bookmarkStart w:id="169" w:name="_Toc74067355"/>
      <w:bookmarkStart w:id="170" w:name="_Toc30407"/>
      <w:r>
        <w:rPr>
          <w:rFonts w:hint="eastAsia" w:ascii="仿宋_GB2312" w:hAnsi="仿宋_GB2312" w:eastAsia="仿宋_GB2312" w:cs="仿宋_GB2312"/>
          <w:b/>
          <w:bCs/>
          <w:snapToGrid w:val="0"/>
          <w:color w:val="auto"/>
        </w:rPr>
        <w:t>2.</w:t>
      </w:r>
      <w:r>
        <w:rPr>
          <w:rFonts w:hint="eastAsia" w:ascii="仿宋_GB2312" w:hAnsi="仿宋_GB2312" w:eastAsia="仿宋_GB2312" w:cs="仿宋_GB2312"/>
          <w:b/>
          <w:bCs/>
          <w:snapToGrid w:val="0"/>
          <w:color w:val="auto"/>
          <w:lang w:val="en-US" w:eastAsia="zh-CN"/>
        </w:rPr>
        <w:t xml:space="preserve"> </w:t>
      </w:r>
      <w:r>
        <w:rPr>
          <w:rFonts w:hint="eastAsia" w:ascii="仿宋_GB2312" w:hAnsi="仿宋_GB2312" w:eastAsia="仿宋_GB2312" w:cs="仿宋_GB2312"/>
          <w:b/>
          <w:bCs/>
          <w:snapToGrid w:val="0"/>
          <w:color w:val="auto"/>
        </w:rPr>
        <w:t>完善“智慧医疗”应用</w:t>
      </w:r>
      <w:bookmarkEnd w:id="165"/>
      <w:bookmarkEnd w:id="166"/>
      <w:bookmarkEnd w:id="167"/>
      <w:bookmarkEnd w:id="168"/>
      <w:bookmarkEnd w:id="169"/>
      <w:bookmarkEnd w:id="17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w:t>
      </w:r>
      <w:r>
        <w:rPr>
          <w:rFonts w:ascii="仿宋_GB2312" w:hAnsi="仿宋_GB2312" w:eastAsia="仿宋_GB2312" w:cs="仿宋_GB2312"/>
          <w:color w:val="auto"/>
          <w:kern w:val="0"/>
          <w:sz w:val="32"/>
          <w:szCs w:val="32"/>
          <w:lang w:val="en-US" w:eastAsia="zh-CN" w:bidi="ar"/>
        </w:rPr>
        <w:t>5G、人工智能</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大数据</w:t>
      </w:r>
      <w:r>
        <w:rPr>
          <w:rFonts w:hint="eastAsia" w:ascii="仿宋_GB2312" w:hAnsi="仿宋_GB2312" w:eastAsia="仿宋_GB2312" w:cs="仿宋_GB2312"/>
          <w:color w:val="auto"/>
          <w:kern w:val="0"/>
          <w:sz w:val="32"/>
          <w:szCs w:val="32"/>
          <w:lang w:val="en-US" w:eastAsia="zh-CN" w:bidi="ar"/>
        </w:rPr>
        <w:t>等</w:t>
      </w:r>
      <w:r>
        <w:rPr>
          <w:rFonts w:hint="eastAsia" w:ascii="仿宋_GB2312" w:hAnsi="仿宋_GB2312" w:eastAsia="仿宋_GB2312" w:cs="仿宋_GB2312"/>
          <w:color w:val="auto"/>
          <w:sz w:val="32"/>
          <w:szCs w:val="32"/>
        </w:rPr>
        <w:t>新一代信息技术与健康医疗深度融合，促进和规范健康医疗大数据发展，实现全区医疗卫生机构信息互联互通、信息共享和业务协同。加快发展互联网医疗服务，建设智慧医院，开展“互联网+医疗健康”便民惠民服务。持续完善远程医疗服务体系建设，扩大远程医疗平台覆盖范围，推进远程服务应用。完善公共卫生智能化监测预警体系，建立健全智慧化预警多点触发机制，改进不明原因疾病和异常健康事件监测机制，实现疾病及相关因素多维多点的预警预测及处置闭环管理。</w:t>
      </w:r>
    </w:p>
    <w:p>
      <w:pPr>
        <w:pStyle w:val="5"/>
        <w:spacing w:before="0" w:after="0" w:line="560" w:lineRule="exact"/>
        <w:ind w:firstLine="643" w:firstLineChars="200"/>
        <w:jc w:val="both"/>
        <w:rPr>
          <w:rFonts w:hint="eastAsia" w:ascii="仿宋_GB2312" w:hAnsi="仿宋_GB2312" w:eastAsia="仿宋_GB2312" w:cs="仿宋_GB2312"/>
          <w:b/>
          <w:bCs/>
          <w:snapToGrid w:val="0"/>
          <w:color w:val="auto"/>
          <w:lang w:eastAsia="zh-CN"/>
        </w:rPr>
      </w:pPr>
      <w:bookmarkStart w:id="171" w:name="_Toc18645"/>
      <w:bookmarkStart w:id="172" w:name="_Toc20227"/>
      <w:bookmarkStart w:id="173" w:name="_Toc74067356"/>
      <w:bookmarkStart w:id="174" w:name="_Toc6239"/>
      <w:bookmarkStart w:id="175" w:name="_Toc5"/>
      <w:bookmarkStart w:id="176" w:name="_Toc29746"/>
      <w:r>
        <w:rPr>
          <w:rFonts w:hint="eastAsia" w:ascii="仿宋_GB2312" w:hAnsi="仿宋_GB2312" w:eastAsia="仿宋_GB2312" w:cs="仿宋_GB2312"/>
          <w:b/>
          <w:bCs/>
          <w:snapToGrid w:val="0"/>
          <w:color w:val="auto"/>
        </w:rPr>
        <w:t>3.</w:t>
      </w:r>
      <w:r>
        <w:rPr>
          <w:rFonts w:hint="eastAsia" w:ascii="仿宋_GB2312" w:hAnsi="仿宋_GB2312" w:eastAsia="仿宋_GB2312" w:cs="仿宋_GB2312"/>
          <w:b/>
          <w:bCs/>
          <w:snapToGrid w:val="0"/>
          <w:color w:val="auto"/>
          <w:lang w:val="en-US" w:eastAsia="zh-CN"/>
        </w:rPr>
        <w:t xml:space="preserve"> </w:t>
      </w:r>
      <w:r>
        <w:rPr>
          <w:rFonts w:hint="eastAsia" w:ascii="仿宋_GB2312" w:hAnsi="仿宋_GB2312" w:eastAsia="仿宋_GB2312" w:cs="仿宋_GB2312"/>
          <w:b/>
          <w:bCs/>
          <w:snapToGrid w:val="0"/>
          <w:color w:val="auto"/>
        </w:rPr>
        <w:t>推进“智慧交通”建设</w:t>
      </w:r>
      <w:bookmarkEnd w:id="171"/>
      <w:bookmarkEnd w:id="172"/>
      <w:bookmarkEnd w:id="173"/>
      <w:bookmarkEnd w:id="174"/>
      <w:bookmarkEnd w:id="175"/>
      <w:bookmarkEnd w:id="176"/>
    </w:p>
    <w:p>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快推进智慧高速公路建设，围绕“规划、建养、运输、应急、执法、创新、管理和协同”全业务周期，推进全区交通运输一体化数字平台建设，提升交通管理水平。完善区级监控中心，加强全区“两客一危一重”道路运输车辆的动态监督管理。持续推动移动端应用赋能交通出行发展，提供多种出行便捷服务，提高出行服务快速化、便捷化、均等化水平。</w:t>
      </w:r>
      <w:r>
        <w:rPr>
          <w:rFonts w:hint="eastAsia" w:ascii="仿宋_GB2312" w:hAnsi="仿宋_GB2312" w:eastAsia="仿宋_GB2312" w:cs="仿宋_GB2312"/>
          <w:snapToGrid w:val="0"/>
          <w:color w:val="auto"/>
          <w:kern w:val="0"/>
          <w:sz w:val="32"/>
          <w:szCs w:val="32"/>
        </w:rPr>
        <w:t>依托龙华大道探索路况感知、智能停车、自动驾驶、无人机配送等智能交通新场景，打造“空地两用、智慧通行、绿意盎然、时花随见”的世界级未来大道。</w:t>
      </w:r>
    </w:p>
    <w:p>
      <w:pPr>
        <w:pStyle w:val="5"/>
        <w:spacing w:before="0" w:after="0" w:line="560" w:lineRule="exact"/>
        <w:ind w:firstLine="643" w:firstLineChars="200"/>
        <w:jc w:val="both"/>
        <w:rPr>
          <w:rFonts w:hint="eastAsia" w:ascii="仿宋_GB2312" w:hAnsi="仿宋_GB2312" w:eastAsia="仿宋_GB2312" w:cs="仿宋_GB2312"/>
          <w:b/>
          <w:bCs/>
          <w:snapToGrid w:val="0"/>
          <w:color w:val="auto"/>
          <w:lang w:eastAsia="zh-CN"/>
        </w:rPr>
      </w:pPr>
      <w:bookmarkStart w:id="177" w:name="_Toc11576"/>
      <w:bookmarkStart w:id="178" w:name="_Toc24429"/>
      <w:bookmarkStart w:id="179" w:name="_Toc74067357"/>
      <w:bookmarkStart w:id="180" w:name="_Toc14195"/>
      <w:bookmarkStart w:id="181" w:name="_Toc30321"/>
      <w:bookmarkStart w:id="182" w:name="_Toc4643"/>
      <w:r>
        <w:rPr>
          <w:rFonts w:hint="eastAsia" w:ascii="仿宋_GB2312" w:hAnsi="仿宋_GB2312" w:eastAsia="仿宋_GB2312" w:cs="仿宋_GB2312"/>
          <w:b/>
          <w:bCs/>
          <w:snapToGrid w:val="0"/>
          <w:color w:val="auto"/>
        </w:rPr>
        <w:t>4.</w:t>
      </w:r>
      <w:r>
        <w:rPr>
          <w:rFonts w:hint="eastAsia" w:ascii="仿宋_GB2312" w:hAnsi="仿宋_GB2312" w:eastAsia="仿宋_GB2312" w:cs="仿宋_GB2312"/>
          <w:b/>
          <w:bCs/>
          <w:snapToGrid w:val="0"/>
          <w:color w:val="auto"/>
          <w:lang w:val="en-US" w:eastAsia="zh-CN"/>
        </w:rPr>
        <w:t xml:space="preserve"> </w:t>
      </w:r>
      <w:r>
        <w:rPr>
          <w:rFonts w:hint="eastAsia" w:ascii="仿宋_GB2312" w:hAnsi="仿宋_GB2312" w:eastAsia="仿宋_GB2312" w:cs="仿宋_GB2312"/>
          <w:b/>
          <w:bCs/>
          <w:snapToGrid w:val="0"/>
          <w:color w:val="auto"/>
        </w:rPr>
        <w:t>加强“智慧养老”应用</w:t>
      </w:r>
      <w:bookmarkEnd w:id="177"/>
      <w:bookmarkEnd w:id="178"/>
      <w:bookmarkEnd w:id="179"/>
      <w:bookmarkEnd w:id="180"/>
      <w:bookmarkEnd w:id="181"/>
      <w:bookmarkEnd w:id="182"/>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区级、街道级智慧健康养老应用试点示范建设，以智慧养老服务平台为支撑，以区长者服务指导评价中心为统领，有效链接6个街道长者服务中心、N个社区长者服务站点等养老设施，统筹全区养老服务资源，构建“1+6+N”养老服务网络。依托智慧养老服务平台，推动全区60周岁以上老年人基础数据库建设，推动老年人智能产品应用和数据接入，开展“菜单式”服务，完善“虚拟养老院”功能。整合线上、线下服务资源，建立老年人、家庭照护者、街道、社区、养老服务机构和各类服务组织的多方联动机制。有效满足老年人多样化、多层次养老服务需求，推进老有颐养，打造民生幸福标杆城区，提高老年人及其家庭的获得感、幸福感、安全感。</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9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 w:eastAsia="仿宋_GB2312" w:cs="Times New Roman"/>
                <w:b/>
                <w:bCs/>
                <w:snapToGrid w:val="0"/>
                <w:color w:val="auto"/>
                <w:kern w:val="0"/>
                <w:sz w:val="32"/>
                <w:szCs w:val="32"/>
              </w:rPr>
            </w:pPr>
            <w:r>
              <w:rPr>
                <w:rFonts w:hint="eastAsia" w:ascii="黑体" w:hAnsi="黑体" w:eastAsia="黑体" w:cs="黑体"/>
                <w:snapToGrid w:val="0"/>
                <w:color w:val="auto"/>
                <w:sz w:val="28"/>
                <w:szCs w:val="28"/>
              </w:rPr>
              <w:t>专栏一 公共服务应用创新重点工程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keepNext w:val="0"/>
              <w:keepLines w:val="0"/>
              <w:pageBreakBefore w:val="0"/>
              <w:widowControl w:val="0"/>
              <w:kinsoku/>
              <w:wordWrap/>
              <w:overflowPunct/>
              <w:topLinePunct w:val="0"/>
              <w:autoSpaceDE w:val="0"/>
              <w:autoSpaceDN w:val="0"/>
              <w:bidi w:val="0"/>
              <w:adjustRightInd/>
              <w:snapToGrid/>
              <w:spacing w:before="157" w:beforeLines="50" w:line="288" w:lineRule="auto"/>
              <w:ind w:firstLine="482" w:firstLineChars="200"/>
              <w:textAlignment w:val="auto"/>
              <w:rPr>
                <w:rFonts w:ascii="仿宋_GB2312" w:hAnsi="仿宋" w:eastAsia="仿宋_GB2312" w:cs="Times New Roman"/>
                <w:bCs/>
                <w:snapToGrid w:val="0"/>
                <w:color w:val="auto"/>
                <w:kern w:val="0"/>
                <w:sz w:val="24"/>
                <w:szCs w:val="24"/>
              </w:rPr>
            </w:pPr>
            <w:r>
              <w:rPr>
                <w:rFonts w:hint="eastAsia" w:ascii="仿宋_GB2312" w:hAnsi="仿宋" w:eastAsia="仿宋_GB2312" w:cs="Times New Roman"/>
                <w:b/>
                <w:bCs w:val="0"/>
                <w:snapToGrid w:val="0"/>
                <w:color w:val="auto"/>
                <w:kern w:val="0"/>
                <w:sz w:val="24"/>
                <w:szCs w:val="24"/>
              </w:rPr>
              <w:t>智慧医疗“114”工程-区域智慧医院国家4级水平建设项目。</w:t>
            </w:r>
            <w:r>
              <w:rPr>
                <w:rFonts w:hint="eastAsia" w:ascii="仿宋_GB2312" w:hAnsi="仿宋" w:eastAsia="仿宋_GB2312" w:cs="Times New Roman"/>
                <w:bCs/>
                <w:snapToGrid w:val="0"/>
                <w:color w:val="auto"/>
                <w:kern w:val="0"/>
                <w:sz w:val="24"/>
                <w:szCs w:val="24"/>
              </w:rPr>
              <w:t>推进区域智慧医院建设，健全全民健康信息平台，利用物联网、人工智能等技术实现患者与医务人员、医疗机构、医疗设备间的互动，实现远程医疗、双向就诊。</w:t>
            </w:r>
          </w:p>
          <w:p>
            <w:pPr>
              <w:keepNext w:val="0"/>
              <w:keepLines w:val="0"/>
              <w:pageBreakBefore w:val="0"/>
              <w:widowControl w:val="0"/>
              <w:kinsoku/>
              <w:wordWrap/>
              <w:overflowPunct/>
              <w:topLinePunct w:val="0"/>
              <w:bidi w:val="0"/>
              <w:adjustRightInd/>
              <w:snapToGrid/>
              <w:spacing w:line="288" w:lineRule="auto"/>
              <w:ind w:firstLine="482" w:firstLineChars="200"/>
              <w:textAlignment w:val="auto"/>
              <w:rPr>
                <w:rFonts w:ascii="仿宋_GB2312" w:hAnsi="仿宋" w:eastAsia="仿宋_GB2312" w:cs="Times New Roman"/>
                <w:bCs/>
                <w:snapToGrid w:val="0"/>
                <w:color w:val="auto"/>
                <w:kern w:val="0"/>
                <w:sz w:val="24"/>
                <w:szCs w:val="24"/>
              </w:rPr>
            </w:pPr>
            <w:r>
              <w:rPr>
                <w:rFonts w:hint="eastAsia" w:ascii="仿宋_GB2312" w:hAnsi="仿宋" w:eastAsia="仿宋_GB2312" w:cs="Times New Roman"/>
                <w:b/>
                <w:bCs w:val="0"/>
                <w:snapToGrid w:val="0"/>
                <w:color w:val="auto"/>
                <w:kern w:val="0"/>
                <w:sz w:val="24"/>
                <w:szCs w:val="24"/>
              </w:rPr>
              <w:t>智慧医疗“114”工程-电子病历区块链认证系统</w:t>
            </w:r>
            <w:r>
              <w:rPr>
                <w:rFonts w:hint="eastAsia" w:ascii="仿宋_GB2312" w:hAnsi="仿宋" w:eastAsia="仿宋_GB2312" w:cs="Times New Roman"/>
                <w:b/>
                <w:bCs w:val="0"/>
                <w:snapToGrid w:val="0"/>
                <w:color w:val="auto"/>
                <w:kern w:val="0"/>
                <w:sz w:val="24"/>
                <w:szCs w:val="24"/>
                <w:lang w:val="en-US" w:eastAsia="zh-CN"/>
              </w:rPr>
              <w:t>项目</w:t>
            </w:r>
            <w:r>
              <w:rPr>
                <w:rFonts w:hint="eastAsia" w:ascii="仿宋_GB2312" w:hAnsi="仿宋" w:eastAsia="仿宋_GB2312" w:cs="Times New Roman"/>
                <w:b/>
                <w:bCs w:val="0"/>
                <w:snapToGrid w:val="0"/>
                <w:color w:val="auto"/>
                <w:kern w:val="0"/>
                <w:sz w:val="24"/>
                <w:szCs w:val="24"/>
              </w:rPr>
              <w:t>。</w:t>
            </w:r>
            <w:r>
              <w:rPr>
                <w:rFonts w:hint="eastAsia" w:ascii="仿宋_GB2312" w:hAnsi="仿宋" w:eastAsia="仿宋_GB2312" w:cs="Times New Roman"/>
                <w:bCs/>
                <w:snapToGrid w:val="0"/>
                <w:color w:val="auto"/>
                <w:kern w:val="0"/>
                <w:sz w:val="24"/>
                <w:szCs w:val="24"/>
              </w:rPr>
              <w:t>构建基于区块链的新型电子病历，完善健康数据，进一步整合各医院和社康的全量数据，包括用药、检查、检验等医疗数据和慢病、体检等公卫数据，实现区内医院的结果互认，减少居民重复检查检验，减少医疗费用支出。</w:t>
            </w:r>
          </w:p>
          <w:p>
            <w:pPr>
              <w:keepNext w:val="0"/>
              <w:keepLines w:val="0"/>
              <w:pageBreakBefore w:val="0"/>
              <w:widowControl w:val="0"/>
              <w:kinsoku/>
              <w:wordWrap/>
              <w:overflowPunct/>
              <w:topLinePunct w:val="0"/>
              <w:autoSpaceDE/>
              <w:autoSpaceDN/>
              <w:bidi w:val="0"/>
              <w:adjustRightInd/>
              <w:snapToGrid/>
              <w:spacing w:after="157" w:afterLines="50" w:line="288" w:lineRule="auto"/>
              <w:ind w:firstLine="482" w:firstLineChars="200"/>
              <w:textAlignment w:val="auto"/>
              <w:rPr>
                <w:rFonts w:ascii="仿宋" w:hAnsi="仿宋" w:eastAsia="仿宋"/>
                <w:color w:val="auto"/>
                <w:sz w:val="32"/>
                <w:szCs w:val="32"/>
              </w:rPr>
            </w:pPr>
            <w:r>
              <w:rPr>
                <w:rFonts w:hint="eastAsia" w:ascii="仿宋_GB2312" w:hAnsi="仿宋" w:eastAsia="仿宋_GB2312" w:cs="Times New Roman"/>
                <w:b/>
                <w:bCs/>
                <w:snapToGrid w:val="0"/>
                <w:color w:val="auto"/>
                <w:kern w:val="0"/>
                <w:sz w:val="24"/>
                <w:szCs w:val="24"/>
              </w:rPr>
              <w:t>智慧养老服务平台升级优化项目。</w:t>
            </w:r>
            <w:r>
              <w:rPr>
                <w:rFonts w:hint="eastAsia" w:ascii="仿宋_GB2312" w:hAnsi="仿宋" w:eastAsia="仿宋_GB2312" w:cs="Times New Roman"/>
                <w:snapToGrid w:val="0"/>
                <w:color w:val="auto"/>
                <w:kern w:val="0"/>
                <w:sz w:val="24"/>
                <w:szCs w:val="24"/>
              </w:rPr>
              <w:t>整合户籍、医疗、社保等信息资源，促进养老服务公共信息资源向各类养老服务机构开放。对养老服务机构的服务质量进行科学评估，实现政府有效监管。集中发布日常生活服务、健康管理、紧急救援、精神慰藉、服务预约等养老服务项目，引导社会养老服务机构开发适合老年人的智能化产品、健康监测可穿戴设备、健康养老移动应用服务，满足老年人全方位、多层次、多样化的养老服务需求。</w:t>
            </w:r>
          </w:p>
        </w:tc>
      </w:tr>
    </w:tbl>
    <w:p>
      <w:pPr>
        <w:pStyle w:val="4"/>
        <w:spacing w:before="0" w:after="0" w:line="560" w:lineRule="exact"/>
        <w:ind w:firstLine="640" w:firstLineChars="200"/>
        <w:rPr>
          <w:rFonts w:ascii="黑体" w:hAnsi="黑体" w:eastAsia="黑体"/>
          <w:b w:val="0"/>
          <w:color w:val="000000" w:themeColor="text1"/>
          <w14:textFill>
            <w14:solidFill>
              <w14:schemeClr w14:val="tx1"/>
            </w14:solidFill>
          </w14:textFill>
        </w:rPr>
      </w:pPr>
      <w:bookmarkStart w:id="183" w:name="_Toc17545"/>
      <w:bookmarkStart w:id="184" w:name="_Toc22035"/>
      <w:bookmarkStart w:id="185" w:name="_Toc21126"/>
      <w:bookmarkStart w:id="186" w:name="_Toc74067358"/>
      <w:bookmarkStart w:id="187" w:name="_Toc15339"/>
      <w:bookmarkStart w:id="188" w:name="_Toc10665"/>
      <w:r>
        <w:rPr>
          <w:rFonts w:hint="eastAsia" w:ascii="黑体" w:hAnsi="黑体" w:eastAsia="黑体"/>
          <w:b w:val="0"/>
          <w:color w:val="000000" w:themeColor="text1"/>
          <w14:textFill>
            <w14:solidFill>
              <w14:schemeClr w14:val="tx1"/>
            </w14:solidFill>
          </w14:textFill>
        </w:rPr>
        <w:t>四、构建数字政府“一网统管”，营造区域治理新格局</w:t>
      </w:r>
      <w:bookmarkEnd w:id="183"/>
      <w:bookmarkEnd w:id="184"/>
      <w:bookmarkEnd w:id="185"/>
      <w:bookmarkEnd w:id="186"/>
      <w:bookmarkEnd w:id="187"/>
      <w:bookmarkEnd w:id="188"/>
    </w:p>
    <w:p>
      <w:pPr>
        <w:pStyle w:val="4"/>
        <w:spacing w:before="0" w:after="0" w:line="560" w:lineRule="exact"/>
        <w:ind w:firstLine="640" w:firstLineChars="200"/>
        <w:rPr>
          <w:rFonts w:ascii="楷体_GB2312" w:hAnsi="楷体" w:eastAsia="楷体_GB2312"/>
          <w:b w:val="0"/>
          <w:color w:val="000000" w:themeColor="text1"/>
          <w14:textFill>
            <w14:solidFill>
              <w14:schemeClr w14:val="tx1"/>
            </w14:solidFill>
          </w14:textFill>
        </w:rPr>
      </w:pPr>
      <w:bookmarkStart w:id="189" w:name="_Toc8155"/>
      <w:bookmarkStart w:id="190" w:name="_Toc74067359"/>
      <w:bookmarkStart w:id="191" w:name="_Toc32372"/>
      <w:bookmarkStart w:id="192" w:name="_Toc16677"/>
      <w:bookmarkStart w:id="193" w:name="_Toc10554"/>
      <w:bookmarkStart w:id="194" w:name="_Toc24771"/>
      <w:r>
        <w:rPr>
          <w:rFonts w:hint="eastAsia" w:ascii="楷体_GB2312" w:hAnsi="楷体" w:eastAsia="楷体_GB2312"/>
          <w:b w:val="0"/>
          <w:color w:val="000000" w:themeColor="text1"/>
          <w14:textFill>
            <w14:solidFill>
              <w14:schemeClr w14:val="tx1"/>
            </w14:solidFill>
          </w14:textFill>
        </w:rPr>
        <w:t>（一）构建科学精细的生态治理</w:t>
      </w:r>
      <w:bookmarkEnd w:id="189"/>
      <w:bookmarkEnd w:id="190"/>
      <w:bookmarkEnd w:id="191"/>
      <w:bookmarkEnd w:id="192"/>
      <w:bookmarkEnd w:id="193"/>
      <w:bookmarkEnd w:id="194"/>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信息技术在生态治理各领域的监测、预警、跟踪、应用、处置和服务闭环，推进生态环境、水务等部门业务走向科学化、精细化，全面提升对各类风险的防范和治理能力，坚决打赢污染防治攻坚战，建设美丽龙华。</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195" w:name="_Toc27106"/>
      <w:bookmarkStart w:id="196" w:name="_Toc20492"/>
      <w:bookmarkStart w:id="197" w:name="_Toc23290"/>
      <w:bookmarkStart w:id="198" w:name="_Toc18826"/>
      <w:bookmarkStart w:id="199" w:name="_Toc7348"/>
      <w:bookmarkStart w:id="200" w:name="_Toc74067360"/>
      <w:r>
        <w:rPr>
          <w:rFonts w:hint="eastAsia" w:ascii="仿宋_GB2312" w:hAnsi="仿宋_GB2312" w:eastAsia="仿宋_GB2312" w:cs="仿宋_GB2312"/>
          <w:b/>
          <w:bCs/>
          <w:snapToGrid w:val="0"/>
          <w:color w:val="000000" w:themeColor="text1"/>
          <w14:textFill>
            <w14:solidFill>
              <w14:schemeClr w14:val="tx1"/>
            </w14:solidFill>
          </w14:textFill>
        </w:rPr>
        <w:t>1.</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强化生态全域动态感知</w:t>
      </w:r>
      <w:bookmarkEnd w:id="195"/>
      <w:bookmarkEnd w:id="196"/>
      <w:bookmarkEnd w:id="197"/>
      <w:bookmarkEnd w:id="198"/>
      <w:bookmarkEnd w:id="199"/>
      <w:bookmarkEnd w:id="200"/>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天地一体化生态监测，推广无人机、无人船、卫星导航和生态传感器等监测技术在生态环境要素调查领域的运用，提高外业调查手段的精确性和可靠性，建立全天候、多层次的生态监测网。加强生态环境、水务等部门信息的集约共享，形成海陆统筹、天地一体、上下协同、信息共享的全域生态敏捷感知网，为生态资源开发利用、生态监管、处理及保护和修复等工作提供全面的信息支持。</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201" w:name="_Toc30236"/>
      <w:bookmarkStart w:id="202" w:name="_Toc10999"/>
      <w:bookmarkStart w:id="203" w:name="_Toc21115"/>
      <w:bookmarkStart w:id="204" w:name="_Toc17705"/>
      <w:bookmarkStart w:id="205" w:name="_Toc23125"/>
      <w:bookmarkStart w:id="206" w:name="_Toc74067361"/>
      <w:r>
        <w:rPr>
          <w:rFonts w:hint="eastAsia" w:ascii="仿宋_GB2312" w:hAnsi="仿宋_GB2312" w:eastAsia="仿宋_GB2312" w:cs="仿宋_GB2312"/>
          <w:b/>
          <w:bCs/>
          <w:snapToGrid w:val="0"/>
          <w:color w:val="000000" w:themeColor="text1"/>
          <w14:textFill>
            <w14:solidFill>
              <w14:schemeClr w14:val="tx1"/>
            </w14:solidFill>
          </w14:textFill>
        </w:rPr>
        <w:t>2.</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提升生态监管和处理能力</w:t>
      </w:r>
      <w:bookmarkEnd w:id="201"/>
      <w:bookmarkEnd w:id="202"/>
      <w:bookmarkEnd w:id="203"/>
      <w:bookmarkEnd w:id="204"/>
      <w:bookmarkEnd w:id="205"/>
      <w:bookmarkEnd w:id="206"/>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进大水、气、土壤、噪声和辐射等环境要素资源一体化建设，开展生态环境数据分析和利用，形成对污染感知、预测预警、污染溯源、应急处置和评价考核等全闭环管理。推进自然资源监管数字化水平，建设自然资源利用和交易情况的全面动态监管应用，为自然资源专项调查、动态巡查、监测预警提供支撑。加强水利动态监管，建设面向水文监测预警预报、水土保持监管、水利行业监管和小水电安全等水利智能应用，推进水利行业绿色发展。</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207" w:name="_Toc74067362"/>
      <w:bookmarkStart w:id="208" w:name="_Toc25909"/>
      <w:bookmarkStart w:id="209" w:name="_Toc12373"/>
      <w:bookmarkStart w:id="210" w:name="_Toc5833"/>
      <w:bookmarkStart w:id="211" w:name="_Toc23611"/>
      <w:bookmarkStart w:id="212" w:name="_Toc12205"/>
      <w:r>
        <w:rPr>
          <w:rFonts w:hint="eastAsia" w:ascii="仿宋_GB2312" w:hAnsi="仿宋_GB2312" w:eastAsia="仿宋_GB2312" w:cs="仿宋_GB2312"/>
          <w:b/>
          <w:bCs/>
          <w:snapToGrid w:val="0"/>
          <w:color w:val="000000" w:themeColor="text1"/>
          <w14:textFill>
            <w14:solidFill>
              <w14:schemeClr w14:val="tx1"/>
            </w14:solidFill>
          </w14:textFill>
        </w:rPr>
        <w:t>3.</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提高生态文明服务能力</w:t>
      </w:r>
      <w:bookmarkEnd w:id="207"/>
      <w:bookmarkEnd w:id="208"/>
      <w:bookmarkEnd w:id="209"/>
      <w:bookmarkEnd w:id="210"/>
      <w:bookmarkEnd w:id="211"/>
      <w:bookmarkEnd w:id="212"/>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化气象观测、数据分析、预报预测、智慧服务等领域的应用，发展“精准型、个性化、多元化”的智慧气象服务。推进地质数据一体化建设，打造地质服务链，为地灾防治、城市建设、新能源开发利用提供开放的信息服务。推进“无废城市”建设，加大垃圾处理智能化，探索“互联网+回收”等智能回收应用。</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jc w:val="center"/>
              <w:rPr>
                <w:rFonts w:hint="eastAsia" w:ascii="仿宋_GB2312" w:hAnsi="仿宋" w:eastAsia="仿宋_GB2312"/>
                <w:b/>
                <w:bCs/>
                <w:snapToGrid w:val="0"/>
                <w:color w:val="000000" w:themeColor="text1"/>
                <w:sz w:val="32"/>
                <w:szCs w:val="32"/>
                <w14:textFill>
                  <w14:solidFill>
                    <w14:schemeClr w14:val="tx1"/>
                  </w14:solidFill>
                </w14:textFill>
              </w:rPr>
            </w:pPr>
            <w:r>
              <w:rPr>
                <w:rFonts w:hint="eastAsia" w:ascii="黑体" w:hAnsi="黑体" w:eastAsia="黑体" w:cs="黑体"/>
                <w:snapToGrid w:val="0"/>
                <w:color w:val="000000" w:themeColor="text1"/>
                <w:sz w:val="28"/>
                <w:szCs w:val="28"/>
                <w14:textFill>
                  <w14:solidFill>
                    <w14:schemeClr w14:val="tx1"/>
                  </w14:solidFill>
                </w14:textFill>
              </w:rPr>
              <w:t>专栏二 生态治理应用创新重点工程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
                <w:bCs/>
                <w:color w:val="000000" w:themeColor="text1"/>
                <w:sz w:val="24"/>
                <w:szCs w:val="24"/>
                <w14:textFill>
                  <w14:solidFill>
                    <w14:schemeClr w14:val="tx1"/>
                  </w14:solidFill>
                </w14:textFill>
              </w:rPr>
              <w:t>生态环境可视化决策指挥中心。</w:t>
            </w:r>
            <w:r>
              <w:rPr>
                <w:rFonts w:hint="eastAsia" w:ascii="仿宋_GB2312" w:hAnsi="仿宋" w:eastAsia="仿宋_GB2312"/>
                <w:bCs/>
                <w:color w:val="000000" w:themeColor="text1"/>
                <w:sz w:val="24"/>
                <w:szCs w:val="24"/>
                <w14:textFill>
                  <w14:solidFill>
                    <w14:schemeClr w14:val="tx1"/>
                  </w14:solidFill>
                </w14:textFill>
              </w:rPr>
              <w:t>建设指挥中心以更有效整合现有信息系统的数据资源，凭借先进的交互方式，实现数据融合、数据显示、数据分析、环境监测、应急指挥等多种功能，并应用于监测指挥、分析研判、展示汇报等场景。</w:t>
            </w: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_GB2312" w:hAnsi="仿宋" w:eastAsia="仿宋_GB2312"/>
                <w:b/>
                <w:bCs/>
                <w:snapToGrid w:val="0"/>
                <w:color w:val="000000" w:themeColor="text1"/>
                <w:sz w:val="24"/>
                <w:szCs w:val="24"/>
                <w14:textFill>
                  <w14:solidFill>
                    <w14:schemeClr w14:val="tx1"/>
                  </w14:solidFill>
                </w14:textFill>
              </w:rPr>
              <w:t>智慧环水综合系统。</w:t>
            </w:r>
            <w:r>
              <w:rPr>
                <w:rFonts w:hint="eastAsia" w:ascii="仿宋_GB2312" w:hAnsi="仿宋" w:eastAsia="仿宋_GB2312"/>
                <w:snapToGrid w:val="0"/>
                <w:color w:val="000000" w:themeColor="text1"/>
                <w:sz w:val="24"/>
                <w:szCs w:val="24"/>
                <w14:textFill>
                  <w14:solidFill>
                    <w14:schemeClr w14:val="tx1"/>
                  </w14:solidFill>
                </w14:textFill>
              </w:rPr>
              <w:t>实现雨情、水情、工情的全面监控，实现水务基础信息的全面数字化；建设水务信息的传感网络，根据水务业务需要，分别建立雨情、水情等水文传感网络，水务设施的工情传感网络，防洪重点区段、工程的视频监控网络，供水管网的水量、压力、水质监控网络，排水管网的监控网络，水环境水生态监控网络，通过不同类别传感网络的建设，全面实现水务领域感知数据的智能传输、存储和管理。</w:t>
            </w:r>
          </w:p>
        </w:tc>
      </w:tr>
    </w:tbl>
    <w:p>
      <w:pPr>
        <w:pStyle w:val="4"/>
        <w:spacing w:before="0" w:after="0" w:line="560" w:lineRule="exact"/>
        <w:ind w:firstLine="640" w:firstLineChars="200"/>
        <w:rPr>
          <w:rFonts w:ascii="楷体_GB2312" w:hAnsi="楷体" w:eastAsia="楷体_GB2312"/>
          <w:b w:val="0"/>
          <w:color w:val="000000" w:themeColor="text1"/>
          <w14:textFill>
            <w14:solidFill>
              <w14:schemeClr w14:val="tx1"/>
            </w14:solidFill>
          </w14:textFill>
        </w:rPr>
      </w:pPr>
      <w:bookmarkStart w:id="213" w:name="_Toc18301"/>
      <w:bookmarkStart w:id="214" w:name="_Toc74067363"/>
      <w:bookmarkStart w:id="215" w:name="_Toc14566"/>
      <w:bookmarkStart w:id="216" w:name="_Toc8912"/>
      <w:bookmarkStart w:id="217" w:name="_Toc27719"/>
      <w:bookmarkStart w:id="218" w:name="_Toc14009"/>
      <w:r>
        <w:rPr>
          <w:rFonts w:hint="eastAsia" w:ascii="楷体_GB2312" w:hAnsi="楷体" w:eastAsia="楷体_GB2312"/>
          <w:b w:val="0"/>
          <w:color w:val="000000" w:themeColor="text1"/>
          <w14:textFill>
            <w14:solidFill>
              <w14:schemeClr w14:val="tx1"/>
            </w14:solidFill>
          </w14:textFill>
        </w:rPr>
        <w:t>（二）推行包容审慎的市场治理</w:t>
      </w:r>
      <w:bookmarkEnd w:id="213"/>
      <w:bookmarkEnd w:id="214"/>
      <w:bookmarkEnd w:id="215"/>
      <w:bookmarkEnd w:id="216"/>
      <w:bookmarkEnd w:id="217"/>
      <w:bookmarkEnd w:id="218"/>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贯彻落实国务院推进“互联网＋监管”部署，加强市场监管信息化建设，强化安全监管、重点领域监管、质量监管，建立健全以信用为基础的新型监管模式，不断提升市场治理体系和市场治理能力现代化水平。</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219" w:name="_Toc21683"/>
      <w:bookmarkStart w:id="220" w:name="_Toc30469"/>
      <w:bookmarkStart w:id="221" w:name="_Toc26777"/>
      <w:bookmarkStart w:id="222" w:name="_Toc74067364"/>
      <w:bookmarkStart w:id="223" w:name="_Toc19795"/>
      <w:bookmarkStart w:id="224" w:name="_Toc5513"/>
      <w:r>
        <w:rPr>
          <w:rFonts w:hint="eastAsia" w:ascii="仿宋_GB2312" w:hAnsi="仿宋_GB2312" w:eastAsia="仿宋_GB2312" w:cs="仿宋_GB2312"/>
          <w:b/>
          <w:bCs/>
          <w:snapToGrid w:val="0"/>
          <w:color w:val="000000" w:themeColor="text1"/>
          <w14:textFill>
            <w14:solidFill>
              <w14:schemeClr w14:val="tx1"/>
            </w14:solidFill>
          </w14:textFill>
        </w:rPr>
        <w:t>1.</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加强食品药品产品安全监管</w:t>
      </w:r>
      <w:bookmarkEnd w:id="219"/>
      <w:bookmarkEnd w:id="220"/>
      <w:bookmarkEnd w:id="221"/>
      <w:bookmarkEnd w:id="222"/>
      <w:bookmarkEnd w:id="223"/>
      <w:bookmarkEnd w:id="224"/>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推进“互联网+食品”监管，加快农产品质量和食品安全信息化服务平台的建设与运用，完善重要食品质量追溯体系，持续推进“明厨亮灶”工程建设，强化食品小作坊监管。</w:t>
      </w:r>
      <w:r>
        <w:rPr>
          <w:rFonts w:hint="eastAsia" w:ascii="仿宋_GB2312" w:hAnsi="仿宋_GB2312" w:eastAsia="仿宋_GB2312" w:cs="仿宋_GB2312"/>
          <w:color w:val="000000" w:themeColor="text1"/>
          <w:sz w:val="32"/>
          <w:szCs w:val="32"/>
          <w14:textFill>
            <w14:solidFill>
              <w14:schemeClr w14:val="tx1"/>
            </w14:solidFill>
          </w14:textFill>
        </w:rPr>
        <w:t>加快推进药品智慧监管，建立健全协同高效的药品、医疗器械、化妆品三大监管业务平台，探索构建基于</w:t>
      </w:r>
      <w:r>
        <w:rPr>
          <w:rFonts w:hint="eastAsia" w:ascii="仿宋_GB2312" w:hAnsi="仿宋_GB2312" w:eastAsia="仿宋_GB2312" w:cs="仿宋_GB2312"/>
          <w:color w:val="000000" w:themeColor="text1"/>
          <w:sz w:val="32"/>
          <w:szCs w:val="32"/>
          <w:lang w:val="en-GB"/>
          <w14:textFill>
            <w14:solidFill>
              <w14:schemeClr w14:val="tx1"/>
            </w14:solidFill>
          </w14:textFill>
        </w:rPr>
        <w:t>区块链、大数据</w:t>
      </w:r>
      <w:r>
        <w:rPr>
          <w:rFonts w:hint="eastAsia" w:ascii="仿宋_GB2312" w:hAnsi="仿宋_GB2312" w:eastAsia="仿宋_GB2312" w:cs="仿宋_GB2312"/>
          <w:color w:val="000000" w:themeColor="text1"/>
          <w:sz w:val="32"/>
          <w:szCs w:val="32"/>
          <w14:textFill>
            <w14:solidFill>
              <w14:schemeClr w14:val="tx1"/>
            </w14:solidFill>
          </w14:textFill>
        </w:rPr>
        <w:t>的药品安全风险管理模式。加强产品质量安全监管，建立产品伤害监测网络，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广泛采集产品质量安全数据，强化安全形势分析研判。加大特种设备安全监管力度，提升特种设备安全监管信息系统的智能化、自动化水平。</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225" w:name="_Toc74067365"/>
      <w:bookmarkStart w:id="226" w:name="_Toc5567"/>
      <w:bookmarkStart w:id="227" w:name="_Toc4022"/>
      <w:bookmarkStart w:id="228" w:name="_Toc21300"/>
      <w:bookmarkStart w:id="229" w:name="_Toc1557"/>
      <w:bookmarkStart w:id="230" w:name="_Toc6804"/>
      <w:r>
        <w:rPr>
          <w:rFonts w:hint="eastAsia" w:ascii="仿宋_GB2312" w:hAnsi="仿宋_GB2312" w:eastAsia="仿宋_GB2312" w:cs="仿宋_GB2312"/>
          <w:b/>
          <w:bCs/>
          <w:snapToGrid w:val="0"/>
          <w:color w:val="000000" w:themeColor="text1"/>
          <w14:textFill>
            <w14:solidFill>
              <w14:schemeClr w14:val="tx1"/>
            </w14:solidFill>
          </w14:textFill>
        </w:rPr>
        <w:t>2.</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建立健全信用监管模式</w:t>
      </w:r>
      <w:bookmarkEnd w:id="225"/>
      <w:bookmarkEnd w:id="226"/>
      <w:bookmarkEnd w:id="227"/>
      <w:bookmarkEnd w:id="228"/>
      <w:bookmarkEnd w:id="229"/>
      <w:bookmarkEnd w:id="230"/>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信用信息管理系统及数据资源建设，优化升级公共信用信息平台，充分利用政务大数据中心，形成全区公共信用信息归集、共享、应用、评价、监管闭环体系。推进“信用+大数据”精准监管，探索开展公共信用综合评价，支撑行业部门开展信用分级分类监管。推动信用核查和联合奖惩措施作为必要环节嵌入行政审批、财政资金申请、政府采购等业务流程。强化信用信息共享，推动政府部门信用信息向市场主体有序开放，完善信用监管长效机制。</w:t>
      </w:r>
    </w:p>
    <w:p>
      <w:pPr>
        <w:pStyle w:val="4"/>
        <w:spacing w:before="0" w:after="0" w:line="560" w:lineRule="exact"/>
        <w:ind w:firstLine="640" w:firstLineChars="200"/>
        <w:rPr>
          <w:rFonts w:ascii="楷体_GB2312" w:hAnsi="楷体" w:eastAsia="楷体_GB2312"/>
          <w:b w:val="0"/>
          <w:bCs w:val="0"/>
          <w:color w:val="000000" w:themeColor="text1"/>
          <w14:textFill>
            <w14:solidFill>
              <w14:schemeClr w14:val="tx1"/>
            </w14:solidFill>
          </w14:textFill>
        </w:rPr>
      </w:pPr>
      <w:bookmarkStart w:id="231" w:name="_Toc1501"/>
      <w:bookmarkStart w:id="232" w:name="_Toc32279"/>
      <w:bookmarkStart w:id="233" w:name="_Toc20173"/>
      <w:bookmarkStart w:id="234" w:name="_Toc19236"/>
      <w:bookmarkStart w:id="235" w:name="_Toc9389"/>
      <w:bookmarkStart w:id="236" w:name="_Toc74067366"/>
      <w:r>
        <w:rPr>
          <w:rFonts w:hint="eastAsia" w:ascii="楷体_GB2312" w:hAnsi="楷体" w:eastAsia="楷体_GB2312"/>
          <w:b w:val="0"/>
          <w:bCs w:val="0"/>
          <w:color w:val="000000" w:themeColor="text1"/>
          <w14:textFill>
            <w14:solidFill>
              <w14:schemeClr w14:val="tx1"/>
            </w14:solidFill>
          </w14:textFill>
        </w:rPr>
        <w:t>（三）打造精准智能的社会治理</w:t>
      </w:r>
      <w:bookmarkEnd w:id="231"/>
      <w:bookmarkEnd w:id="232"/>
      <w:bookmarkEnd w:id="233"/>
      <w:bookmarkEnd w:id="234"/>
      <w:bookmarkEnd w:id="235"/>
      <w:bookmarkEnd w:id="236"/>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完善“党委领导、政府负责、民主协商、社会协同、公众参与、法治保障、科技支撑”的社会治理体系，推动现代科技与社会治理深度融合，提升社会治理的科学化、信息化、智能化、精细化水平。</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237" w:name="_Toc19528"/>
      <w:bookmarkStart w:id="238" w:name="_Toc29344"/>
      <w:bookmarkStart w:id="239" w:name="_Toc74067367"/>
      <w:bookmarkStart w:id="240" w:name="_Toc31503"/>
      <w:bookmarkStart w:id="241" w:name="_Toc8935"/>
      <w:bookmarkStart w:id="242" w:name="_Toc28190"/>
      <w:r>
        <w:rPr>
          <w:rFonts w:hint="eastAsia" w:ascii="仿宋_GB2312" w:hAnsi="仿宋_GB2312" w:eastAsia="仿宋_GB2312" w:cs="仿宋_GB2312"/>
          <w:b/>
          <w:bCs/>
          <w:snapToGrid w:val="0"/>
          <w:color w:val="000000" w:themeColor="text1"/>
          <w14:textFill>
            <w14:solidFill>
              <w14:schemeClr w14:val="tx1"/>
            </w14:solidFill>
          </w14:textFill>
        </w:rPr>
        <w:t>1.</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完善立体化社会治安防控体系</w:t>
      </w:r>
      <w:bookmarkEnd w:id="237"/>
      <w:bookmarkEnd w:id="238"/>
      <w:bookmarkEnd w:id="239"/>
      <w:bookmarkEnd w:id="240"/>
      <w:bookmarkEnd w:id="241"/>
      <w:bookmarkEnd w:id="242"/>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促进信息技术与警务机制深度融合，实现对人、地、事、物、组织的数字化管理，构筑以数据为关键要素的治安防控模式，建设具有大数据特征的警务应用新生态。创新指挥决策、反恐维稳、打击犯罪、治安防控、民生警务、队伍管理等警务机制，均衡全区各地警务智能化水平，建成一整套可感知、可防控、敏捷高效的新警务机制体系，全面支撑平安广东建设。充分利用信息技术严密防范严厉打击各类颠覆渗透破坏和暴力恐怖活动，守好全区政治安全。</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243" w:name="_Toc23618"/>
      <w:bookmarkStart w:id="244" w:name="_Toc27755"/>
      <w:bookmarkStart w:id="245" w:name="_Toc74067368"/>
      <w:bookmarkStart w:id="246" w:name="_Toc30931"/>
      <w:bookmarkStart w:id="247" w:name="_Toc18278"/>
      <w:bookmarkStart w:id="248" w:name="_Toc8896"/>
      <w:r>
        <w:rPr>
          <w:rFonts w:hint="eastAsia" w:ascii="仿宋_GB2312" w:hAnsi="仿宋_GB2312" w:eastAsia="仿宋_GB2312" w:cs="仿宋_GB2312"/>
          <w:b/>
          <w:bCs/>
          <w:snapToGrid w:val="0"/>
          <w:color w:val="000000" w:themeColor="text1"/>
          <w14:textFill>
            <w14:solidFill>
              <w14:schemeClr w14:val="tx1"/>
            </w14:solidFill>
          </w14:textFill>
        </w:rPr>
        <w:t>2.</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推进智慧化应急管理体系建设</w:t>
      </w:r>
      <w:bookmarkEnd w:id="243"/>
      <w:bookmarkEnd w:id="244"/>
      <w:bookmarkEnd w:id="245"/>
      <w:bookmarkEnd w:id="246"/>
      <w:bookmarkEnd w:id="247"/>
      <w:bookmarkEnd w:id="248"/>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进全域应急感知和通信网络体系建设，实现有线、无线、卫星通信网等各类应急通信网络在区内广域覆盖、随遇接入。基于自然灾害监测感知数据，构建空、天、地一体化全域覆盖的自然灾害监测预警系统，增强对多灾种、灾害链及综合承载体的风险预防能力。以高危行业企业风险监测感知数据为支撑，构建风险监测指标和监测预警模型，实现对高危企业安全生产风险智慧监管。打造应急指挥“一张网”，支撑横向到边、纵向到底的跨部门、跨地域、跨层级的融合应急指挥。强化粮食和物资储备治理能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提升大数据治理、智能决策支持和信息化服务水平。</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249" w:name="_Toc8442"/>
      <w:bookmarkStart w:id="250" w:name="_Toc74067369"/>
      <w:bookmarkStart w:id="251" w:name="_Toc29403"/>
      <w:bookmarkStart w:id="252" w:name="_Toc29986"/>
      <w:bookmarkStart w:id="253" w:name="_Toc8176"/>
      <w:bookmarkStart w:id="254" w:name="_Toc27065"/>
      <w:r>
        <w:rPr>
          <w:rFonts w:hint="eastAsia" w:ascii="仿宋_GB2312" w:hAnsi="仿宋_GB2312" w:eastAsia="仿宋_GB2312" w:cs="仿宋_GB2312"/>
          <w:b/>
          <w:bCs/>
          <w:snapToGrid w:val="0"/>
          <w:color w:val="000000" w:themeColor="text1"/>
          <w14:textFill>
            <w14:solidFill>
              <w14:schemeClr w14:val="tx1"/>
            </w14:solidFill>
          </w14:textFill>
        </w:rPr>
        <w:t>3.</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打造敏捷化智慧消防救援体系</w:t>
      </w:r>
      <w:bookmarkEnd w:id="249"/>
      <w:bookmarkEnd w:id="250"/>
      <w:bookmarkEnd w:id="251"/>
      <w:bookmarkEnd w:id="252"/>
      <w:bookmarkEnd w:id="253"/>
      <w:bookmarkEnd w:id="254"/>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不断完善消防信息化新型架构，建立健全快速反应、远程指挥、智能辅助、科学决策、高效运行的消防实战指挥体系。优化升级接处警系统，拓展灾情险情信息渠道，区分灾种主题、响应等级，实现一键式调派、精准化调度。围绕消防业务应用场景，推行以远程监管、移动监管、预警防控为特征的新型消防监管手段，与全区统一的监管中枢实现对接。加强全民消防教育培训，提供“一站式”消防教育培训服务平台，全面提升全民消防安全意识。</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255" w:name="_Toc8799"/>
      <w:bookmarkStart w:id="256" w:name="_Toc2754"/>
      <w:bookmarkStart w:id="257" w:name="_Toc18449"/>
      <w:bookmarkStart w:id="258" w:name="_Toc74067370"/>
      <w:bookmarkStart w:id="259" w:name="_Toc3598"/>
      <w:bookmarkStart w:id="260" w:name="_Toc4685"/>
      <w:r>
        <w:rPr>
          <w:rFonts w:hint="eastAsia" w:ascii="仿宋_GB2312" w:hAnsi="仿宋_GB2312" w:eastAsia="仿宋_GB2312" w:cs="仿宋_GB2312"/>
          <w:b/>
          <w:bCs/>
          <w:snapToGrid w:val="0"/>
          <w:color w:val="000000" w:themeColor="text1"/>
          <w14:textFill>
            <w14:solidFill>
              <w14:schemeClr w14:val="tx1"/>
            </w14:solidFill>
          </w14:textFill>
        </w:rPr>
        <w:t>4.</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提高科学化矛盾防范化解能力</w:t>
      </w:r>
      <w:bookmarkEnd w:id="255"/>
      <w:bookmarkEnd w:id="256"/>
      <w:bookmarkEnd w:id="257"/>
      <w:bookmarkEnd w:id="258"/>
      <w:bookmarkEnd w:id="259"/>
      <w:bookmarkEnd w:id="260"/>
    </w:p>
    <w:p>
      <w:pPr>
        <w:keepNext w:val="0"/>
        <w:keepLines w:val="0"/>
        <w:pageBreakBefore w:val="0"/>
        <w:widowControl/>
        <w:suppressLineNumbers w:val="0"/>
        <w:kinsoku/>
        <w:wordWrap/>
        <w:overflowPunct/>
        <w:topLinePunct w:val="0"/>
        <w:autoSpaceDE/>
        <w:autoSpaceDN/>
        <w:bidi w:val="0"/>
        <w:adjustRightInd/>
        <w:snapToGrid/>
        <w:spacing w:after="157" w:afterLines="50"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畅通和规范群众诉求表达、利益协调、权益保障数字化通道，</w:t>
      </w:r>
      <w:r>
        <w:rPr>
          <w:rFonts w:hint="eastAsia" w:ascii="仿宋_GB2312" w:hAnsi="仿宋_GB2312" w:eastAsia="仿宋_GB2312" w:cs="仿宋_GB2312"/>
          <w:color w:val="auto"/>
          <w:sz w:val="32"/>
          <w:szCs w:val="32"/>
          <w:lang w:val="en-US" w:eastAsia="zh-CN"/>
        </w:rPr>
        <w:t>搭建区、街道、社区、重点单位四级群众诉求服务平台，</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000000" w:themeColor="text1"/>
          <w:sz w:val="32"/>
          <w:szCs w:val="32"/>
          <w14:textFill>
            <w14:solidFill>
              <w14:schemeClr w14:val="tx1"/>
            </w14:solidFill>
          </w14:textFill>
        </w:rPr>
        <w:t>人民调解、行政调解、司法调解“三调”联动提供全程智能化服务，更好地支撑仲裁、行政复议、诉讼等发挥作用。大力推进信访信息化智能化建设，深入挖掘信访大数据资源，全面、准确、科学地综合分析研判信访形势和问题，全面推行让群众“最多访一次”。做好民族宗教与社会治理融合，推动民族宗教事务信息化发展，提升全区宗教工作科学化、信息化、规范化水平。</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360" w:lineRule="auto"/>
              <w:jc w:val="center"/>
              <w:rPr>
                <w:rFonts w:hint="eastAsia" w:ascii="仿宋_GB2312" w:hAnsi="仿宋" w:eastAsia="仿宋_GB2312" w:cs="Times New Roman"/>
                <w:b/>
                <w:bCs/>
                <w:snapToGrid w:val="0"/>
                <w:color w:val="000000" w:themeColor="text1"/>
                <w:kern w:val="0"/>
                <w:sz w:val="32"/>
                <w:szCs w:val="32"/>
                <w14:textFill>
                  <w14:solidFill>
                    <w14:schemeClr w14:val="tx1"/>
                  </w14:solidFill>
                </w14:textFill>
              </w:rPr>
            </w:pPr>
            <w:r>
              <w:rPr>
                <w:rFonts w:hint="eastAsia" w:ascii="黑体" w:hAnsi="黑体" w:eastAsia="黑体" w:cs="黑体"/>
                <w:snapToGrid w:val="0"/>
                <w:color w:val="000000" w:themeColor="text1"/>
                <w:sz w:val="28"/>
                <w:szCs w:val="28"/>
                <w14:textFill>
                  <w14:solidFill>
                    <w14:schemeClr w14:val="tx1"/>
                  </w14:solidFill>
                </w14:textFill>
              </w:rPr>
              <w:t>专栏三 社会治理应用创新重点工程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_GB2312" w:hAnsi="仿宋" w:eastAsia="仿宋_GB2312" w:cs="Times New Roman"/>
                <w:b/>
                <w:bCs/>
                <w:snapToGrid w:val="0"/>
                <w:color w:val="000000" w:themeColor="text1"/>
                <w:kern w:val="0"/>
                <w:sz w:val="24"/>
                <w:szCs w:val="24"/>
                <w14:textFill>
                  <w14:solidFill>
                    <w14:schemeClr w14:val="tx1"/>
                  </w14:solidFill>
                </w14:textFill>
              </w:rPr>
              <w:t>应急指挥中心。</w:t>
            </w:r>
            <w:r>
              <w:rPr>
                <w:rFonts w:hint="eastAsia" w:ascii="仿宋_GB2312" w:hAnsi="仿宋" w:eastAsia="仿宋_GB2312" w:cs="Times New Roman"/>
                <w:snapToGrid w:val="0"/>
                <w:color w:val="000000" w:themeColor="text1"/>
                <w:kern w:val="0"/>
                <w:sz w:val="24"/>
                <w:szCs w:val="24"/>
                <w14:textFill>
                  <w14:solidFill>
                    <w14:schemeClr w14:val="tx1"/>
                  </w14:solidFill>
                </w14:textFill>
              </w:rPr>
              <w:t>依托应急通信系统，建设应急管理综合应用平台，深化大数据分析应用，实现精准、及时的风险管控、预测预警、防灾减灾、应急救援。</w:t>
            </w:r>
          </w:p>
        </w:tc>
      </w:tr>
    </w:tbl>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楷体_GB2312" w:hAnsi="楷体" w:eastAsia="楷体_GB2312"/>
          <w:b w:val="0"/>
          <w:color w:val="000000" w:themeColor="text1"/>
          <w14:textFill>
            <w14:solidFill>
              <w14:schemeClr w14:val="tx1"/>
            </w14:solidFill>
          </w14:textFill>
        </w:rPr>
      </w:pPr>
      <w:bookmarkStart w:id="261" w:name="_Toc28011"/>
      <w:bookmarkStart w:id="262" w:name="_Toc74067371"/>
      <w:bookmarkStart w:id="263" w:name="_Toc13738"/>
      <w:bookmarkStart w:id="264" w:name="_Toc2888"/>
      <w:bookmarkStart w:id="265" w:name="_Toc31939"/>
      <w:bookmarkStart w:id="266" w:name="_Toc23335"/>
      <w:r>
        <w:rPr>
          <w:rFonts w:hint="eastAsia" w:ascii="楷体_GB2312" w:hAnsi="楷体" w:eastAsia="楷体_GB2312"/>
          <w:b w:val="0"/>
          <w:color w:val="000000" w:themeColor="text1"/>
          <w14:textFill>
            <w14:solidFill>
              <w14:schemeClr w14:val="tx1"/>
            </w14:solidFill>
          </w14:textFill>
        </w:rPr>
        <w:t>（四）构建精准高效的社区治理</w:t>
      </w:r>
      <w:bookmarkEnd w:id="261"/>
      <w:bookmarkEnd w:id="262"/>
      <w:bookmarkEnd w:id="263"/>
      <w:bookmarkEnd w:id="264"/>
      <w:bookmarkEnd w:id="265"/>
      <w:bookmarkEnd w:id="26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优化升级城市数字底板，推动城市管理理念、管理模式、管理手段创新，加快实现基层社区治理数字化，率先在全市走出一条体现时代特征、彰显社会主义制度优势的社区治理之路。</w:t>
      </w:r>
    </w:p>
    <w:p>
      <w:pPr>
        <w:pStyle w:val="5"/>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napToGrid w:val="0"/>
          <w:color w:val="000000" w:themeColor="text1"/>
          <w14:textFill>
            <w14:solidFill>
              <w14:schemeClr w14:val="tx1"/>
            </w14:solidFill>
          </w14:textFill>
        </w:rPr>
      </w:pPr>
      <w:bookmarkStart w:id="267" w:name="_Toc12083"/>
      <w:bookmarkStart w:id="268" w:name="_Toc74067372"/>
      <w:bookmarkStart w:id="269" w:name="_Toc27476"/>
      <w:bookmarkStart w:id="270" w:name="_Toc9996"/>
      <w:bookmarkStart w:id="271" w:name="_Toc19972"/>
      <w:bookmarkStart w:id="272" w:name="_Toc15021"/>
      <w:r>
        <w:rPr>
          <w:rFonts w:hint="eastAsia" w:ascii="仿宋_GB2312" w:hAnsi="仿宋_GB2312" w:eastAsia="仿宋_GB2312" w:cs="仿宋_GB2312"/>
          <w:b/>
          <w:bCs/>
          <w:snapToGrid w:val="0"/>
          <w:color w:val="000000" w:themeColor="text1"/>
          <w14:textFill>
            <w14:solidFill>
              <w14:schemeClr w14:val="tx1"/>
            </w14:solidFill>
          </w14:textFill>
        </w:rPr>
        <w:t>1.</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推广“党建+科技+治理”模式</w:t>
      </w:r>
      <w:bookmarkEnd w:id="267"/>
      <w:bookmarkEnd w:id="268"/>
      <w:bookmarkEnd w:id="269"/>
      <w:bookmarkEnd w:id="270"/>
      <w:bookmarkEnd w:id="271"/>
      <w:bookmarkEnd w:id="27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sz w:val="32"/>
          <w:szCs w:val="32"/>
        </w:rPr>
        <w:t>坚持实战中管用、基层干部爱用、群众感到受用，推动技术与业务、党建工作与社会管理服务深度融合，加快数字治理指挥中心“全覆盖”建设，打造基层党委领导下的一体化指挥体系，强化“龙头”作用。用好“党建引领基层治理”智慧分拨应用平台，推动基层管理跨部门、跨层级协同运转，打造接诉即应、智能分拨、精准派单、闭环督导的社会治理模式。深化“i社区 码上办”智慧服务平台功能，依托区公共服务平台、“i深圳”和“i龙华”，应用“智慧龙华”的一人一码、一房屋一码的建设成果，加强数据比对利用及建立画像，打造党味浓厚、服务贴心、人气聚集、资源共享的云上家园，着力用智慧解决老百姓操心事烦心事揪心事、用科技提升老百姓获得感幸福感安全感</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napToGrid w:val="0"/>
          <w:color w:val="000000" w:themeColor="text1"/>
          <w14:textFill>
            <w14:solidFill>
              <w14:schemeClr w14:val="tx1"/>
            </w14:solidFill>
          </w14:textFill>
        </w:rPr>
      </w:pPr>
      <w:bookmarkStart w:id="273" w:name="_Toc15211"/>
      <w:bookmarkStart w:id="274" w:name="_Toc32639"/>
      <w:bookmarkStart w:id="275" w:name="_Toc31430"/>
      <w:bookmarkStart w:id="276" w:name="_Toc6873"/>
      <w:bookmarkStart w:id="277" w:name="_Toc9005"/>
      <w:bookmarkStart w:id="278" w:name="_Toc74067373"/>
      <w:r>
        <w:rPr>
          <w:rFonts w:hint="eastAsia" w:ascii="仿宋_GB2312" w:hAnsi="仿宋_GB2312" w:eastAsia="仿宋_GB2312" w:cs="仿宋_GB2312"/>
          <w:b/>
          <w:bCs/>
          <w:snapToGrid w:val="0"/>
          <w:color w:val="000000" w:themeColor="text1"/>
          <w14:textFill>
            <w14:solidFill>
              <w14:schemeClr w14:val="tx1"/>
            </w14:solidFill>
          </w14:textFill>
        </w:rPr>
        <w:t>2.</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推动社区治理平台化发展</w:t>
      </w:r>
      <w:bookmarkEnd w:id="273"/>
      <w:bookmarkEnd w:id="274"/>
      <w:bookmarkEnd w:id="275"/>
      <w:bookmarkEnd w:id="276"/>
      <w:bookmarkEnd w:id="277"/>
      <w:bookmarkEnd w:id="27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深化完善网格化管理，推进全科网格建设，实现对网格内人、地、事、物、情的全天候、实时化、动态化、智能化的管理和服务。基于统一地址库和“块数据”智能底板，打造全区社会治理云平台，提升社会治理精细化和智能化水平。依托数字龙华城市大脑，加强社会治理大数据专题应用，不断增强社会风险预警、研判分析、决策指挥等能力，实现“一图社会治理”。 </w:t>
      </w:r>
    </w:p>
    <w:p>
      <w:pPr>
        <w:pStyle w:val="5"/>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napToGrid w:val="0"/>
          <w:color w:val="000000" w:themeColor="text1"/>
          <w14:textFill>
            <w14:solidFill>
              <w14:schemeClr w14:val="tx1"/>
            </w14:solidFill>
          </w14:textFill>
        </w:rPr>
      </w:pPr>
      <w:bookmarkStart w:id="279" w:name="_Toc74067374"/>
      <w:bookmarkStart w:id="280" w:name="_Toc9682"/>
      <w:bookmarkStart w:id="281" w:name="_Toc2774"/>
      <w:bookmarkStart w:id="282" w:name="_Toc12789"/>
      <w:bookmarkStart w:id="283" w:name="_Toc4617"/>
      <w:bookmarkStart w:id="284" w:name="_Toc15026"/>
      <w:r>
        <w:rPr>
          <w:rFonts w:hint="eastAsia" w:ascii="仿宋_GB2312" w:hAnsi="仿宋_GB2312" w:eastAsia="仿宋_GB2312" w:cs="仿宋_GB2312"/>
          <w:b/>
          <w:bCs/>
          <w:snapToGrid w:val="0"/>
          <w:color w:val="000000" w:themeColor="text1"/>
          <w14:textFill>
            <w14:solidFill>
              <w14:schemeClr w14:val="tx1"/>
            </w14:solidFill>
          </w14:textFill>
        </w:rPr>
        <w:t>3.</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提升社区智能化治理能力</w:t>
      </w:r>
      <w:bookmarkEnd w:id="279"/>
      <w:bookmarkEnd w:id="280"/>
      <w:bookmarkEnd w:id="281"/>
      <w:bookmarkEnd w:id="282"/>
      <w:bookmarkEnd w:id="283"/>
      <w:bookmarkEnd w:id="28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打造“未来社区”，建立“政府+企业+市民”的多元化城市治理结构，搭建统一的社区网格化协同治理模块，推进社区治理信息与区级综合治理云平台实时共享。针对社区基础信息采集、社情民意收集、安全隐患排查整治、矛盾纠纷排查化解等领域，重点加强对物业管理、社区环卫、违法经营、流动人口等问题的监管。提升社区立体化防控能力，根据社区众多、园区分散、难以联网且需对外提供服务等特点，运用云计算、5G、人工智能等新技术，打造云上智慧社区和云上群防群治平台，不断提升立体化防控能力，有效支撑数字龙华区域社区治理。</w:t>
      </w:r>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color w:val="000000" w:themeColor="text1"/>
          <w14:textFill>
            <w14:solidFill>
              <w14:schemeClr w14:val="tx1"/>
            </w14:solidFill>
          </w14:textFill>
        </w:rPr>
      </w:pPr>
      <w:bookmarkStart w:id="285" w:name="_Toc74067375"/>
      <w:bookmarkStart w:id="286" w:name="_Toc3687"/>
      <w:bookmarkStart w:id="287" w:name="_Toc14181"/>
      <w:bookmarkStart w:id="288" w:name="_Toc24917"/>
      <w:bookmarkStart w:id="289" w:name="_Toc17952"/>
      <w:bookmarkStart w:id="290" w:name="_Toc24253"/>
      <w:r>
        <w:rPr>
          <w:rFonts w:hint="eastAsia" w:ascii="黑体" w:hAnsi="黑体" w:eastAsia="黑体"/>
          <w:b w:val="0"/>
          <w:color w:val="000000" w:themeColor="text1"/>
          <w14:textFill>
            <w14:solidFill>
              <w14:schemeClr w14:val="tx1"/>
            </w14:solidFill>
          </w14:textFill>
        </w:rPr>
        <w:t>五、构筑数字政府“一网协同”，塑造政府运行新模式</w:t>
      </w:r>
      <w:bookmarkEnd w:id="285"/>
      <w:bookmarkEnd w:id="286"/>
      <w:bookmarkEnd w:id="287"/>
      <w:bookmarkEnd w:id="288"/>
      <w:bookmarkEnd w:id="289"/>
      <w:bookmarkEnd w:id="290"/>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楷体_GB2312" w:hAnsi="楷体" w:eastAsia="楷体_GB2312"/>
          <w:b w:val="0"/>
          <w:color w:val="000000" w:themeColor="text1"/>
          <w14:textFill>
            <w14:solidFill>
              <w14:schemeClr w14:val="tx1"/>
            </w14:solidFill>
          </w14:textFill>
        </w:rPr>
      </w:pPr>
      <w:bookmarkStart w:id="291" w:name="_Toc16301"/>
      <w:bookmarkStart w:id="292" w:name="_Toc8417"/>
      <w:bookmarkStart w:id="293" w:name="_Toc74067376"/>
      <w:bookmarkStart w:id="294" w:name="_Toc32303"/>
      <w:bookmarkStart w:id="295" w:name="_Toc31758"/>
      <w:bookmarkStart w:id="296" w:name="_Toc1614"/>
      <w:r>
        <w:rPr>
          <w:rFonts w:hint="eastAsia" w:ascii="楷体_GB2312" w:hAnsi="楷体" w:eastAsia="楷体_GB2312"/>
          <w:b w:val="0"/>
          <w:color w:val="000000" w:themeColor="text1"/>
          <w14:textFill>
            <w14:solidFill>
              <w14:schemeClr w14:val="tx1"/>
            </w14:solidFill>
          </w14:textFill>
        </w:rPr>
        <w:t>（一）推动数字经济创新发展</w:t>
      </w:r>
      <w:bookmarkEnd w:id="291"/>
      <w:bookmarkEnd w:id="292"/>
      <w:bookmarkEnd w:id="293"/>
      <w:bookmarkEnd w:id="294"/>
      <w:bookmarkEnd w:id="295"/>
      <w:bookmarkEnd w:id="296"/>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建设经济大数据综合平台，</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建立全区经济数据统一采集、接入、共享机制，全面融合汇聚经济相关数据，形成龙华经济运行数据资产，为经济分析提供坚实的数据基础。构建全区一体、协同高效、合理规范的经济工作业务中台和数据中台，梳理企业账户及经济要素数据关系，形成龙华企业画像，为区域经济运行及体征准确获取、运行趋势分析等提供支持。横向实现跨产业链经济数据关联，纵向实现产业发展供应链全程追踪，深度挖掘经济运行潜力、短板和关键因素，针对性的提供智能决策建议，科学、量化、精准把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区经济运行脉搏。建立企业信息统一申报、政策推送、受理审批、金融服务为一体的智能政企服务体系，端到端打通政府与企业的管服、供求渠道，提升政府对企业的管理与服务能力，发挥服务型政府在市场经济中的作用，辅助精准化、精细化政策制定，优化营商环境。建立“龙华经济运行全景图”，构建全方位的经济分析及推演模型，实现企业-产业-政策-服务的多层级、全链条可视化分析，从微观到宏观全面展示龙华经济态势，科学预测经济运行风险和发展趋势。</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360" w:lineRule="auto"/>
              <w:jc w:val="center"/>
              <w:rPr>
                <w:rFonts w:hint="eastAsia" w:ascii="仿宋_GB2312" w:hAnsi="仿宋" w:eastAsia="仿宋_GB2312" w:cs="仿宋_GB2312"/>
                <w:b/>
                <w:bCs/>
                <w:color w:val="000000" w:themeColor="text1"/>
                <w:kern w:val="0"/>
                <w:sz w:val="32"/>
                <w:szCs w:val="32"/>
                <w14:textFill>
                  <w14:solidFill>
                    <w14:schemeClr w14:val="tx1"/>
                  </w14:solidFill>
                </w14:textFill>
              </w:rPr>
            </w:pPr>
            <w:r>
              <w:rPr>
                <w:rFonts w:hint="eastAsia" w:ascii="黑体" w:hAnsi="黑体" w:eastAsia="黑体" w:cs="黑体"/>
                <w:snapToGrid w:val="0"/>
                <w:color w:val="000000" w:themeColor="text1"/>
                <w:sz w:val="28"/>
                <w:szCs w:val="28"/>
                <w14:textFill>
                  <w14:solidFill>
                    <w14:schemeClr w14:val="tx1"/>
                  </w14:solidFill>
                </w14:textFill>
              </w:rPr>
              <w:t>专栏四 数字经济应用创新重点工程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仿宋_GB2312"/>
                <w:b/>
                <w:bCs/>
                <w:color w:val="000000" w:themeColor="text1"/>
                <w:kern w:val="0"/>
                <w:sz w:val="24"/>
                <w:szCs w:val="24"/>
                <w14:textFill>
                  <w14:solidFill>
                    <w14:schemeClr w14:val="tx1"/>
                  </w14:solidFill>
                </w14:textFill>
              </w:rPr>
              <w:t>经济大数据综合平台。</w:t>
            </w:r>
            <w:r>
              <w:rPr>
                <w:rFonts w:hint="eastAsia" w:ascii="仿宋_GB2312" w:hAnsi="仿宋" w:eastAsia="仿宋_GB2312" w:cs="仿宋_GB2312"/>
                <w:color w:val="000000" w:themeColor="text1"/>
                <w:kern w:val="0"/>
                <w:sz w:val="24"/>
                <w:szCs w:val="24"/>
                <w14:textFill>
                  <w14:solidFill>
                    <w14:schemeClr w14:val="tx1"/>
                  </w14:solidFill>
                </w14:textFill>
              </w:rPr>
              <w:t>运用大数据、人工智能等新一代技术，实现全区各部门经济运行数据、产业政策数据、企业运营数据大融汇；构建产业政策服务、企业金融服务、行业人才服务为一体的全区经济运行服务支撑体系。</w:t>
            </w:r>
          </w:p>
        </w:tc>
      </w:tr>
    </w:tbl>
    <w:p>
      <w:pPr>
        <w:pStyle w:val="4"/>
        <w:spacing w:before="0" w:after="0" w:line="560" w:lineRule="exact"/>
        <w:ind w:firstLine="640" w:firstLineChars="200"/>
        <w:rPr>
          <w:rFonts w:ascii="楷体_GB2312" w:hAnsi="楷体" w:eastAsia="楷体_GB2312"/>
          <w:b w:val="0"/>
          <w:color w:val="000000" w:themeColor="text1"/>
          <w14:textFill>
            <w14:solidFill>
              <w14:schemeClr w14:val="tx1"/>
            </w14:solidFill>
          </w14:textFill>
        </w:rPr>
      </w:pPr>
      <w:bookmarkStart w:id="297" w:name="_Toc25489"/>
      <w:bookmarkStart w:id="298" w:name="_Toc28212"/>
      <w:bookmarkStart w:id="299" w:name="_Toc27991"/>
      <w:bookmarkStart w:id="300" w:name="_Toc74067377"/>
      <w:bookmarkStart w:id="301" w:name="_Toc21343"/>
      <w:bookmarkStart w:id="302" w:name="_Toc271"/>
      <w:r>
        <w:rPr>
          <w:rFonts w:hint="eastAsia" w:ascii="楷体_GB2312" w:hAnsi="楷体" w:eastAsia="楷体_GB2312"/>
          <w:b w:val="0"/>
          <w:color w:val="000000" w:themeColor="text1"/>
          <w14:textFill>
            <w14:solidFill>
              <w14:schemeClr w14:val="tx1"/>
            </w14:solidFill>
          </w14:textFill>
        </w:rPr>
        <w:t>（二）助力数字城区智慧运转</w:t>
      </w:r>
      <w:bookmarkEnd w:id="297"/>
      <w:bookmarkEnd w:id="298"/>
      <w:bookmarkEnd w:id="299"/>
      <w:bookmarkEnd w:id="300"/>
      <w:bookmarkEnd w:id="301"/>
      <w:bookmarkEnd w:id="302"/>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探索深圳北站综合管理、城市更新、消防管控、城中村管理、地下管网建管五大重点场景应用，开展先行先试。推动数字孪生平台建设，构建全区统一的数字化三维空间框架，打造决策更科学、管理更精细、信息更畅达的“未来城市”。推动深圳北站用深圳市可视化城市空间数字平台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龙华</w:t>
      </w:r>
      <w:r>
        <w:rPr>
          <w:rFonts w:hint="eastAsia" w:ascii="仿宋_GB2312" w:hAnsi="仿宋_GB2312" w:eastAsia="仿宋_GB2312" w:cs="仿宋_GB2312"/>
          <w:color w:val="000000" w:themeColor="text1"/>
          <w:sz w:val="32"/>
          <w:szCs w:val="32"/>
          <w14:textFill>
            <w14:solidFill>
              <w14:schemeClr w14:val="tx1"/>
            </w14:solidFill>
          </w14:textFill>
        </w:rPr>
        <w:t>区“智慧龙华”空间地理信息平台建设成果，构建地上下、室内外一体的全空间三维模型，集成多门类城市运行数据，实现全要素数据融合，并打造可视化、可预测、可学习的智能决策中枢，为空间优化和城市安全等提供一体化支撑，实现未来城市场景试验落地。推进北站片区“规划、建设、管理”全生命周期数字化管理，创新数字城市“规划、建设、管理”的框架体系、流程体系和标准体系，综合应用地理信息系统（GIS）、建筑信息模型（BIM）、城市信息模型（CIM）等数字化手段，建立全程管控、智能协同的城市规划建设管理一体化平台。到2025年，完成龙华数字孪生城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基础底座</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360" w:lineRule="auto"/>
              <w:jc w:val="center"/>
              <w:rPr>
                <w:rFonts w:hint="eastAsia" w:ascii="仿宋_GB2312" w:hAnsi="仿宋" w:eastAsia="仿宋_GB2312" w:cs="仿宋_GB2312"/>
                <w:b/>
                <w:bCs/>
                <w:color w:val="000000" w:themeColor="text1"/>
                <w:kern w:val="0"/>
                <w:sz w:val="32"/>
                <w:szCs w:val="32"/>
                <w14:textFill>
                  <w14:solidFill>
                    <w14:schemeClr w14:val="tx1"/>
                  </w14:solidFill>
                </w14:textFill>
              </w:rPr>
            </w:pPr>
            <w:r>
              <w:rPr>
                <w:rFonts w:hint="eastAsia" w:ascii="黑体" w:hAnsi="黑体" w:eastAsia="黑体" w:cs="黑体"/>
                <w:snapToGrid w:val="0"/>
                <w:color w:val="000000" w:themeColor="text1"/>
                <w:sz w:val="28"/>
                <w:szCs w:val="28"/>
                <w14:textFill>
                  <w14:solidFill>
                    <w14:schemeClr w14:val="tx1"/>
                  </w14:solidFill>
                </w14:textFill>
              </w:rPr>
              <w:t>专栏五 数字城区应用创新重点工程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 w:eastAsia="仿宋_GB2312" w:cs="仿宋_GB2312"/>
                <w:b/>
                <w:bCs/>
                <w:color w:val="000000" w:themeColor="text1"/>
                <w:kern w:val="0"/>
                <w:sz w:val="24"/>
                <w:szCs w:val="24"/>
                <w14:textFill>
                  <w14:solidFill>
                    <w14:schemeClr w14:val="tx1"/>
                  </w14:solidFill>
                </w14:textFill>
              </w:rPr>
              <w:t>未来城市操作系统深圳北站片区试点项目。</w:t>
            </w:r>
            <w:r>
              <w:rPr>
                <w:rFonts w:hint="eastAsia" w:ascii="仿宋_GB2312" w:hAnsi="仿宋" w:eastAsia="仿宋_GB2312" w:cs="Times New Roman"/>
                <w:snapToGrid w:val="0"/>
                <w:color w:val="000000" w:themeColor="text1"/>
                <w:kern w:val="0"/>
                <w:sz w:val="24"/>
                <w:szCs w:val="24"/>
                <w14:textFill>
                  <w14:solidFill>
                    <w14:schemeClr w14:val="tx1"/>
                  </w14:solidFill>
                </w14:textFill>
              </w:rPr>
              <w:t>加快数字孪生平台建设，以北站国家商务区为试点，建设地上下、室内外一体的全空间三维模型，汇聚各类时空信息数据，实现跨领域、跨部门和跨行业的数据整合，打造天空地立体感知网络，支撑城市物理空间和信息空间的动态实时感知、处理、分析、预警、监测等，并就重点领域开展未来城市场景试验，对城市规划、供需缺口、空间布局等进行动态分析并提供决策支持。</w:t>
            </w:r>
          </w:p>
        </w:tc>
      </w:tr>
    </w:tbl>
    <w:p>
      <w:pPr>
        <w:pStyle w:val="4"/>
        <w:spacing w:before="0" w:after="0" w:line="560" w:lineRule="exact"/>
        <w:ind w:firstLine="640" w:firstLineChars="200"/>
        <w:rPr>
          <w:rFonts w:hint="eastAsia" w:ascii="楷体_GB2312" w:hAnsi="楷体_GB2312" w:eastAsia="楷体_GB2312" w:cs="楷体_GB2312"/>
          <w:b w:val="0"/>
          <w:color w:val="000000" w:themeColor="text1"/>
          <w14:textFill>
            <w14:solidFill>
              <w14:schemeClr w14:val="tx1"/>
            </w14:solidFill>
          </w14:textFill>
        </w:rPr>
      </w:pPr>
      <w:bookmarkStart w:id="303" w:name="_Toc74067378"/>
      <w:bookmarkStart w:id="304" w:name="_Toc24867"/>
      <w:bookmarkStart w:id="305" w:name="_Toc20806"/>
      <w:bookmarkStart w:id="306" w:name="_Toc15409"/>
      <w:bookmarkStart w:id="307" w:name="_Toc2296"/>
      <w:bookmarkStart w:id="308" w:name="_Toc22166"/>
      <w:r>
        <w:rPr>
          <w:rFonts w:hint="eastAsia" w:ascii="楷体_GB2312" w:hAnsi="楷体_GB2312" w:eastAsia="楷体_GB2312" w:cs="楷体_GB2312"/>
          <w:b w:val="0"/>
          <w:color w:val="000000" w:themeColor="text1"/>
          <w14:textFill>
            <w14:solidFill>
              <w14:schemeClr w14:val="tx1"/>
            </w14:solidFill>
          </w14:textFill>
        </w:rPr>
        <w:t>（三）</w:t>
      </w:r>
      <w:bookmarkEnd w:id="303"/>
      <w:r>
        <w:rPr>
          <w:rFonts w:hint="eastAsia" w:ascii="楷体_GB2312" w:hAnsi="楷体_GB2312" w:eastAsia="楷体_GB2312" w:cs="楷体_GB2312"/>
          <w:b w:val="0"/>
          <w:color w:val="000000"/>
        </w:rPr>
        <w:t>推进数字治理泛在智慧</w:t>
      </w:r>
      <w:bookmarkEnd w:id="304"/>
      <w:bookmarkEnd w:id="305"/>
      <w:bookmarkEnd w:id="306"/>
      <w:bookmarkEnd w:id="307"/>
      <w:bookmarkEnd w:id="308"/>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color w:val="auto"/>
          <w:sz w:val="32"/>
          <w:szCs w:val="32"/>
        </w:rPr>
        <w:t>坚持</w:t>
      </w:r>
      <w:r>
        <w:rPr>
          <w:rFonts w:hint="eastAsia" w:ascii="仿宋_GB2312" w:hAnsi="仿宋_GB2312" w:eastAsia="仿宋_GB2312" w:cs="仿宋_GB2312"/>
          <w:bCs/>
          <w:color w:val="auto"/>
          <w:sz w:val="32"/>
          <w:szCs w:val="32"/>
        </w:rPr>
        <w:t>“党委领导、政府负责、社会协同、公众参与”治理格局和</w:t>
      </w:r>
      <w:r>
        <w:rPr>
          <w:rFonts w:hint="eastAsia" w:ascii="仿宋_GB2312" w:hAnsi="仿宋_GB2312" w:eastAsia="仿宋_GB2312" w:cs="仿宋_GB2312"/>
          <w:color w:val="auto"/>
          <w:sz w:val="32"/>
          <w:szCs w:val="32"/>
        </w:rPr>
        <w:t>以人民为中心发展思想，整体推进数字治理体系、基础支撑、全域融合、全民共治、孪生智能、生态业态等建设，打造最广泛的连接、最精准的算法、最立体的应用，一体化建成数治转型的赋能平台、多元共治的协作平台、美好生活的共享平台、开启未来的创新平台、数治产业的孵化平台，驱动社会治理质量变革、效率变革</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动力变革，推进治理体系和治理能力现代化，努力打造智慧治理示范区。支撑并推动党政工作、民生服务、公共安全、社会生活、经济发展等各领域高度协同、高度融合、高度智治，推动民生“七有”迈向“七优”，不断增强群众获得感、幸福感和安全感，</w:t>
      </w:r>
      <w:r>
        <w:rPr>
          <w:rFonts w:hint="eastAsia" w:ascii="仿宋_GB2312" w:hAnsi="仿宋_GB2312" w:eastAsia="仿宋_GB2312" w:cs="仿宋_GB2312"/>
          <w:color w:val="auto"/>
          <w:w w:val="95"/>
          <w:sz w:val="32"/>
          <w:szCs w:val="32"/>
        </w:rPr>
        <w:t>探索乃至引领符合高密度城区特点和规律的数字治理新模式</w:t>
      </w:r>
      <w:r>
        <w:rPr>
          <w:rFonts w:hint="eastAsia" w:ascii="仿宋_GB2312" w:hAnsi="仿宋" w:eastAsia="仿宋_GB2312" w:cs="Times New Roman"/>
          <w:snapToGrid w:val="0"/>
          <w:color w:val="000000" w:themeColor="text1"/>
          <w:w w:val="95"/>
          <w:kern w:val="0"/>
          <w:sz w:val="32"/>
          <w:szCs w:val="32"/>
          <w14:textFill>
            <w14:solidFill>
              <w14:schemeClr w14:val="tx1"/>
            </w14:solidFill>
          </w14:textFill>
        </w:rPr>
        <w:t>。</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pStyle w:val="14"/>
              <w:spacing w:before="0" w:beforeAutospacing="0" w:after="0" w:afterAutospacing="0" w:line="360" w:lineRule="auto"/>
              <w:jc w:val="center"/>
              <w:rPr>
                <w:rFonts w:hint="eastAsia" w:ascii="仿宋_GB2312" w:hAnsi="仿宋_GB2312" w:eastAsia="仿宋_GB2312" w:cs="仿宋_GB2312"/>
                <w:b/>
                <w:bCs/>
                <w:color w:val="auto"/>
                <w:sz w:val="32"/>
                <w:szCs w:val="32"/>
              </w:rPr>
            </w:pPr>
            <w:r>
              <w:rPr>
                <w:rFonts w:hint="eastAsia" w:ascii="黑体" w:hAnsi="黑体" w:eastAsia="黑体" w:cs="黑体"/>
                <w:snapToGrid w:val="0"/>
                <w:color w:val="000000" w:themeColor="text1"/>
                <w:sz w:val="28"/>
                <w:szCs w:val="28"/>
                <w14:textFill>
                  <w14:solidFill>
                    <w14:schemeClr w14:val="tx1"/>
                  </w14:solidFill>
                </w14:textFill>
              </w:rPr>
              <w:t>专栏六 数字治理应用创新重点工程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ascii="仿宋_GB2312" w:hAnsi="仿宋" w:eastAsia="仿宋_GB2312" w:cs="Times New Roman"/>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auto"/>
                <w:sz w:val="24"/>
                <w:szCs w:val="24"/>
              </w:rPr>
              <w:t>聚焦建设“六大工程”：一是</w:t>
            </w:r>
            <w:r>
              <w:rPr>
                <w:rFonts w:hint="eastAsia" w:ascii="仿宋_GB2312" w:hAnsi="仿宋_GB2312" w:eastAsia="仿宋_GB2312" w:cs="仿宋_GB2312"/>
                <w:color w:val="auto"/>
                <w:sz w:val="24"/>
                <w:szCs w:val="24"/>
              </w:rPr>
              <w:t>建立全区统一的多元共治团队、工作机制、建设标准，以标准化引领规范化、以制度化确保常态化、以数字化加速现代化，建成团队、机制、资源、业务、数据、流程、标准等“七个一体化”全区大一统治理体系。</w:t>
            </w:r>
            <w:r>
              <w:rPr>
                <w:rFonts w:hint="eastAsia" w:ascii="仿宋_GB2312" w:hAnsi="仿宋_GB2312" w:eastAsia="仿宋_GB2312" w:cs="仿宋_GB2312"/>
                <w:b/>
                <w:bCs/>
                <w:color w:val="auto"/>
                <w:sz w:val="24"/>
                <w:szCs w:val="24"/>
              </w:rPr>
              <w:t>二是</w:t>
            </w:r>
            <w:r>
              <w:rPr>
                <w:rFonts w:hint="eastAsia" w:ascii="仿宋_GB2312" w:hAnsi="仿宋_GB2312" w:eastAsia="仿宋_GB2312" w:cs="仿宋_GB2312"/>
                <w:color w:val="auto"/>
                <w:sz w:val="24"/>
                <w:szCs w:val="24"/>
              </w:rPr>
              <w:t>按照分布式架构、微服务路线，构造全区统一数字治理底座强化支撑，厘清权责全面融汇数据，推动空间地理、视频共享、物联感知、智能运算、区块链等优化升级，建成全区一体化的数字治理新型基础设施。</w:t>
            </w:r>
            <w:r>
              <w:rPr>
                <w:rFonts w:hint="eastAsia" w:ascii="仿宋_GB2312" w:hAnsi="仿宋_GB2312" w:eastAsia="仿宋_GB2312" w:cs="仿宋_GB2312"/>
                <w:b/>
                <w:bCs/>
                <w:color w:val="auto"/>
                <w:sz w:val="24"/>
                <w:szCs w:val="24"/>
              </w:rPr>
              <w:t>三是</w:t>
            </w:r>
            <w:r>
              <w:rPr>
                <w:rFonts w:hint="eastAsia" w:ascii="仿宋_GB2312" w:hAnsi="仿宋_GB2312" w:eastAsia="仿宋_GB2312" w:cs="仿宋_GB2312"/>
                <w:color w:val="auto"/>
                <w:sz w:val="24"/>
                <w:szCs w:val="24"/>
              </w:rPr>
              <w:t>整合全区分散系统，共建共享业务中台，统筹调配人事物策，统一对接协同上级，统管区级治理业务。鼓励和引导百花齐放基层创新，围绕“小切口”拓展治理场景，着力打造立体应用，实施综合治理、系统治理、源头治理，建成全域一盘棋治理格局。</w:t>
            </w:r>
            <w:r>
              <w:rPr>
                <w:rFonts w:hint="eastAsia" w:ascii="仿宋_GB2312" w:hAnsi="仿宋_GB2312" w:eastAsia="仿宋_GB2312" w:cs="仿宋_GB2312"/>
                <w:b/>
                <w:bCs/>
                <w:color w:val="auto"/>
                <w:sz w:val="24"/>
                <w:szCs w:val="24"/>
              </w:rPr>
              <w:t>四是</w:t>
            </w:r>
            <w:r>
              <w:rPr>
                <w:rFonts w:hint="eastAsia" w:ascii="仿宋_GB2312" w:hAnsi="仿宋_GB2312" w:eastAsia="仿宋_GB2312" w:cs="仿宋_GB2312"/>
                <w:color w:val="auto"/>
                <w:sz w:val="24"/>
                <w:szCs w:val="24"/>
              </w:rPr>
              <w:t>创新区块链、移动化等技术应用，联通企业、组织信息系统，</w:t>
            </w:r>
            <w:r>
              <w:rPr>
                <w:rFonts w:hint="eastAsia" w:ascii="仿宋_GB2312" w:hAnsi="仿宋_GB2312" w:eastAsia="仿宋_GB2312" w:cs="仿宋_GB2312"/>
                <w:bCs/>
                <w:color w:val="auto"/>
                <w:sz w:val="24"/>
                <w:szCs w:val="24"/>
              </w:rPr>
              <w:t>着力</w:t>
            </w:r>
            <w:r>
              <w:rPr>
                <w:rFonts w:hint="eastAsia" w:ascii="仿宋_GB2312" w:hAnsi="仿宋_GB2312" w:eastAsia="仿宋_GB2312" w:cs="仿宋_GB2312"/>
                <w:color w:val="auto"/>
                <w:sz w:val="24"/>
                <w:szCs w:val="24"/>
              </w:rPr>
              <w:t>打造广泛连接，营造多元主体共治生态，打通精准服务群众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最后一公里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，从“云治理”迈向无处不在“雾治理”，建成“人人有责、人人尽责、人人享有”数字治理共同体。</w:t>
            </w:r>
            <w:r>
              <w:rPr>
                <w:rFonts w:hint="eastAsia" w:ascii="仿宋_GB2312" w:hAnsi="仿宋_GB2312" w:eastAsia="仿宋_GB2312" w:cs="仿宋_GB2312"/>
                <w:b/>
                <w:bCs/>
                <w:color w:val="auto"/>
                <w:sz w:val="24"/>
                <w:szCs w:val="24"/>
              </w:rPr>
              <w:t>五是</w:t>
            </w:r>
            <w:r>
              <w:rPr>
                <w:rFonts w:hint="eastAsia" w:ascii="仿宋_GB2312" w:hAnsi="仿宋_GB2312" w:eastAsia="仿宋_GB2312" w:cs="仿宋_GB2312"/>
                <w:bCs/>
                <w:color w:val="auto"/>
                <w:sz w:val="24"/>
                <w:szCs w:val="24"/>
              </w:rPr>
              <w:t>建设全时空城市三维模型，织密全域传感监测触角，着力</w:t>
            </w:r>
            <w:r>
              <w:rPr>
                <w:rFonts w:hint="eastAsia" w:ascii="仿宋_GB2312" w:hAnsi="仿宋_GB2312" w:eastAsia="仿宋_GB2312" w:cs="仿宋_GB2312"/>
                <w:color w:val="auto"/>
                <w:sz w:val="24"/>
                <w:szCs w:val="24"/>
              </w:rPr>
              <w:t>打造精准算法，建成</w:t>
            </w:r>
            <w:r>
              <w:rPr>
                <w:rFonts w:hint="eastAsia" w:ascii="仿宋_GB2312" w:hAnsi="仿宋_GB2312" w:eastAsia="仿宋_GB2312" w:cs="仿宋_GB2312"/>
                <w:bCs/>
                <w:color w:val="auto"/>
                <w:sz w:val="24"/>
                <w:szCs w:val="24"/>
              </w:rPr>
              <w:t>社会治理时空大数据，拓展</w:t>
            </w:r>
            <w:r>
              <w:rPr>
                <w:rFonts w:hint="eastAsia" w:ascii="仿宋_GB2312" w:hAnsi="仿宋_GB2312" w:eastAsia="仿宋_GB2312" w:cs="仿宋_GB2312"/>
                <w:color w:val="auto"/>
                <w:sz w:val="24"/>
                <w:szCs w:val="24"/>
              </w:rPr>
              <w:t>未来城市试验区和“数字孪生城区”</w:t>
            </w:r>
            <w:r>
              <w:rPr>
                <w:rFonts w:hint="eastAsia" w:ascii="仿宋_GB2312" w:hAnsi="仿宋_GB2312" w:eastAsia="仿宋_GB2312" w:cs="仿宋_GB2312"/>
                <w:bCs/>
                <w:color w:val="auto"/>
                <w:sz w:val="24"/>
                <w:szCs w:val="24"/>
              </w:rPr>
              <w:t>示范应用，融合集成有知觉、会思考、自进化的“龙华智能体”。</w:t>
            </w:r>
            <w:r>
              <w:rPr>
                <w:rFonts w:hint="eastAsia" w:ascii="仿宋_GB2312" w:hAnsi="仿宋_GB2312" w:eastAsia="仿宋_GB2312" w:cs="仿宋_GB2312"/>
                <w:b/>
                <w:bCs/>
                <w:color w:val="auto"/>
                <w:sz w:val="24"/>
                <w:szCs w:val="24"/>
              </w:rPr>
              <w:t>六是</w:t>
            </w:r>
            <w:r>
              <w:rPr>
                <w:rFonts w:hint="eastAsia" w:ascii="仿宋_GB2312" w:hAnsi="仿宋_GB2312" w:eastAsia="仿宋_GB2312" w:cs="仿宋_GB2312"/>
                <w:color w:val="auto"/>
                <w:sz w:val="24"/>
                <w:szCs w:val="24"/>
              </w:rPr>
              <w:t>总结提炼实践经验和制度成果</w:t>
            </w:r>
            <w:r>
              <w:rPr>
                <w:rFonts w:hint="eastAsia" w:ascii="仿宋_GB2312" w:hAnsi="仿宋_GB2312" w:eastAsia="仿宋_GB2312" w:cs="仿宋_GB2312"/>
                <w:bCs/>
                <w:color w:val="auto"/>
                <w:sz w:val="24"/>
                <w:szCs w:val="24"/>
              </w:rPr>
              <w:t>，打造</w:t>
            </w:r>
            <w:r>
              <w:rPr>
                <w:rFonts w:hint="eastAsia" w:ascii="仿宋_GB2312" w:hAnsi="仿宋_GB2312" w:eastAsia="仿宋_GB2312" w:cs="仿宋_GB2312"/>
                <w:bCs/>
                <w:color w:val="auto"/>
                <w:kern w:val="0"/>
                <w:sz w:val="24"/>
                <w:szCs w:val="24"/>
              </w:rPr>
              <w:t>数字治理</w:t>
            </w:r>
            <w:r>
              <w:rPr>
                <w:rFonts w:hint="eastAsia" w:ascii="仿宋_GB2312" w:hAnsi="仿宋_GB2312" w:eastAsia="仿宋_GB2312" w:cs="仿宋_GB2312"/>
                <w:color w:val="auto"/>
                <w:sz w:val="24"/>
                <w:szCs w:val="24"/>
              </w:rPr>
              <w:t>理论高地，</w:t>
            </w:r>
            <w:r>
              <w:rPr>
                <w:rFonts w:hint="eastAsia" w:ascii="仿宋_GB2312" w:hAnsi="仿宋_GB2312" w:eastAsia="仿宋_GB2312" w:cs="仿宋_GB2312"/>
                <w:bCs/>
                <w:color w:val="auto"/>
                <w:sz w:val="24"/>
                <w:szCs w:val="24"/>
              </w:rPr>
              <w:t>营造数字治理业态生态，</w:t>
            </w:r>
            <w:r>
              <w:rPr>
                <w:rFonts w:hint="eastAsia" w:ascii="仿宋_GB2312" w:hAnsi="仿宋_GB2312" w:eastAsia="仿宋_GB2312" w:cs="仿宋_GB2312"/>
                <w:color w:val="auto"/>
                <w:sz w:val="24"/>
                <w:szCs w:val="24"/>
              </w:rPr>
              <w:t>面向世界</w:t>
            </w:r>
            <w:r>
              <w:rPr>
                <w:rFonts w:hint="eastAsia" w:ascii="仿宋_GB2312" w:hAnsi="仿宋_GB2312" w:eastAsia="仿宋_GB2312" w:cs="仿宋_GB2312"/>
                <w:bCs/>
                <w:color w:val="auto"/>
                <w:sz w:val="24"/>
                <w:szCs w:val="24"/>
              </w:rPr>
              <w:t>广泛宣传</w:t>
            </w:r>
            <w:r>
              <w:rPr>
                <w:rFonts w:hint="eastAsia" w:ascii="仿宋_GB2312" w:hAnsi="仿宋_GB2312" w:eastAsia="仿宋_GB2312" w:cs="仿宋_GB2312"/>
                <w:color w:val="auto"/>
                <w:sz w:val="24"/>
                <w:szCs w:val="24"/>
              </w:rPr>
              <w:t>推介龙华之治</w:t>
            </w:r>
            <w:r>
              <w:rPr>
                <w:rFonts w:hint="eastAsia" w:ascii="仿宋_GB2312" w:hAnsi="仿宋_GB2312" w:eastAsia="仿宋_GB2312" w:cs="仿宋_GB2312"/>
                <w:bCs/>
                <w:color w:val="auto"/>
                <w:sz w:val="24"/>
                <w:szCs w:val="24"/>
              </w:rPr>
              <w:t>，</w:t>
            </w:r>
            <w:r>
              <w:rPr>
                <w:rStyle w:val="18"/>
                <w:rFonts w:hint="eastAsia" w:ascii="仿宋_GB2312" w:hAnsi="仿宋_GB2312" w:eastAsia="仿宋_GB2312" w:cs="仿宋_GB2312"/>
                <w:color w:val="auto"/>
                <w:sz w:val="24"/>
                <w:szCs w:val="24"/>
              </w:rPr>
              <w:t>提升数治龙华知名度、获得感、影响力，</w:t>
            </w:r>
            <w:r>
              <w:rPr>
                <w:rFonts w:hint="eastAsia" w:ascii="仿宋_GB2312" w:hAnsi="仿宋_GB2312" w:eastAsia="仿宋_GB2312" w:cs="仿宋_GB2312"/>
                <w:bCs/>
                <w:color w:val="auto"/>
                <w:sz w:val="24"/>
                <w:szCs w:val="24"/>
              </w:rPr>
              <w:t>擦亮数字龙华金字招牌，</w:t>
            </w:r>
            <w:r>
              <w:rPr>
                <w:rFonts w:hint="eastAsia" w:ascii="仿宋_GB2312" w:hAnsi="仿宋_GB2312" w:eastAsia="仿宋_GB2312" w:cs="仿宋_GB2312"/>
                <w:color w:val="auto"/>
                <w:sz w:val="24"/>
                <w:szCs w:val="24"/>
              </w:rPr>
              <w:t>服务和促进</w:t>
            </w:r>
            <w:r>
              <w:rPr>
                <w:rStyle w:val="18"/>
                <w:rFonts w:hint="eastAsia" w:ascii="仿宋_GB2312" w:hAnsi="仿宋_GB2312" w:eastAsia="仿宋_GB2312" w:cs="仿宋_GB2312"/>
                <w:color w:val="auto"/>
                <w:sz w:val="24"/>
                <w:szCs w:val="24"/>
              </w:rPr>
              <w:t>数字经济发展</w:t>
            </w:r>
            <w:r>
              <w:rPr>
                <w:rFonts w:hint="eastAsia" w:ascii="仿宋_GB2312" w:hAnsi="仿宋_GB2312" w:eastAsia="仿宋_GB2312" w:cs="仿宋_GB2312"/>
                <w:color w:val="auto"/>
                <w:sz w:val="24"/>
                <w:szCs w:val="24"/>
              </w:rPr>
              <w:t>。</w:t>
            </w:r>
          </w:p>
        </w:tc>
      </w:tr>
    </w:tbl>
    <w:p>
      <w:pPr>
        <w:pStyle w:val="4"/>
        <w:keepNext/>
        <w:keepLines/>
        <w:pageBreakBefore w:val="0"/>
        <w:widowControl w:val="0"/>
        <w:kinsoku/>
        <w:wordWrap/>
        <w:overflowPunct/>
        <w:topLinePunct w:val="0"/>
        <w:autoSpaceDE/>
        <w:autoSpaceDN/>
        <w:bidi w:val="0"/>
        <w:adjustRightInd w:val="0"/>
        <w:snapToGrid/>
        <w:spacing w:before="157" w:beforeLines="50" w:after="0" w:line="560" w:lineRule="exact"/>
        <w:ind w:firstLine="640" w:firstLineChars="200"/>
        <w:textAlignment w:val="auto"/>
        <w:rPr>
          <w:rFonts w:ascii="楷体_GB2312" w:hAnsi="楷体" w:eastAsia="楷体_GB2312"/>
          <w:b w:val="0"/>
          <w:color w:val="000000" w:themeColor="text1"/>
          <w14:textFill>
            <w14:solidFill>
              <w14:schemeClr w14:val="tx1"/>
            </w14:solidFill>
          </w14:textFill>
        </w:rPr>
      </w:pPr>
      <w:bookmarkStart w:id="309" w:name="_Toc28811"/>
      <w:bookmarkStart w:id="310" w:name="_Toc74067379"/>
      <w:bookmarkStart w:id="311" w:name="_Toc24184"/>
      <w:bookmarkStart w:id="312" w:name="_Toc29713"/>
      <w:bookmarkStart w:id="313" w:name="_Toc17863"/>
      <w:bookmarkStart w:id="314" w:name="_Toc27156"/>
      <w:r>
        <w:rPr>
          <w:rFonts w:hint="eastAsia" w:ascii="楷体_GB2312" w:hAnsi="楷体" w:eastAsia="楷体_GB2312"/>
          <w:b w:val="0"/>
          <w:color w:val="000000" w:themeColor="text1"/>
          <w14:textFill>
            <w14:solidFill>
              <w14:schemeClr w14:val="tx1"/>
            </w14:solidFill>
          </w14:textFill>
        </w:rPr>
        <w:t>（四）强化高效务实的行政效能</w:t>
      </w:r>
      <w:bookmarkEnd w:id="309"/>
      <w:bookmarkEnd w:id="310"/>
      <w:bookmarkEnd w:id="311"/>
      <w:bookmarkEnd w:id="312"/>
      <w:bookmarkEnd w:id="313"/>
      <w:bookmarkEnd w:id="314"/>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全面推进政府机关内部数字化进程，推动内部业务协同流程再造，创新政府内部办事模式，切实推进基层减负，全面提升政府数字化履职水平，以数字化激发行政效能新活力。</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315" w:name="_Toc19989"/>
      <w:bookmarkStart w:id="316" w:name="_Toc7400"/>
      <w:bookmarkStart w:id="317" w:name="_Toc74067380"/>
      <w:bookmarkStart w:id="318" w:name="_Toc3394"/>
      <w:bookmarkStart w:id="319" w:name="_Toc20301"/>
      <w:bookmarkStart w:id="320" w:name="_Toc8157"/>
      <w:r>
        <w:rPr>
          <w:rFonts w:hint="eastAsia" w:ascii="仿宋_GB2312" w:hAnsi="仿宋_GB2312" w:eastAsia="仿宋_GB2312" w:cs="仿宋_GB2312"/>
          <w:b/>
          <w:bCs/>
          <w:snapToGrid w:val="0"/>
          <w:color w:val="000000" w:themeColor="text1"/>
          <w14:textFill>
            <w14:solidFill>
              <w14:schemeClr w14:val="tx1"/>
            </w14:solidFill>
          </w14:textFill>
        </w:rPr>
        <w:t>1.</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推动协同办文应用创新</w:t>
      </w:r>
      <w:bookmarkEnd w:id="315"/>
      <w:bookmarkEnd w:id="316"/>
      <w:bookmarkEnd w:id="317"/>
      <w:bookmarkEnd w:id="318"/>
      <w:bookmarkEnd w:id="319"/>
      <w:bookmarkEnd w:id="320"/>
    </w:p>
    <w:p>
      <w:pPr>
        <w:pStyle w:val="19"/>
        <w:spacing w:line="560" w:lineRule="exact"/>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持续优化统一协同办公平台，整合各部门办公系统，覆盖党委、人大、政协，拓展协同办公平台服务能力，集成各部门个性化需求服务。完善移动政务办公功能，升级优化督查督办、信息报送、工作交流、应急处置等应用功能，推动政务工作移动化、协同式办理。加强协同办公平台与移动政务办公平台对接，推动公文在各终端实现各单位各层级文件的直接交换和实时跟踪显示，实现政务数据共建共享，赋能政务科学精准决策增效。</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321" w:name="_Toc74067381"/>
      <w:bookmarkStart w:id="322" w:name="_Toc23577"/>
      <w:bookmarkStart w:id="323" w:name="_Toc14775"/>
      <w:bookmarkStart w:id="324" w:name="_Toc32743"/>
      <w:bookmarkStart w:id="325" w:name="_Toc12905"/>
      <w:bookmarkStart w:id="326" w:name="_Toc14172"/>
      <w:r>
        <w:rPr>
          <w:rFonts w:hint="eastAsia" w:ascii="仿宋_GB2312" w:hAnsi="仿宋_GB2312" w:eastAsia="仿宋_GB2312" w:cs="仿宋_GB2312"/>
          <w:b/>
          <w:bCs/>
          <w:snapToGrid w:val="0"/>
          <w:color w:val="000000" w:themeColor="text1"/>
          <w14:textFill>
            <w14:solidFill>
              <w14:schemeClr w14:val="tx1"/>
            </w14:solidFill>
          </w14:textFill>
        </w:rPr>
        <w:t>2.</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推动远程办会协作高效</w:t>
      </w:r>
      <w:bookmarkEnd w:id="321"/>
      <w:bookmarkEnd w:id="322"/>
      <w:bookmarkEnd w:id="323"/>
      <w:bookmarkEnd w:id="324"/>
      <w:bookmarkEnd w:id="325"/>
      <w:bookmarkEnd w:id="326"/>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大“视频会商”系统推广应用，推动各职能部门通过“视频会商”开展多方会议，提高政府内部办会效率。拓展完善上传下达、移动入会、指挥调度、远程培训、应急巡查等视频互动协作应用，推动将一线险情、抢险救援、社会救助等视讯资源实时整合，通过“视频会商”平台实时沟通突发事件处理情况及高效部署相关工作，提高政府应对紧急事件的响应速度。</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327" w:name="_Toc10918"/>
      <w:bookmarkStart w:id="328" w:name="_Toc74067382"/>
      <w:bookmarkStart w:id="329" w:name="_Toc2146"/>
      <w:bookmarkStart w:id="330" w:name="_Toc28075"/>
      <w:bookmarkStart w:id="331" w:name="_Toc23017"/>
      <w:bookmarkStart w:id="332" w:name="_Toc16973"/>
      <w:r>
        <w:rPr>
          <w:rFonts w:hint="eastAsia" w:ascii="仿宋_GB2312" w:hAnsi="仿宋_GB2312" w:eastAsia="仿宋_GB2312" w:cs="仿宋_GB2312"/>
          <w:b/>
          <w:bCs/>
          <w:snapToGrid w:val="0"/>
          <w:color w:val="000000" w:themeColor="text1"/>
          <w14:textFill>
            <w14:solidFill>
              <w14:schemeClr w14:val="tx1"/>
            </w14:solidFill>
          </w14:textFill>
        </w:rPr>
        <w:t>3.</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推动内部办事“零跑动”</w:t>
      </w:r>
      <w:bookmarkEnd w:id="327"/>
      <w:bookmarkEnd w:id="328"/>
      <w:bookmarkEnd w:id="329"/>
      <w:bookmarkEnd w:id="330"/>
      <w:bookmarkEnd w:id="331"/>
      <w:bookmarkEnd w:id="332"/>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政府内部制度创新，按照整体政府的理念开展政府内部“零跑动”改革，聚焦业务协同流程再造，面向部门间办事事项，梳理并逐步推出“零跑动”清单。推动机关内部非涉密“零跑动”办事事项通过协同办公平台全程网上办理，加强财务、人事等办事系统整合共享，并接入移动政务办公平台，实现机关内部“零跑动”事项全程电子化、指尖化，提高内部办事效率和满意度。</w:t>
      </w:r>
    </w:p>
    <w:p>
      <w:pPr>
        <w:pStyle w:val="4"/>
        <w:spacing w:before="0" w:after="0" w:line="560" w:lineRule="exact"/>
        <w:ind w:firstLine="640" w:firstLineChars="200"/>
        <w:rPr>
          <w:rFonts w:ascii="黑体" w:hAnsi="黑体" w:eastAsia="黑体"/>
          <w:b w:val="0"/>
          <w:color w:val="000000" w:themeColor="text1"/>
          <w14:textFill>
            <w14:solidFill>
              <w14:schemeClr w14:val="tx1"/>
            </w14:solidFill>
          </w14:textFill>
        </w:rPr>
      </w:pPr>
      <w:bookmarkStart w:id="333" w:name="_Toc74067384"/>
      <w:bookmarkStart w:id="334" w:name="_Toc5465"/>
      <w:bookmarkStart w:id="335" w:name="_Toc18969"/>
      <w:bookmarkStart w:id="336" w:name="_Toc14210"/>
      <w:bookmarkStart w:id="337" w:name="_Toc19852"/>
      <w:bookmarkStart w:id="338" w:name="_Toc7331"/>
      <w:r>
        <w:rPr>
          <w:rFonts w:hint="eastAsia" w:ascii="黑体" w:hAnsi="黑体" w:eastAsia="黑体"/>
          <w:b w:val="0"/>
          <w:color w:val="000000" w:themeColor="text1"/>
          <w14:textFill>
            <w14:solidFill>
              <w14:schemeClr w14:val="tx1"/>
            </w14:solidFill>
          </w14:textFill>
        </w:rPr>
        <w:t>六、挖掘数据要素价值，打造数字经济新引擎</w:t>
      </w:r>
      <w:bookmarkEnd w:id="333"/>
      <w:bookmarkEnd w:id="334"/>
      <w:bookmarkEnd w:id="335"/>
      <w:bookmarkEnd w:id="336"/>
      <w:bookmarkEnd w:id="337"/>
      <w:bookmarkEnd w:id="338"/>
    </w:p>
    <w:p>
      <w:pPr>
        <w:pStyle w:val="4"/>
        <w:spacing w:before="0" w:after="0" w:line="560" w:lineRule="exact"/>
        <w:ind w:firstLine="640" w:firstLineChars="200"/>
        <w:rPr>
          <w:rFonts w:ascii="楷体_GB2312" w:hAnsi="楷体" w:eastAsia="楷体_GB2312"/>
          <w:b w:val="0"/>
          <w:color w:val="000000" w:themeColor="text1"/>
          <w14:textFill>
            <w14:solidFill>
              <w14:schemeClr w14:val="tx1"/>
            </w14:solidFill>
          </w14:textFill>
        </w:rPr>
      </w:pPr>
      <w:bookmarkStart w:id="339" w:name="_Toc30971"/>
      <w:bookmarkStart w:id="340" w:name="_Toc31023"/>
      <w:bookmarkStart w:id="341" w:name="_Toc11018"/>
      <w:bookmarkStart w:id="342" w:name="_Toc74067385"/>
      <w:bookmarkStart w:id="343" w:name="_Toc26542"/>
      <w:bookmarkStart w:id="344" w:name="_Toc20922"/>
      <w:r>
        <w:rPr>
          <w:rFonts w:hint="eastAsia" w:ascii="楷体_GB2312" w:hAnsi="楷体" w:eastAsia="楷体_GB2312"/>
          <w:b w:val="0"/>
          <w:color w:val="000000" w:themeColor="text1"/>
          <w14:textFill>
            <w14:solidFill>
              <w14:schemeClr w14:val="tx1"/>
            </w14:solidFill>
          </w14:textFill>
        </w:rPr>
        <w:t>（一）建立清晰明确的数据资源体系</w:t>
      </w:r>
      <w:bookmarkEnd w:id="339"/>
      <w:bookmarkEnd w:id="340"/>
      <w:bookmarkEnd w:id="341"/>
      <w:bookmarkEnd w:id="342"/>
      <w:bookmarkEnd w:id="343"/>
      <w:bookmarkEnd w:id="344"/>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完善公共数据资源开发利用法治环境，建立统一协调的公共数据管理体系，创新公共数据开发运营模式和授权运营机制，为公共数据开发利用和数据要素高效配置奠定基础。</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345" w:name="_Toc18488"/>
      <w:bookmarkStart w:id="346" w:name="_Toc31866"/>
      <w:bookmarkStart w:id="347" w:name="_Toc21848"/>
      <w:bookmarkStart w:id="348" w:name="_Toc5990"/>
      <w:bookmarkStart w:id="349" w:name="_Toc74067386"/>
      <w:bookmarkStart w:id="350" w:name="_Toc14136"/>
      <w:r>
        <w:rPr>
          <w:rFonts w:hint="eastAsia" w:ascii="仿宋_GB2312" w:hAnsi="仿宋_GB2312" w:eastAsia="仿宋_GB2312" w:cs="仿宋_GB2312"/>
          <w:b/>
          <w:bCs/>
          <w:snapToGrid w:val="0"/>
          <w:color w:val="000000" w:themeColor="text1"/>
          <w14:textFill>
            <w14:solidFill>
              <w14:schemeClr w14:val="tx1"/>
            </w14:solidFill>
          </w14:textFill>
        </w:rPr>
        <w:t>1.</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创新公共数据资源制度机制</w:t>
      </w:r>
      <w:bookmarkEnd w:id="345"/>
      <w:bookmarkEnd w:id="346"/>
      <w:bookmarkEnd w:id="347"/>
      <w:bookmarkEnd w:id="348"/>
      <w:bookmarkEnd w:id="349"/>
      <w:bookmarkEnd w:id="350"/>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研究出台龙华区公共数据管理办法，完善公共数据资源开发利用法治环境</w:t>
      </w:r>
      <w:r>
        <w:rPr>
          <w:rFonts w:hint="eastAsia" w:ascii="仿宋_GB2312" w:hAnsi="仿宋_GB2312" w:eastAsia="仿宋_GB2312" w:cs="仿宋_GB2312"/>
          <w:color w:val="auto"/>
          <w:sz w:val="32"/>
          <w:szCs w:val="32"/>
        </w:rPr>
        <w:t>，建立公共数据与社会数据融合利用的</w:t>
      </w:r>
      <w:r>
        <w:rPr>
          <w:rFonts w:hint="eastAsia" w:ascii="仿宋_GB2312" w:hAnsi="仿宋_GB2312" w:eastAsia="仿宋_GB2312" w:cs="仿宋_GB2312"/>
          <w:color w:val="auto"/>
          <w:sz w:val="32"/>
          <w:szCs w:val="32"/>
          <w:lang w:eastAsia="zh-CN"/>
        </w:rPr>
        <w:t>治理</w:t>
      </w:r>
      <w:r>
        <w:rPr>
          <w:rFonts w:hint="eastAsia" w:ascii="仿宋_GB2312" w:hAnsi="仿宋_GB2312" w:eastAsia="仿宋_GB2312" w:cs="仿宋_GB2312"/>
          <w:color w:val="auto"/>
          <w:sz w:val="32"/>
          <w:szCs w:val="32"/>
        </w:rPr>
        <w:t>框架。</w:t>
      </w:r>
      <w:r>
        <w:rPr>
          <w:rFonts w:hint="eastAsia" w:ascii="仿宋_GB2312" w:hAnsi="仿宋_GB2312" w:eastAsia="仿宋_GB2312" w:cs="仿宋_GB2312"/>
          <w:color w:val="auto"/>
          <w:sz w:val="32"/>
          <w:szCs w:val="32"/>
          <w:shd w:val="clear" w:color="auto" w:fill="FFFFFF"/>
        </w:rPr>
        <w:t>完善数据产权制度，</w:t>
      </w:r>
      <w:r>
        <w:rPr>
          <w:rFonts w:hint="eastAsia" w:ascii="仿宋_GB2312" w:hAnsi="仿宋_GB2312" w:eastAsia="仿宋_GB2312" w:cs="仿宋_GB2312"/>
          <w:color w:val="auto"/>
          <w:sz w:val="32"/>
          <w:szCs w:val="32"/>
        </w:rPr>
        <w:t>推进公共数据资源资产确权登记，</w:t>
      </w:r>
      <w:r>
        <w:rPr>
          <w:rFonts w:hint="eastAsia" w:ascii="仿宋_GB2312" w:hAnsi="仿宋_GB2312" w:eastAsia="仿宋_GB2312" w:cs="仿宋_GB2312"/>
          <w:color w:val="auto"/>
          <w:sz w:val="32"/>
          <w:szCs w:val="32"/>
          <w:shd w:val="clear" w:color="auto" w:fill="FFFFFF"/>
        </w:rPr>
        <w:t>探索数据产权保护和利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用新机制，建立数据隐私保护制度。</w:t>
      </w:r>
      <w:r>
        <w:rPr>
          <w:rFonts w:hint="eastAsia" w:ascii="仿宋_GB2312" w:hAnsi="仿宋_GB2312" w:eastAsia="仿宋_GB2312" w:cs="仿宋_GB2312"/>
          <w:color w:val="000000" w:themeColor="text1"/>
          <w:sz w:val="32"/>
          <w:szCs w:val="32"/>
          <w14:textFill>
            <w14:solidFill>
              <w14:schemeClr w14:val="tx1"/>
            </w14:solidFill>
          </w14:textFill>
        </w:rPr>
        <w:t>建立统一协调的公共数据资源开发利用组织架构，在区数字政府改革建设工作领导小组框架下，负责统筹全区公共资源开发利用工作。</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351" w:name="_Toc31496"/>
      <w:bookmarkStart w:id="352" w:name="_Toc15694"/>
      <w:bookmarkStart w:id="353" w:name="_Toc4483"/>
      <w:bookmarkStart w:id="354" w:name="_Toc30197"/>
      <w:bookmarkStart w:id="355" w:name="_Toc74067387"/>
      <w:bookmarkStart w:id="356" w:name="_Toc4236"/>
      <w:r>
        <w:rPr>
          <w:rFonts w:hint="eastAsia" w:ascii="仿宋_GB2312" w:hAnsi="仿宋_GB2312" w:eastAsia="仿宋_GB2312" w:cs="仿宋_GB2312"/>
          <w:b/>
          <w:bCs/>
          <w:snapToGrid w:val="0"/>
          <w:color w:val="000000" w:themeColor="text1"/>
          <w14:textFill>
            <w14:solidFill>
              <w14:schemeClr w14:val="tx1"/>
            </w14:solidFill>
          </w14:textFill>
        </w:rPr>
        <w:t>2.</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开展公共数据资源普查</w:t>
      </w:r>
      <w:bookmarkEnd w:id="351"/>
      <w:bookmarkEnd w:id="352"/>
      <w:bookmarkEnd w:id="353"/>
      <w:bookmarkEnd w:id="354"/>
      <w:bookmarkEnd w:id="355"/>
      <w:bookmarkEnd w:id="356"/>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面向全区各级行政机关和公共企事业单位开展信息化能力和公共数据资源普查，摸清公共数据资源家底。制定全区公共数据资源目录编制指南和元数据标准，形成全区统一的系统清单、数据清单、需求清单，建成统一高效、互联互通、质量可靠的数据资源体系。制定公共数据汇聚评价考核制度，督促各地各部门落实数据普查、编目、汇聚责任。</w:t>
      </w:r>
    </w:p>
    <w:p>
      <w:pPr>
        <w:pStyle w:val="4"/>
        <w:spacing w:before="0" w:after="0" w:line="560" w:lineRule="exact"/>
        <w:ind w:firstLine="640" w:firstLineChars="200"/>
        <w:rPr>
          <w:rFonts w:ascii="楷体_GB2312" w:hAnsi="楷体" w:eastAsia="楷体_GB2312"/>
          <w:b w:val="0"/>
          <w:bCs w:val="0"/>
          <w:color w:val="000000" w:themeColor="text1"/>
          <w14:textFill>
            <w14:solidFill>
              <w14:schemeClr w14:val="tx1"/>
            </w14:solidFill>
          </w14:textFill>
        </w:rPr>
      </w:pPr>
      <w:bookmarkStart w:id="357" w:name="_Toc13421"/>
      <w:bookmarkStart w:id="358" w:name="_Toc15852"/>
      <w:bookmarkStart w:id="359" w:name="_Toc523"/>
      <w:bookmarkStart w:id="360" w:name="_Toc4927"/>
      <w:bookmarkStart w:id="361" w:name="_Toc74067388"/>
      <w:bookmarkStart w:id="362" w:name="_Toc30862"/>
      <w:r>
        <w:rPr>
          <w:rFonts w:hint="eastAsia" w:ascii="楷体_GB2312" w:hAnsi="楷体" w:eastAsia="楷体_GB2312"/>
          <w:b w:val="0"/>
          <w:bCs w:val="0"/>
          <w:color w:val="000000" w:themeColor="text1"/>
          <w14:textFill>
            <w14:solidFill>
              <w14:schemeClr w14:val="tx1"/>
            </w14:solidFill>
          </w14:textFill>
        </w:rPr>
        <w:t>（二）推动高效务实的数据开发利用</w:t>
      </w:r>
      <w:bookmarkEnd w:id="357"/>
      <w:bookmarkEnd w:id="358"/>
      <w:bookmarkEnd w:id="359"/>
      <w:bookmarkEnd w:id="360"/>
      <w:bookmarkEnd w:id="361"/>
      <w:bookmarkEnd w:id="362"/>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围绕具体场景开展公共数据资源试点应用，推进公共数据资源开发利用模式创新，建立多元协同、高效务实、安全有序的公共数据资源开发利用体系。</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363" w:name="_Toc74067389"/>
      <w:bookmarkStart w:id="364" w:name="_Toc32450"/>
      <w:bookmarkStart w:id="365" w:name="_Toc12198"/>
      <w:bookmarkStart w:id="366" w:name="_Toc31971"/>
      <w:bookmarkStart w:id="367" w:name="_Toc18382"/>
      <w:bookmarkStart w:id="368" w:name="_Toc18295"/>
      <w:r>
        <w:rPr>
          <w:rFonts w:hint="eastAsia" w:ascii="仿宋_GB2312" w:hAnsi="仿宋_GB2312" w:eastAsia="仿宋_GB2312" w:cs="仿宋_GB2312"/>
          <w:b/>
          <w:bCs/>
          <w:snapToGrid w:val="0"/>
          <w:color w:val="000000" w:themeColor="text1"/>
          <w14:textFill>
            <w14:solidFill>
              <w14:schemeClr w14:val="tx1"/>
            </w14:solidFill>
          </w14:textFill>
        </w:rPr>
        <w:t>1.</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全面推进公共数据资源开放</w:t>
      </w:r>
      <w:bookmarkEnd w:id="363"/>
      <w:bookmarkEnd w:id="364"/>
      <w:bookmarkEnd w:id="365"/>
      <w:bookmarkEnd w:id="366"/>
      <w:bookmarkEnd w:id="367"/>
      <w:bookmarkEnd w:id="368"/>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公共数据开放负面清单，完善公共数据开放目录管理机制，构建公共数据分级分类开放目录和动态更新机制。完善数据开放标准规范，提升公共数据开放质量和应用水平。健全公共数据定向开放、授权开放管理制度，有序释放公共数据进入市场化流通。探索建立全区政府数据统一开放平台，优化平台功能，加强平台运营管理。</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369" w:name="_Toc74067390"/>
      <w:bookmarkStart w:id="370" w:name="_Toc17159"/>
      <w:bookmarkStart w:id="371" w:name="_Toc31783"/>
      <w:bookmarkStart w:id="372" w:name="_Toc8618"/>
      <w:bookmarkStart w:id="373" w:name="_Toc27046"/>
      <w:bookmarkStart w:id="374" w:name="_Toc10055"/>
      <w:r>
        <w:rPr>
          <w:rFonts w:hint="eastAsia" w:ascii="仿宋_GB2312" w:hAnsi="仿宋_GB2312" w:eastAsia="仿宋_GB2312" w:cs="仿宋_GB2312"/>
          <w:b/>
          <w:bCs/>
          <w:snapToGrid w:val="0"/>
          <w:color w:val="000000" w:themeColor="text1"/>
          <w14:textFill>
            <w14:solidFill>
              <w14:schemeClr w14:val="tx1"/>
            </w14:solidFill>
          </w14:textFill>
        </w:rPr>
        <w:t>2.</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探索数据资源开发利用模式</w:t>
      </w:r>
      <w:bookmarkEnd w:id="369"/>
      <w:bookmarkEnd w:id="370"/>
      <w:bookmarkEnd w:id="371"/>
      <w:bookmarkEnd w:id="372"/>
      <w:bookmarkEnd w:id="373"/>
      <w:bookmarkEnd w:id="374"/>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创新政务大数据中心数据服务模式，建立区政务大数据中心对市场主体的数据服务规则和流程，满足市场主体对公共数据资源的应用需求。支持深圳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建设粤港澳大湾区数据平台</w:t>
      </w:r>
      <w:r>
        <w:rPr>
          <w:rFonts w:hint="eastAsia" w:ascii="仿宋_GB2312" w:hAnsi="仿宋_GB2312" w:eastAsia="仿宋_GB2312" w:cs="仿宋_GB2312"/>
          <w:color w:val="000000" w:themeColor="text1"/>
          <w:sz w:val="32"/>
          <w:szCs w:val="32"/>
          <w14:textFill>
            <w14:solidFill>
              <w14:schemeClr w14:val="tx1"/>
            </w14:solidFill>
          </w14:textFill>
        </w:rPr>
        <w:t>，促进数据资源在大湾区充分汇聚、顺畅流动和深度应用。引导市场主体探索公共数据资源开发利用，鼓励掌握数据的自然人、法人和非法人组织与政府开展合作，提高社会数据开发利用水平。引导高校、科研机构和市场主体开展公共数据分析挖掘、数据可视化、数据安全与隐私保护等技术研究。</w:t>
      </w:r>
    </w:p>
    <w:p>
      <w:pPr>
        <w:pStyle w:val="5"/>
        <w:spacing w:before="0" w:after="0" w:line="560" w:lineRule="exact"/>
        <w:ind w:firstLine="643" w:firstLineChars="200"/>
        <w:rPr>
          <w:rFonts w:hint="eastAsia" w:ascii="仿宋_GB2312" w:hAnsi="仿宋_GB2312" w:eastAsia="仿宋_GB2312" w:cs="仿宋_GB2312"/>
          <w:b/>
          <w:bCs/>
          <w:snapToGrid w:val="0"/>
          <w:color w:val="000000" w:themeColor="text1"/>
          <w14:textFill>
            <w14:solidFill>
              <w14:schemeClr w14:val="tx1"/>
            </w14:solidFill>
          </w14:textFill>
        </w:rPr>
      </w:pPr>
      <w:bookmarkStart w:id="375" w:name="_Toc21910"/>
      <w:bookmarkStart w:id="376" w:name="_Toc29183"/>
      <w:bookmarkStart w:id="377" w:name="_Toc9778"/>
      <w:bookmarkStart w:id="378" w:name="_Toc13676"/>
      <w:bookmarkStart w:id="379" w:name="_Toc27186"/>
      <w:bookmarkStart w:id="380" w:name="_Toc74067391"/>
      <w:r>
        <w:rPr>
          <w:rFonts w:hint="eastAsia" w:ascii="仿宋_GB2312" w:hAnsi="仿宋_GB2312" w:eastAsia="仿宋_GB2312" w:cs="仿宋_GB2312"/>
          <w:b/>
          <w:bCs/>
          <w:snapToGrid w:val="0"/>
          <w:color w:val="000000" w:themeColor="text1"/>
          <w14:textFill>
            <w14:solidFill>
              <w14:schemeClr w14:val="tx1"/>
            </w14:solidFill>
          </w14:textFill>
        </w:rPr>
        <w:t>3.</w:t>
      </w:r>
      <w:r>
        <w:rPr>
          <w:rFonts w:hint="eastAsia" w:ascii="仿宋_GB2312" w:hAnsi="仿宋_GB2312" w:eastAsia="仿宋_GB2312" w:cs="仿宋_GB2312"/>
          <w:b/>
          <w:bCs/>
          <w:snapToGrid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bCs/>
          <w:snapToGrid w:val="0"/>
          <w:color w:val="000000" w:themeColor="text1"/>
          <w14:textFill>
            <w14:solidFill>
              <w14:schemeClr w14:val="tx1"/>
            </w14:solidFill>
          </w14:textFill>
        </w:rPr>
        <w:t>加强数据资源融合开发利用</w:t>
      </w:r>
      <w:bookmarkEnd w:id="375"/>
      <w:bookmarkEnd w:id="376"/>
      <w:bookmarkEnd w:id="377"/>
      <w:bookmarkEnd w:id="378"/>
      <w:bookmarkEnd w:id="379"/>
      <w:bookmarkEnd w:id="380"/>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市场主体对公共数据的应用需求，选取典型业务场景推进公共数据与社会数据融合应用试点，探索数据所有权、使用权分离，在资源管理、技术支撑、安全保障等方面形成可复制、可推广的经验做法，逐步扩大公共数据和社会数据融合应用领域。在政务服务、社会治理、公共服务、产业创新等领域，打造一批典型大数据应用，推动社会治理智慧化、公共服务均等化，推进公共数据在经济社会各领域开发利用。</w:t>
      </w:r>
    </w:p>
    <w:p>
      <w:pPr>
        <w:pStyle w:val="4"/>
        <w:spacing w:before="0" w:after="0" w:line="560" w:lineRule="exact"/>
        <w:ind w:firstLine="640" w:firstLineChars="200"/>
        <w:rPr>
          <w:rFonts w:ascii="黑体" w:hAnsi="黑体" w:eastAsia="黑体"/>
          <w:b w:val="0"/>
          <w:color w:val="000000" w:themeColor="text1"/>
          <w14:textFill>
            <w14:solidFill>
              <w14:schemeClr w14:val="tx1"/>
            </w14:solidFill>
          </w14:textFill>
        </w:rPr>
      </w:pPr>
      <w:bookmarkStart w:id="381" w:name="_Toc5454"/>
      <w:bookmarkStart w:id="382" w:name="_Toc14372"/>
      <w:bookmarkStart w:id="383" w:name="_Toc74067392"/>
      <w:bookmarkStart w:id="384" w:name="_Toc31061"/>
      <w:bookmarkStart w:id="385" w:name="_Toc13154"/>
      <w:bookmarkStart w:id="386" w:name="_Toc24581"/>
      <w:bookmarkStart w:id="387" w:name="_Toc54594615"/>
      <w:r>
        <w:rPr>
          <w:rFonts w:hint="eastAsia" w:ascii="黑体" w:hAnsi="黑体" w:eastAsia="黑体"/>
          <w:b w:val="0"/>
          <w:color w:val="000000" w:themeColor="text1"/>
          <w14:textFill>
            <w14:solidFill>
              <w14:schemeClr w14:val="tx1"/>
            </w14:solidFill>
          </w14:textFill>
        </w:rPr>
        <w:t>七、巩固全区一体化基础支撑体系</w:t>
      </w:r>
      <w:bookmarkEnd w:id="381"/>
      <w:bookmarkEnd w:id="382"/>
      <w:bookmarkEnd w:id="383"/>
      <w:bookmarkEnd w:id="384"/>
      <w:bookmarkEnd w:id="385"/>
      <w:bookmarkEnd w:id="386"/>
    </w:p>
    <w:p>
      <w:pPr>
        <w:pStyle w:val="4"/>
        <w:spacing w:before="0" w:after="0" w:line="560" w:lineRule="exact"/>
        <w:ind w:firstLine="640" w:firstLineChars="200"/>
        <w:rPr>
          <w:rFonts w:ascii="楷体_GB2312" w:hAnsi="楷体" w:eastAsia="楷体_GB2312"/>
          <w:b w:val="0"/>
          <w:color w:val="000000" w:themeColor="text1"/>
          <w:lang w:bidi="ar"/>
          <w14:textFill>
            <w14:solidFill>
              <w14:schemeClr w14:val="tx1"/>
            </w14:solidFill>
          </w14:textFill>
        </w:rPr>
      </w:pPr>
      <w:bookmarkStart w:id="388" w:name="_Toc30688"/>
      <w:bookmarkStart w:id="389" w:name="_Toc74067393"/>
      <w:bookmarkStart w:id="390" w:name="_Toc16132"/>
      <w:bookmarkStart w:id="391" w:name="_Toc26424"/>
      <w:bookmarkStart w:id="392" w:name="_Toc22747"/>
      <w:bookmarkStart w:id="393" w:name="_Toc16429"/>
      <w:r>
        <w:rPr>
          <w:rFonts w:hint="eastAsia" w:ascii="楷体_GB2312" w:hAnsi="楷体" w:eastAsia="楷体_GB2312"/>
          <w:b w:val="0"/>
          <w:color w:val="000000" w:themeColor="text1"/>
          <w:lang w:bidi="ar"/>
          <w14:textFill>
            <w14:solidFill>
              <w14:schemeClr w14:val="tx1"/>
            </w14:solidFill>
          </w14:textFill>
        </w:rPr>
        <w:t>（一）加快新型基础设施建设</w:t>
      </w:r>
      <w:bookmarkEnd w:id="388"/>
      <w:bookmarkEnd w:id="389"/>
      <w:bookmarkEnd w:id="390"/>
      <w:bookmarkEnd w:id="391"/>
      <w:bookmarkEnd w:id="392"/>
      <w:bookmarkEnd w:id="393"/>
    </w:p>
    <w:p>
      <w:pPr>
        <w:autoSpaceDE w:val="0"/>
        <w:autoSpaceDN w:val="0"/>
        <w:spacing w:line="560" w:lineRule="exact"/>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提升通信网络设施能级。</w:t>
      </w:r>
      <w:r>
        <w:rPr>
          <w:rFonts w:hint="eastAsia" w:ascii="仿宋_GB2312" w:hAnsi="仿宋_GB2312" w:eastAsia="仿宋_GB2312" w:cs="仿宋_GB2312"/>
          <w:color w:val="000000" w:themeColor="text1"/>
          <w:sz w:val="32"/>
          <w:szCs w:val="32"/>
          <w14:textFill>
            <w14:solidFill>
              <w14:schemeClr w14:val="tx1"/>
            </w14:solidFill>
          </w14:textFill>
        </w:rPr>
        <w:t>构建覆盖“5G+千兆光网+智慧专网+物联网”的通信网络基础设施体系，</w:t>
      </w:r>
      <w:r>
        <w:rPr>
          <w:rFonts w:hint="eastAsia" w:ascii="仿宋_GB2312" w:hAnsi="仿宋_GB2312" w:eastAsia="仿宋_GB2312" w:cs="仿宋_GB2312"/>
          <w:color w:val="000000" w:themeColor="text1"/>
          <w:kern w:val="0"/>
          <w:sz w:val="32"/>
          <w:szCs w:val="32"/>
          <w14:textFill>
            <w14:solidFill>
              <w14:schemeClr w14:val="tx1"/>
            </w14:solidFill>
          </w14:textFill>
        </w:rPr>
        <w:t>加强覆盖全区的光纤传输网络建设。</w:t>
      </w:r>
      <w:r>
        <w:rPr>
          <w:rFonts w:hint="eastAsia" w:ascii="仿宋_GB2312" w:hAnsi="仿宋_GB2312" w:eastAsia="仿宋_GB2312" w:cs="仿宋_GB2312"/>
          <w:color w:val="000000" w:themeColor="text1"/>
          <w:sz w:val="32"/>
          <w:szCs w:val="32"/>
          <w14:textFill>
            <w14:solidFill>
              <w14:schemeClr w14:val="tx1"/>
            </w14:solidFill>
          </w14:textFill>
        </w:rPr>
        <w:t>加快IPv6部署，</w:t>
      </w:r>
      <w:r>
        <w:rPr>
          <w:rFonts w:hint="eastAsia" w:ascii="仿宋_GB2312" w:hAnsi="仿宋_GB2312" w:eastAsia="仿宋_GB2312" w:cs="仿宋_GB2312"/>
          <w:color w:val="000000" w:themeColor="text1"/>
          <w:kern w:val="0"/>
          <w:sz w:val="32"/>
          <w:szCs w:val="32"/>
          <w14:textFill>
            <w14:solidFill>
              <w14:schemeClr w14:val="tx1"/>
            </w14:solidFill>
          </w14:textFill>
        </w:rPr>
        <w:t>升级优化全区的OTN传输网络。</w:t>
      </w:r>
      <w:r>
        <w:rPr>
          <w:rFonts w:hint="eastAsia" w:ascii="仿宋_GB2312" w:hAnsi="仿宋_GB2312" w:eastAsia="仿宋_GB2312" w:cs="仿宋_GB2312"/>
          <w:color w:val="000000" w:themeColor="text1"/>
          <w:sz w:val="32"/>
          <w:szCs w:val="32"/>
          <w14:textFill>
            <w14:solidFill>
              <w14:schemeClr w14:val="tx1"/>
            </w14:solidFill>
          </w14:textFill>
        </w:rPr>
        <w:t>完善现有政务网络、卫生专网等，区直部门和政务骨干网络带宽由千兆提升为万兆。</w:t>
      </w:r>
      <w:r>
        <w:rPr>
          <w:rFonts w:hint="eastAsia" w:ascii="仿宋_GB2312" w:hAnsi="仿宋_GB2312" w:eastAsia="仿宋_GB2312" w:cs="仿宋_GB2312"/>
          <w:color w:val="000000" w:themeColor="text1"/>
          <w:kern w:val="0"/>
          <w:sz w:val="32"/>
          <w:szCs w:val="32"/>
          <w14:textFill>
            <w14:solidFill>
              <w14:schemeClr w14:val="tx1"/>
            </w14:solidFill>
          </w14:textFill>
        </w:rPr>
        <w:t>加快政务外网的升级改造，实现区、街道、社区“三级”全覆盖，</w:t>
      </w:r>
      <w:r>
        <w:rPr>
          <w:rFonts w:hint="eastAsia" w:ascii="仿宋_GB2312" w:hAnsi="仿宋_GB2312" w:eastAsia="仿宋_GB2312" w:cs="仿宋_GB2312"/>
          <w:color w:val="000000" w:themeColor="text1"/>
          <w:sz w:val="32"/>
          <w:szCs w:val="32"/>
          <w14:textFill>
            <w14:solidFill>
              <w14:schemeClr w14:val="tx1"/>
            </w14:solidFill>
          </w14:textFill>
        </w:rPr>
        <w:t>并扩展至教育、医疗等公共服务机构</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加快推进各部门非涉密专网业务迁移至政务外网，各部门新建的非涉密电子政务应用原则上依托于政务外网开展建设。深入推进“5G+千行百业”应用，加快5G网络深度覆盖建设和创新示范应用，</w:t>
      </w:r>
      <w:r>
        <w:rPr>
          <w:rFonts w:hint="eastAsia" w:ascii="仿宋_GB2312" w:hAnsi="仿宋_GB2312" w:eastAsia="仿宋_GB2312" w:cs="仿宋_GB2312"/>
          <w:color w:val="000000" w:themeColor="text1"/>
          <w:kern w:val="0"/>
          <w:sz w:val="32"/>
          <w:szCs w:val="32"/>
          <w14:textFill>
            <w14:solidFill>
              <w14:schemeClr w14:val="tx1"/>
            </w14:solidFill>
          </w14:textFill>
        </w:rPr>
        <w:t>实现5G室外、室内网络全面覆盖。推进5G移动政务专网建设，结合全市统一部署建设无线安全接入平台，并与OTN环网有机结合，形成公专结合、一体融合的政务通信体系。</w:t>
      </w:r>
    </w:p>
    <w:p>
      <w:pPr>
        <w:keepNext w:val="0"/>
        <w:keepLines w:val="0"/>
        <w:pageBreakBefore w:val="0"/>
        <w:widowControl w:val="0"/>
        <w:kinsoku/>
        <w:wordWrap/>
        <w:overflowPunct/>
        <w:topLinePunct w:val="0"/>
        <w:autoSpaceDE w:val="0"/>
        <w:autoSpaceDN w:val="0"/>
        <w:bidi w:val="0"/>
        <w:adjustRightInd/>
        <w:snapToGrid/>
        <w:spacing w:after="157" w:afterLines="50" w:line="560" w:lineRule="exact"/>
        <w:ind w:firstLine="0" w:firstLineChars="0"/>
        <w:jc w:val="center"/>
        <w:textAlignment w:val="auto"/>
        <w:rPr>
          <w:rFonts w:hint="eastAsia" w:ascii="黑体" w:hAnsi="黑体" w:eastAsia="黑体" w:cs="黑体"/>
          <w:b w:val="0"/>
          <w:bCs w:val="0"/>
          <w:color w:val="auto"/>
          <w:w w:val="100"/>
          <w:kern w:val="0"/>
          <w:sz w:val="28"/>
          <w:szCs w:val="28"/>
        </w:rPr>
      </w:pPr>
      <w:r>
        <w:rPr>
          <w:rFonts w:hint="eastAsia" w:ascii="仿宋_GB2312" w:hAnsi="仿宋" w:eastAsia="仿宋_GB2312" w:cs="仿宋_GB2312"/>
          <w:color w:val="000000" w:themeColor="text1"/>
          <w:w w:val="100"/>
          <w:kern w:val="0"/>
          <w:sz w:val="28"/>
          <w:szCs w:val="28"/>
          <w14:textFill>
            <w14:solidFill>
              <w14:schemeClr w14:val="tx1"/>
            </w14:solidFill>
          </w14:textFill>
        </w:rPr>
        <w:drawing>
          <wp:anchor distT="0" distB="0" distL="114300" distR="114300" simplePos="0" relativeHeight="251662336" behindDoc="0" locked="0" layoutInCell="1" allowOverlap="1">
            <wp:simplePos x="0" y="0"/>
            <wp:positionH relativeFrom="column">
              <wp:posOffset>781685</wp:posOffset>
            </wp:positionH>
            <wp:positionV relativeFrom="page">
              <wp:posOffset>4262755</wp:posOffset>
            </wp:positionV>
            <wp:extent cx="3483610" cy="2296160"/>
            <wp:effectExtent l="0" t="0" r="254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83610" cy="2296160"/>
                    </a:xfrm>
                    <a:prstGeom prst="rect">
                      <a:avLst/>
                    </a:prstGeom>
                  </pic:spPr>
                </pic:pic>
              </a:graphicData>
            </a:graphic>
          </wp:anchor>
        </w:drawing>
      </w:r>
      <w:r>
        <w:rPr>
          <w:rFonts w:hint="eastAsia" w:ascii="黑体" w:hAnsi="黑体" w:eastAsia="黑体" w:cs="黑体"/>
          <w:b w:val="0"/>
          <w:bCs w:val="0"/>
          <w:color w:val="auto"/>
          <w:w w:val="100"/>
          <w:kern w:val="0"/>
          <w:sz w:val="28"/>
          <w:szCs w:val="28"/>
        </w:rPr>
        <w:t>图4</w:t>
      </w:r>
      <w:r>
        <w:rPr>
          <w:rFonts w:hint="eastAsia" w:ascii="黑体" w:hAnsi="黑体" w:eastAsia="黑体" w:cs="黑体"/>
          <w:b w:val="0"/>
          <w:bCs w:val="0"/>
          <w:color w:val="auto"/>
          <w:w w:val="100"/>
          <w:kern w:val="0"/>
          <w:sz w:val="28"/>
          <w:szCs w:val="28"/>
          <w:lang w:val="en-US" w:eastAsia="zh-CN"/>
        </w:rPr>
        <w:t>:</w:t>
      </w:r>
      <w:r>
        <w:rPr>
          <w:rFonts w:hint="eastAsia" w:ascii="黑体" w:hAnsi="黑体" w:eastAsia="黑体" w:cs="黑体"/>
          <w:b w:val="0"/>
          <w:bCs w:val="0"/>
          <w:color w:val="auto"/>
          <w:w w:val="100"/>
          <w:kern w:val="0"/>
          <w:sz w:val="28"/>
          <w:szCs w:val="28"/>
        </w:rPr>
        <w:t>“智慧龙华”5G移动政务专网与OTN环网示意图</w:t>
      </w:r>
    </w:p>
    <w:p>
      <w:pPr>
        <w:autoSpaceDE w:val="0"/>
        <w:autoSpaceDN w:val="0"/>
        <w:spacing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协同部署智能感知设施。</w:t>
      </w:r>
      <w:r>
        <w:rPr>
          <w:rFonts w:hint="eastAsia" w:ascii="仿宋_GB2312" w:hAnsi="仿宋_GB2312" w:eastAsia="仿宋_GB2312" w:cs="仿宋_GB2312"/>
          <w:color w:val="000000" w:themeColor="text1"/>
          <w:kern w:val="0"/>
          <w:sz w:val="32"/>
          <w:szCs w:val="32"/>
          <w14:textFill>
            <w14:solidFill>
              <w14:schemeClr w14:val="tx1"/>
            </w14:solidFill>
          </w14:textFill>
        </w:rPr>
        <w:t>加快全区各单位的感知体系建设，加快城市基础设施智能化改造。进一步加强全区NB-IoT</w:t>
      </w:r>
      <w:r>
        <w:rPr>
          <w:rFonts w:hint="eastAsia" w:ascii="仿宋_GB2312" w:hAnsi="仿宋_GB2312" w:eastAsia="仿宋_GB2312" w:cs="仿宋_GB2312"/>
          <w:color w:val="000000" w:themeColor="text1"/>
          <w:sz w:val="32"/>
          <w:szCs w:val="32"/>
          <w14:textFill>
            <w14:solidFill>
              <w14:schemeClr w14:val="tx1"/>
            </w14:solidFill>
          </w14:textFill>
        </w:rPr>
        <w:t>窄带物联网</w:t>
      </w:r>
      <w:r>
        <w:rPr>
          <w:rFonts w:hint="eastAsia" w:ascii="仿宋_GB2312" w:hAnsi="仿宋_GB2312" w:eastAsia="仿宋_GB2312" w:cs="仿宋_GB2312"/>
          <w:color w:val="000000" w:themeColor="text1"/>
          <w:kern w:val="0"/>
          <w:sz w:val="32"/>
          <w:szCs w:val="32"/>
          <w14:textFill>
            <w14:solidFill>
              <w14:schemeClr w14:val="tx1"/>
            </w14:solidFill>
          </w14:textFill>
        </w:rPr>
        <w:t>覆盖建设和技术协同创新，推</w:t>
      </w:r>
      <w:r>
        <w:rPr>
          <w:rFonts w:hint="eastAsia" w:ascii="仿宋_GB2312" w:hAnsi="仿宋_GB2312" w:eastAsia="仿宋_GB2312" w:cs="仿宋_GB2312"/>
          <w:color w:val="000000" w:themeColor="text1"/>
          <w:sz w:val="32"/>
          <w:szCs w:val="32"/>
          <w14:textFill>
            <w14:solidFill>
              <w14:schemeClr w14:val="tx1"/>
            </w14:solidFill>
          </w14:textFill>
        </w:rPr>
        <w:t>动NB-IoT在城市公共设施等领域实现规模应用</w:t>
      </w:r>
      <w:r>
        <w:rPr>
          <w:rFonts w:hint="eastAsia" w:ascii="仿宋_GB2312" w:hAnsi="仿宋_GB2312" w:eastAsia="仿宋_GB2312" w:cs="仿宋_GB2312"/>
          <w:color w:val="000000" w:themeColor="text1"/>
          <w:kern w:val="0"/>
          <w:sz w:val="32"/>
          <w:szCs w:val="32"/>
          <w14:textFill>
            <w14:solidFill>
              <w14:schemeClr w14:val="tx1"/>
            </w14:solidFill>
          </w14:textFill>
        </w:rPr>
        <w:t>。在区物联感知接入平台的基础上，进一步扩大感知设备接入规模，增加接入种类，争取做到“全区全覆盖”，使得感知内容更广泛、感知触角更敏锐、感知体系更完备。探索从感知、应用、预警、处置到评估的全链路闭环管理体系。结合未来城市数字孪生平台，为管理者提供即时全面的感知信息，为决策者提供精准智能的决策依据，最终建立“天地空三位一体”的城市泛在感知网络。</w:t>
      </w:r>
      <w:r>
        <w:rPr>
          <w:rFonts w:hint="eastAsia" w:ascii="仿宋_GB2312" w:hAnsi="仿宋_GB2312" w:eastAsia="仿宋_GB2312" w:cs="仿宋_GB2312"/>
          <w:color w:val="000000" w:themeColor="text1"/>
          <w:sz w:val="32"/>
          <w:szCs w:val="32"/>
          <w14:textFill>
            <w14:solidFill>
              <w14:schemeClr w14:val="tx1"/>
            </w14:solidFill>
          </w14:textFill>
        </w:rPr>
        <w:t>完善视频网络的深度覆盖，实现视频信息资源深度整合和共享利用。加强大气、噪声、污染源等环境质量和污染防治感知能力，加强消防安全重点场所温度、烟雾、红外等感知、报警设备等建设，加强电力、天然气等能源设施物联感知体系建设，推进自来水厂、供水管网、水资源保护、排水和污水处理等给排水设施感知和报警设备建设，推进道路、隧道、公交车站、停车场和高速公路等交通设施感知化建设，加快边坡、水库、园区、城中村等易发生灾害地区监测感知设备建设，推进区内消防设施、市政设施、交通设施等联网，汇聚基础设施信息数据，实现地上、地下空间数据化和三维立体管理，提高城区运行监管、预测、决策的科学性和准确率。</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after="157" w:afterLines="50" w:line="560" w:lineRule="exact"/>
        <w:ind w:firstLine="643"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加快算力基础设施建设。</w:t>
      </w:r>
      <w:r>
        <w:rPr>
          <w:rFonts w:hint="eastAsia" w:ascii="仿宋_GB2312" w:hAnsi="仿宋_GB2312" w:eastAsia="仿宋_GB2312" w:cs="仿宋_GB2312"/>
          <w:color w:val="000000" w:themeColor="text1"/>
          <w:sz w:val="32"/>
          <w:szCs w:val="32"/>
          <w14:textFill>
            <w14:solidFill>
              <w14:schemeClr w14:val="tx1"/>
            </w14:solidFill>
          </w14:textFill>
        </w:rPr>
        <w:t>以龙华区已有数据中心为基础支撑，加快构建多元协同、数智融合的算力体系，为龙华区经济社会高质量发展提供充足的算力资源。加快建设用于边缘计算的边缘计算节点和微型数据中心，就近提供边缘智能服务，满足实时性数据安全、隐私保护等关键需求，形成智能分布式协同计算形态。建立安全、可靠、高效的“云-边-端”一体化计算资源池，实现从终端到中心的“云-边-端”无缝协同计算。</w:t>
      </w:r>
      <w:r>
        <w:rPr>
          <w:rFonts w:hint="eastAsia" w:ascii="仿宋_GB2312" w:hAnsi="仿宋_GB2312" w:eastAsia="仿宋_GB2312" w:cs="仿宋_GB2312"/>
          <w:color w:val="000000" w:themeColor="text1"/>
          <w:kern w:val="0"/>
          <w:sz w:val="32"/>
          <w:szCs w:val="32"/>
          <w14:textFill>
            <w14:solidFill>
              <w14:schemeClr w14:val="tx1"/>
            </w14:solidFill>
          </w14:textFill>
        </w:rPr>
        <w:t>结合国家信创要求，采用国产化产品，优化电信和区政府机房两个数据中心，承载“智慧龙华”自主可控云服务平台，构建统一资源池，统一管理，实现IT资源服务化。完善大数据资源管理中心，提高全区数据灾备能力。加快形成大数据汇聚共享中心、大数据服务能力中心、大数据产业创新中心。</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autoSpaceDE w:val="0"/>
              <w:autoSpaceDN w:val="0"/>
              <w:spacing w:line="360" w:lineRule="auto"/>
              <w:jc w:val="center"/>
              <w:rPr>
                <w:rFonts w:hint="eastAsia" w:ascii="仿宋_GB2312" w:hAnsi="仿宋" w:eastAsia="仿宋_GB2312" w:cs="仿宋_GB2312"/>
                <w:b/>
                <w:bCs/>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专栏七 智能基础设施升级工程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88" w:lineRule="auto"/>
              <w:ind w:firstLine="482" w:firstLineChars="200"/>
              <w:jc w:val="both"/>
              <w:textAlignment w:val="auto"/>
              <w:rPr>
                <w:rFonts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b/>
                <w:bCs/>
                <w:color w:val="000000" w:themeColor="text1"/>
                <w:kern w:val="0"/>
                <w:sz w:val="24"/>
                <w:szCs w:val="24"/>
                <w14:textFill>
                  <w14:solidFill>
                    <w14:schemeClr w14:val="tx1"/>
                  </w14:solidFill>
                </w14:textFill>
              </w:rPr>
              <w:t>龙华区网络扩容升级项目。</w:t>
            </w:r>
            <w:r>
              <w:rPr>
                <w:rFonts w:hint="eastAsia" w:ascii="仿宋_GB2312" w:hAnsi="仿宋" w:eastAsia="仿宋_GB2312"/>
                <w:color w:val="000000" w:themeColor="text1"/>
                <w:sz w:val="24"/>
                <w:szCs w:val="24"/>
                <w14:textFill>
                  <w14:solidFill>
                    <w14:schemeClr w14:val="tx1"/>
                  </w14:solidFill>
                </w14:textFill>
              </w:rPr>
              <w:t>完成区网络扩容升级，全面加固网络安全。采取自建和租用相结合的方式完成光纤链路升级扩容、网络设备优化，以及智能化运维能力；数据权控、统一安全审计、负载均衡、安全威胁情报市区联动，以及信息安全可信计算、网络灾备。</w:t>
            </w:r>
            <w:r>
              <w:rPr>
                <w:rFonts w:hint="eastAsia" w:ascii="仿宋_GB2312" w:hAnsi="仿宋" w:eastAsia="仿宋_GB2312" w:cs="仿宋_GB2312"/>
                <w:color w:val="000000" w:themeColor="text1"/>
                <w:kern w:val="0"/>
                <w:sz w:val="24"/>
                <w:szCs w:val="24"/>
                <w14:textFill>
                  <w14:solidFill>
                    <w14:schemeClr w14:val="tx1"/>
                  </w14:solidFill>
                </w14:textFill>
              </w:rPr>
              <w:t>5G移动政务专网建设项目。依托5G的高带宽、低延迟等特性，构建一套基于5G的移动政务专网，打造扁平化指挥体系，实现政府业务从有线向无线终端的延伸和拓展。</w:t>
            </w:r>
          </w:p>
        </w:tc>
      </w:tr>
    </w:tbl>
    <w:p>
      <w:pPr>
        <w:pStyle w:val="4"/>
        <w:keepNext/>
        <w:keepLines/>
        <w:pageBreakBefore w:val="0"/>
        <w:widowControl w:val="0"/>
        <w:kinsoku/>
        <w:wordWrap/>
        <w:overflowPunct/>
        <w:topLinePunct w:val="0"/>
        <w:autoSpaceDE/>
        <w:autoSpaceDN/>
        <w:bidi w:val="0"/>
        <w:adjustRightInd/>
        <w:snapToGrid/>
        <w:spacing w:before="157" w:beforeLines="50" w:after="0" w:afterLines="0" w:line="560" w:lineRule="exact"/>
        <w:ind w:firstLine="640" w:firstLineChars="200"/>
        <w:textAlignment w:val="auto"/>
        <w:rPr>
          <w:rFonts w:ascii="楷体_GB2312" w:hAnsi="楷体" w:eastAsia="楷体_GB2312"/>
          <w:b w:val="0"/>
          <w:color w:val="000000" w:themeColor="text1"/>
          <w:lang w:bidi="ar"/>
          <w14:textFill>
            <w14:solidFill>
              <w14:schemeClr w14:val="tx1"/>
            </w14:solidFill>
          </w14:textFill>
        </w:rPr>
      </w:pPr>
      <w:bookmarkStart w:id="394" w:name="_Toc74067394"/>
      <w:bookmarkStart w:id="395" w:name="_Toc24081"/>
      <w:bookmarkStart w:id="396" w:name="_Toc17963"/>
      <w:bookmarkStart w:id="397" w:name="_Toc4990"/>
      <w:bookmarkStart w:id="398" w:name="_Toc7566"/>
      <w:bookmarkStart w:id="399" w:name="_Toc24282"/>
      <w:r>
        <w:rPr>
          <w:rFonts w:hint="eastAsia" w:ascii="楷体_GB2312" w:hAnsi="楷体" w:eastAsia="楷体_GB2312"/>
          <w:b w:val="0"/>
          <w:color w:val="000000" w:themeColor="text1"/>
          <w:lang w:bidi="ar"/>
          <w14:textFill>
            <w14:solidFill>
              <w14:schemeClr w14:val="tx1"/>
            </w14:solidFill>
          </w14:textFill>
        </w:rPr>
        <w:t>（二）加大平台集成整合公用</w:t>
      </w:r>
      <w:bookmarkEnd w:id="394"/>
      <w:bookmarkEnd w:id="395"/>
      <w:bookmarkEnd w:id="396"/>
      <w:bookmarkEnd w:id="397"/>
      <w:bookmarkEnd w:id="398"/>
      <w:bookmarkEnd w:id="399"/>
    </w:p>
    <w:p>
      <w:pPr>
        <w:pStyle w:val="6"/>
        <w:spacing w:beforeLines="0" w:afterLines="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大网络大系统大平台建设为导向，按照门户集成、接入管理、用户管理、授权管理、资源管理、安全防护要求，推动全区信息系统整合融合，实现跨部门、跨层级工作机制协调顺畅。优化政务云资源配置，重构优化各类政务系统，促进政府管理和服务规范高效。推动城市管理、社会治理领域跨部门系统建设，联手破解城市治理难点。</w:t>
      </w:r>
    </w:p>
    <w:p>
      <w:pPr>
        <w:pStyle w:val="6"/>
        <w:spacing w:beforeLines="0" w:afterLines="0"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加快中台建设。</w:t>
      </w:r>
      <w:r>
        <w:rPr>
          <w:rFonts w:hint="eastAsia" w:ascii="仿宋_GB2312" w:hAnsi="仿宋_GB2312" w:eastAsia="仿宋_GB2312" w:cs="仿宋_GB2312"/>
          <w:color w:val="000000" w:themeColor="text1"/>
          <w:kern w:val="2"/>
          <w:sz w:val="32"/>
          <w:szCs w:val="32"/>
          <w14:textFill>
            <w14:solidFill>
              <w14:schemeClr w14:val="tx1"/>
            </w14:solidFill>
          </w14:textFill>
        </w:rPr>
        <w:t>加快完成全区一体化服务架构微服务升级，提升业务中台、数据中台、技术中台、人工智能中台等能力，快速响应各部门新增需求。</w:t>
      </w:r>
      <w:r>
        <w:rPr>
          <w:rFonts w:hint="eastAsia" w:ascii="仿宋_GB2312" w:hAnsi="仿宋_GB2312" w:eastAsia="仿宋_GB2312" w:cs="仿宋_GB2312"/>
          <w:color w:val="000000" w:themeColor="text1"/>
          <w:sz w:val="32"/>
          <w:szCs w:val="32"/>
          <w14:textFill>
            <w14:solidFill>
              <w14:schemeClr w14:val="tx1"/>
            </w14:solidFill>
          </w14:textFill>
        </w:rPr>
        <w:t>加快信息基础设施向以互联网服务为主的平台化功能输出转型，建立“互联网+”综合服务平</w:t>
      </w:r>
      <w:r>
        <w:rPr>
          <w:rFonts w:hint="eastAsia" w:ascii="仿宋_GB2312" w:hAnsi="仿宋_GB2312" w:eastAsia="仿宋_GB2312" w:cs="仿宋_GB2312"/>
          <w:color w:val="auto"/>
          <w:sz w:val="32"/>
          <w:szCs w:val="32"/>
        </w:rPr>
        <w:t>台，深化在医疗、教育、交通、智能制造等领域应用，增强对金融、物流等重点领域数据的承载能力。</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auto"/>
          <w:kern w:val="0"/>
          <w:sz w:val="32"/>
          <w:szCs w:val="32"/>
          <w:lang w:val="en-US" w:eastAsia="zh-CN"/>
        </w:rPr>
        <w:t>加快龙华区区块链“1+9”项目建设。</w:t>
      </w:r>
      <w:r>
        <w:rPr>
          <w:rFonts w:hint="eastAsia" w:ascii="仿宋_GB2312" w:hAnsi="仿宋_GB2312" w:eastAsia="仿宋_GB2312" w:cs="仿宋_GB2312"/>
          <w:color w:val="auto"/>
          <w:kern w:val="0"/>
          <w:sz w:val="32"/>
          <w:szCs w:val="32"/>
          <w:lang w:val="en-US" w:eastAsia="zh-CN"/>
        </w:rPr>
        <w:t>通过区块链网络的快速构建、管理及监控，为政务网区块链场景应用提供共性、安全的区块链基础支撑服务。</w:t>
      </w:r>
      <w:r>
        <w:rPr>
          <w:rFonts w:hint="eastAsia" w:ascii="仿宋_GB2312" w:hAnsi="仿宋_GB2312" w:eastAsia="仿宋_GB2312" w:cs="仿宋_GB2312"/>
          <w:color w:val="auto"/>
          <w:sz w:val="32"/>
          <w:szCs w:val="32"/>
        </w:rPr>
        <w:t>推动区块链在</w:t>
      </w:r>
      <w:r>
        <w:rPr>
          <w:rFonts w:ascii="仿宋_GB2312" w:hAnsi="仿宋_GB2312" w:eastAsia="仿宋_GB2312" w:cs="仿宋_GB2312"/>
          <w:color w:val="auto"/>
          <w:kern w:val="0"/>
          <w:sz w:val="32"/>
          <w:szCs w:val="32"/>
          <w:lang w:val="en-US" w:eastAsia="zh-CN" w:bidi="ar"/>
        </w:rPr>
        <w:t>金融服务、税务服务、</w:t>
      </w:r>
      <w:r>
        <w:rPr>
          <w:rFonts w:hint="eastAsia" w:ascii="仿宋_GB2312" w:hAnsi="仿宋_GB2312" w:eastAsia="仿宋_GB2312" w:cs="仿宋_GB2312"/>
          <w:color w:val="auto"/>
          <w:sz w:val="32"/>
          <w:szCs w:val="32"/>
        </w:rPr>
        <w:t>防伪溯源、司法存证、内容保护、专利交易、信用管理等领域的应用，打造全球领</w:t>
      </w:r>
      <w:r>
        <w:rPr>
          <w:rFonts w:hint="eastAsia" w:ascii="仿宋_GB2312" w:hAnsi="仿宋_GB2312" w:eastAsia="仿宋_GB2312" w:cs="仿宋_GB2312"/>
          <w:color w:val="000000" w:themeColor="text1"/>
          <w:sz w:val="32"/>
          <w:szCs w:val="32"/>
          <w14:textFill>
            <w14:solidFill>
              <w14:schemeClr w14:val="tx1"/>
            </w14:solidFill>
          </w14:textFill>
        </w:rPr>
        <w:t>先的区块链应用高地。探索“区块链+”在民生领域内的应用，为人民提供更加智能、便捷、优质的公共服务；推动区块链底层技术服务和新型智慧城市建设相结合，提升城市管理智能化、精准化水平；探索利用区块链数据共享模式，实现政务数据跨部门、跨区域共同维护和利用，促进业务协同办理，深化“最多跑一次”改革，为人民群众带来更好的政务服务体验。</w:t>
      </w:r>
    </w:p>
    <w:p>
      <w:pPr>
        <w:spacing w:beforeLines="0" w:afterLines="0"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建设全栈云平台。</w:t>
      </w:r>
      <w:r>
        <w:rPr>
          <w:rFonts w:hint="eastAsia" w:ascii="仿宋_GB2312" w:hAnsi="仿宋_GB2312" w:eastAsia="仿宋_GB2312" w:cs="仿宋_GB2312"/>
          <w:color w:val="000000" w:themeColor="text1"/>
          <w:sz w:val="32"/>
          <w:szCs w:val="32"/>
          <w14:textFill>
            <w14:solidFill>
              <w14:schemeClr w14:val="tx1"/>
            </w14:solidFill>
          </w14:textFill>
        </w:rPr>
        <w:t>搭建功能灵活的全栈云平台，加速国产化设备和软件全面替代。一方面推动原有业务云化，一方面借助云平台开发创新业务应用，以实现全栈业务承载、全栈服务能力、全栈资源管理和全栈架构演进。通过统一云管实现对分散建设的基础设施进行统一管理和统筹规划，以云计算平台为基础打造各种智能化资源池，将智能资源能力以服务化的形式实现共享和开放利用，实现资源互补，资源整合、数据融合、业务贯通。提供快速部署、科学管理、按需分配、即需即用服务能力。用户可以通过自助方式实现所有服务的申请和使用，并为管理员提供云平台的使用情况、运行情况等进行统一呈现。全面构建资源共享、数据融合、业务互通的政务服务平台。</w:t>
      </w:r>
    </w:p>
    <w:p>
      <w:pPr>
        <w:pStyle w:val="4"/>
        <w:spacing w:before="0" w:beforeLines="0" w:after="0" w:afterLines="0" w:line="560" w:lineRule="exact"/>
        <w:ind w:firstLine="640" w:firstLineChars="200"/>
        <w:jc w:val="both"/>
        <w:rPr>
          <w:rFonts w:ascii="楷体_GB2312" w:hAnsi="楷体" w:eastAsia="楷体_GB2312"/>
          <w:b w:val="0"/>
          <w:color w:val="000000" w:themeColor="text1"/>
          <w:lang w:bidi="ar"/>
          <w14:textFill>
            <w14:solidFill>
              <w14:schemeClr w14:val="tx1"/>
            </w14:solidFill>
          </w14:textFill>
        </w:rPr>
      </w:pPr>
      <w:bookmarkStart w:id="400" w:name="_Toc27629"/>
      <w:bookmarkStart w:id="401" w:name="_Toc27591"/>
      <w:bookmarkStart w:id="402" w:name="_Toc16064"/>
      <w:bookmarkStart w:id="403" w:name="_Toc74067395"/>
      <w:bookmarkStart w:id="404" w:name="_Toc5214"/>
      <w:bookmarkStart w:id="405" w:name="_Toc6675"/>
      <w:r>
        <w:rPr>
          <w:rFonts w:hint="eastAsia" w:ascii="楷体_GB2312" w:hAnsi="楷体" w:eastAsia="楷体_GB2312"/>
          <w:b w:val="0"/>
          <w:color w:val="000000" w:themeColor="text1"/>
          <w:lang w:bidi="ar"/>
          <w14:textFill>
            <w14:solidFill>
              <w14:schemeClr w14:val="tx1"/>
            </w14:solidFill>
          </w14:textFill>
        </w:rPr>
        <w:t>（三）深化数据治理体系建设</w:t>
      </w:r>
      <w:bookmarkEnd w:id="400"/>
      <w:bookmarkEnd w:id="401"/>
      <w:bookmarkEnd w:id="402"/>
      <w:bookmarkEnd w:id="403"/>
      <w:bookmarkEnd w:id="404"/>
      <w:bookmarkEnd w:id="405"/>
    </w:p>
    <w:p>
      <w:pPr>
        <w:autoSpaceDE w:val="0"/>
        <w:autoSpaceDN w:val="0"/>
        <w:spacing w:beforeLines="0" w:afterLines="0"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加强政务数据生产标准化。</w:t>
      </w:r>
      <w:r>
        <w:rPr>
          <w:rFonts w:hint="eastAsia" w:ascii="仿宋_GB2312" w:hAnsi="仿宋_GB2312" w:eastAsia="仿宋_GB2312" w:cs="仿宋_GB2312"/>
          <w:color w:val="000000" w:themeColor="text1"/>
          <w:kern w:val="0"/>
          <w:sz w:val="32"/>
          <w:szCs w:val="32"/>
          <w14:textFill>
            <w14:solidFill>
              <w14:schemeClr w14:val="tx1"/>
            </w14:solidFill>
          </w14:textFill>
        </w:rPr>
        <w:t>探索制定数据分类分级标准，在国家数据分级分类标准的基础上，梳理全区数据资源，构建全域标准数据分类体系。建立元数据库，制定数据架构，在数据生产阶段实现标准化、统一化，实现数据统一管理、互联互通。完善优化政务信息资源目录，梳理可用社会数据资源，形成较为完整的全区数据信息资源目录。推动各单位纸质数据电子化，盘点梳理各部门履职过程中产生的数据资源，探索形成全量政务数据资源目录和数据字典，加快实现政务数据向数据中心汇聚。</w:t>
      </w:r>
    </w:p>
    <w:p>
      <w:pPr>
        <w:spacing w:beforeLines="0" w:afterLines="0"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健全数据资源管理体系。</w:t>
      </w:r>
      <w:r>
        <w:rPr>
          <w:rFonts w:hint="eastAsia" w:ascii="仿宋_GB2312" w:hAnsi="仿宋_GB2312" w:eastAsia="仿宋_GB2312" w:cs="仿宋_GB2312"/>
          <w:color w:val="000000" w:themeColor="text1"/>
          <w:kern w:val="0"/>
          <w:sz w:val="32"/>
          <w:szCs w:val="32"/>
          <w14:textFill>
            <w14:solidFill>
              <w14:schemeClr w14:val="tx1"/>
            </w14:solidFill>
          </w14:textFill>
        </w:rPr>
        <w:t>探索健全统一规范的数据资源管理制度，提高数据质量和规范性，加强数据资源整合。建立数据权责清单，完善“一数一源”责任体系。开展全区公共数据资源普查。按照全区统一部署，深入推进全区公共数据资源普查工作，完善政务信息系统清单、公共数据资源清单和数据需求清单，强化系统清单、数据资源清单、需求清单等的梳理填报。完善公共资源数据管理办法，建立全流程管理机制，探索建立数据管理绩效评价指标体系，将数据治理工作纳入各区和各部门绩效评价范围，以评促建、以评促用。</w:t>
      </w:r>
    </w:p>
    <w:p>
      <w:pPr>
        <w:spacing w:beforeLines="0" w:afterLines="0"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完善数据共享利用机制。</w:t>
      </w:r>
      <w:r>
        <w:rPr>
          <w:rFonts w:hint="eastAsia" w:ascii="仿宋_GB2312" w:hAnsi="仿宋_GB2312" w:eastAsia="仿宋_GB2312" w:cs="仿宋_GB2312"/>
          <w:color w:val="000000" w:themeColor="text1"/>
          <w:kern w:val="0"/>
          <w:sz w:val="32"/>
          <w:szCs w:val="32"/>
          <w14:textFill>
            <w14:solidFill>
              <w14:schemeClr w14:val="tx1"/>
            </w14:solidFill>
          </w14:textFill>
        </w:rPr>
        <w:t>探索安全数据共享机制，提高政府数据内部共享的范围及效率，推进人才数据、政务数据和产业数据互联互通。通过数据资源目录与区块链的结合，完善形成可信的数据共享目录链系统。与市级数据目录形成跨链联动体系，保证市、区数据目录的一致性。筹备开展资源共享平台升级改造，提高实时性，与市级和各区政务信息数据共享平台互联互通，加快推动全区各部门间数据共享交换。探索提升视频接入和共享能力，实现公安、交通、环境监控等跨部门视频共享。</w:t>
      </w:r>
    </w:p>
    <w:p>
      <w:pPr>
        <w:autoSpaceDE w:val="0"/>
        <w:autoSpaceDN w:val="0"/>
        <w:spacing w:beforeLines="0" w:afterLines="0"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深化公共数据开放增值服务。</w:t>
      </w:r>
      <w:r>
        <w:rPr>
          <w:rFonts w:hint="eastAsia" w:ascii="仿宋_GB2312" w:hAnsi="仿宋_GB2312" w:eastAsia="仿宋_GB2312" w:cs="仿宋_GB2312"/>
          <w:color w:val="000000" w:themeColor="text1"/>
          <w:kern w:val="0"/>
          <w:sz w:val="32"/>
          <w:szCs w:val="32"/>
          <w14:textFill>
            <w14:solidFill>
              <w14:schemeClr w14:val="tx1"/>
            </w14:solidFill>
          </w14:textFill>
        </w:rPr>
        <w:t>基于政务数据分类，明确政务公开数据的开放类别。推进政务数据开放共享，试点“银政数据直连”，促进政府法人库的数据要素市场化。探索有序开放城市公共数据集和人工智能算力，鼓励企业、科研机构等利用开放数据资源进行增值开发利用，支持开发个性化服务、精准化治理等典型应用，激发社会创新潜能。探索统一向社会采购社会数据，提供社会数据管理及服务，制定企业数据开放公平收益机制，鼓励企业、科研单位等社会机构开放数据，以提升社会数据资源价值，支撑培育数据要素市场。健全公共数据资源开发利用制度。结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龙华</w:t>
      </w:r>
      <w:r>
        <w:rPr>
          <w:rFonts w:hint="eastAsia" w:ascii="仿宋_GB2312" w:hAnsi="仿宋_GB2312" w:eastAsia="仿宋_GB2312" w:cs="仿宋_GB2312"/>
          <w:color w:val="000000" w:themeColor="text1"/>
          <w:kern w:val="0"/>
          <w:sz w:val="32"/>
          <w:szCs w:val="32"/>
          <w14:textFill>
            <w14:solidFill>
              <w14:schemeClr w14:val="tx1"/>
            </w14:solidFill>
          </w14:textFill>
        </w:rPr>
        <w:t>区数据治理现行体制机制，针对数据资源开发痛点、难点问题，进一步强化机制支撑、扎进机制约束，抓住数据驱动新引擎，充分激发数据活力。守好数据管理“安全阀”，确保在保障数据安全前提下，为数据开发利用创造条件。</w:t>
      </w:r>
    </w:p>
    <w:p>
      <w:pPr>
        <w:autoSpaceDE w:val="0"/>
        <w:autoSpaceDN w:val="0"/>
        <w:spacing w:beforeLines="0" w:afterLines="0"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建立健全数据保护机制。</w:t>
      </w:r>
      <w:r>
        <w:rPr>
          <w:rFonts w:hint="eastAsia" w:ascii="仿宋_GB2312" w:hAnsi="仿宋_GB2312" w:eastAsia="仿宋_GB2312" w:cs="仿宋_GB2312"/>
          <w:color w:val="000000" w:themeColor="text1"/>
          <w:kern w:val="0"/>
          <w:sz w:val="32"/>
          <w:szCs w:val="32"/>
          <w14:textFill>
            <w14:solidFill>
              <w14:schemeClr w14:val="tx1"/>
            </w14:solidFill>
          </w14:textFill>
        </w:rPr>
        <w:t>探索数据确权、流通、开放、保护等方面的制度规则，完善数据产权保护和利用新机制，建立数据隐私保护和安全审查制度。</w:t>
      </w:r>
      <w:r>
        <w:rPr>
          <w:rFonts w:hint="eastAsia" w:ascii="仿宋_GB2312" w:hAnsi="仿宋_GB2312" w:eastAsia="仿宋_GB2312" w:cs="仿宋_GB2312"/>
          <w:color w:val="000000" w:themeColor="text1"/>
          <w:sz w:val="32"/>
          <w:szCs w:val="32"/>
          <w14:textFill>
            <w14:solidFill>
              <w14:schemeClr w14:val="tx1"/>
            </w14:solidFill>
          </w14:textFill>
        </w:rPr>
        <w:t>完善适用于大数据环境下的数据分类分级安全保护机制，加强对公共数据和个人数据的保护。运用可信身份认证、数据签名、接口鉴权等数据保护措施和区块链等新技术，提升数据安全保障能力。</w:t>
      </w:r>
      <w:r>
        <w:rPr>
          <w:rFonts w:hint="eastAsia" w:ascii="仿宋_GB2312" w:hAnsi="仿宋_GB2312" w:eastAsia="仿宋_GB2312" w:cs="仿宋_GB2312"/>
          <w:color w:val="000000" w:themeColor="text1"/>
          <w:kern w:val="0"/>
          <w:sz w:val="32"/>
          <w:szCs w:val="32"/>
          <w14:textFill>
            <w14:solidFill>
              <w14:schemeClr w14:val="tx1"/>
            </w14:solidFill>
          </w14:textFill>
        </w:rPr>
        <w:t>推动龙华区知识产权保护促进中心建设，制定知识产权市场准入规则，探索知识产权转让、使用、入股等交易方式，激发创新创造活力。</w:t>
      </w:r>
    </w:p>
    <w:p>
      <w:pPr>
        <w:pStyle w:val="4"/>
        <w:spacing w:before="0" w:beforeLines="0" w:after="0" w:afterLines="0" w:line="560" w:lineRule="exact"/>
        <w:ind w:firstLine="640" w:firstLineChars="200"/>
        <w:jc w:val="both"/>
        <w:rPr>
          <w:rFonts w:ascii="楷体_GB2312" w:hAnsi="楷体" w:eastAsia="楷体_GB2312"/>
          <w:b w:val="0"/>
          <w:color w:val="000000" w:themeColor="text1"/>
          <w14:textFill>
            <w14:solidFill>
              <w14:schemeClr w14:val="tx1"/>
            </w14:solidFill>
          </w14:textFill>
        </w:rPr>
      </w:pPr>
      <w:bookmarkStart w:id="406" w:name="_Toc5418"/>
      <w:bookmarkStart w:id="407" w:name="_Toc17986"/>
      <w:bookmarkStart w:id="408" w:name="_Toc28042"/>
      <w:bookmarkStart w:id="409" w:name="_Toc6595"/>
      <w:bookmarkStart w:id="410" w:name="_Toc8283"/>
      <w:bookmarkStart w:id="411" w:name="_Toc74067396"/>
      <w:r>
        <w:rPr>
          <w:rFonts w:hint="eastAsia" w:ascii="楷体_GB2312" w:hAnsi="楷体" w:eastAsia="楷体_GB2312"/>
          <w:b w:val="0"/>
          <w:color w:val="000000" w:themeColor="text1"/>
          <w:lang w:bidi="ar"/>
          <w14:textFill>
            <w14:solidFill>
              <w14:schemeClr w14:val="tx1"/>
            </w14:solidFill>
          </w14:textFill>
        </w:rPr>
        <w:t>（四）加强</w:t>
      </w:r>
      <w:r>
        <w:rPr>
          <w:rFonts w:hint="eastAsia" w:ascii="楷体_GB2312" w:hAnsi="楷体" w:eastAsia="楷体_GB2312"/>
          <w:b w:val="0"/>
          <w:color w:val="000000" w:themeColor="text1"/>
          <w14:textFill>
            <w14:solidFill>
              <w14:schemeClr w14:val="tx1"/>
            </w14:solidFill>
          </w14:textFill>
        </w:rPr>
        <w:t>网络信息安全保障</w:t>
      </w:r>
      <w:bookmarkEnd w:id="406"/>
      <w:bookmarkEnd w:id="407"/>
      <w:bookmarkEnd w:id="408"/>
      <w:bookmarkEnd w:id="409"/>
      <w:bookmarkEnd w:id="410"/>
      <w:bookmarkEnd w:id="411"/>
    </w:p>
    <w:p>
      <w:pPr>
        <w:spacing w:beforeLines="0" w:afterLines="0"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加强安全体系顶层设计。</w:t>
      </w:r>
      <w:r>
        <w:rPr>
          <w:rFonts w:hint="eastAsia" w:ascii="仿宋_GB2312" w:hAnsi="仿宋_GB2312" w:eastAsia="仿宋_GB2312" w:cs="仿宋_GB2312"/>
          <w:color w:val="000000" w:themeColor="text1"/>
          <w:sz w:val="32"/>
          <w:szCs w:val="32"/>
          <w14:textFill>
            <w14:solidFill>
              <w14:schemeClr w14:val="tx1"/>
            </w14:solidFill>
          </w14:textFill>
        </w:rPr>
        <w:t>运用系统论的方法，对网络和信息安全的全方面、全层次、全要素统筹规划，持续完善龙华区安全体系的顶层设计，以集中有效资源，高效快捷地建立安全体系，提升安全支撑能力，指导开展安全保障项目建设。</w:t>
      </w:r>
    </w:p>
    <w:p>
      <w:pPr>
        <w:pStyle w:val="14"/>
        <w:spacing w:before="0" w:beforeLines="0" w:beforeAutospacing="0" w:after="0" w:afterLines="0" w:afterAutospacing="0"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auto"/>
          <w:sz w:val="32"/>
          <w:szCs w:val="32"/>
        </w:rPr>
        <w:t>加强城市信息安全</w:t>
      </w:r>
      <w:r>
        <w:rPr>
          <w:rFonts w:hint="eastAsia" w:ascii="仿宋_GB2312" w:hAnsi="仿宋_GB2312" w:eastAsia="仿宋_GB2312" w:cs="仿宋_GB2312"/>
          <w:b/>
          <w:bCs/>
          <w:color w:val="auto"/>
          <w:sz w:val="32"/>
          <w:szCs w:val="32"/>
          <w:lang w:eastAsia="zh-CN"/>
        </w:rPr>
        <w:t>监管机制</w:t>
      </w:r>
      <w:r>
        <w:rPr>
          <w:rFonts w:hint="eastAsia" w:ascii="仿宋_GB2312" w:hAnsi="仿宋_GB2312" w:eastAsia="仿宋_GB2312" w:cs="仿宋_GB2312"/>
          <w:b/>
          <w:bCs/>
          <w:color w:val="auto"/>
          <w:sz w:val="32"/>
          <w:szCs w:val="32"/>
        </w:rPr>
        <w:t>建设。</w:t>
      </w:r>
      <w:r>
        <w:rPr>
          <w:rFonts w:hint="eastAsia" w:ascii="仿宋_GB2312" w:hAnsi="仿宋_GB2312" w:eastAsia="仿宋_GB2312" w:cs="仿宋_GB2312"/>
          <w:color w:val="auto"/>
          <w:sz w:val="32"/>
          <w:szCs w:val="32"/>
        </w:rPr>
        <w:t>把握网络空间安全运行规律，结合“智慧龙华”和“数字政府”建</w:t>
      </w:r>
      <w:r>
        <w:rPr>
          <w:rFonts w:hint="eastAsia" w:ascii="仿宋_GB2312" w:hAnsi="仿宋_GB2312" w:eastAsia="仿宋_GB2312" w:cs="仿宋_GB2312"/>
          <w:color w:val="000000" w:themeColor="text1"/>
          <w:sz w:val="32"/>
          <w:szCs w:val="32"/>
          <w14:textFill>
            <w14:solidFill>
              <w14:schemeClr w14:val="tx1"/>
            </w14:solidFill>
          </w14:textFill>
        </w:rPr>
        <w:t>设实际，探索建立信息安全依法监管体系。深入落实等级保护、分级保护、安全测评、应急管理、电子认证、无线电管理等制度，形成全生命周期的网络安全监管机制，构建网络空间综合监管体系。</w:t>
      </w:r>
    </w:p>
    <w:p>
      <w:pPr>
        <w:spacing w:beforeLines="0" w:afterLines="0"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建立区级安全体系。</w:t>
      </w:r>
      <w:r>
        <w:rPr>
          <w:rFonts w:hint="eastAsia" w:ascii="仿宋_GB2312" w:hAnsi="仿宋_GB2312" w:eastAsia="仿宋_GB2312" w:cs="仿宋_GB2312"/>
          <w:color w:val="000000" w:themeColor="text1"/>
          <w:sz w:val="32"/>
          <w:szCs w:val="32"/>
          <w14:textFill>
            <w14:solidFill>
              <w14:schemeClr w14:val="tx1"/>
            </w14:solidFill>
          </w14:textFill>
        </w:rPr>
        <w:t>建立“智慧龙华”和“数字政府”信息安全动态风险评估机制，围绕国家安全、城市运行、企业经营、市民生活四个层面的信息安全保障需求，形成影响城市运行的关键基础设施和涉及国计民生的重要信息系统的目录体系，落实信息安全责任制，确保城市关键基础设施和重点领域信息安全。建立融合各专业部门监控系统资源的纵深化的全网安全态势感知系统，实现城域网络安全态势感知、监测预警、应急处置、灾难恢复的一体化。推动能源、通信、交通、金融、广播电视新闻出版、食品、卫生、工业制造、科研、教育、水利等领域深化网络安全应急管理，严格执行预案编制、应急演练、监测预警、事件报告、调查处理等制度，切实提高重要基础网络和重要信息系统应对信息灾害的能力。推进信息安全测评认证建设，推动全区网络安全测评认证机构进一步加强网络安全检测评估技术能力建设。建立安全管理组织和人员保障机制，做好人才和资金保障，积极开展技术交流合作，开展相关人员的知识与技能培训。</w:t>
      </w:r>
    </w:p>
    <w:p>
      <w:pPr>
        <w:pStyle w:val="14"/>
        <w:spacing w:before="0" w:beforeLines="0" w:beforeAutospacing="0" w:after="0" w:afterLines="0" w:afterAutospacing="0" w:line="560" w:lineRule="exact"/>
        <w:ind w:firstLine="643" w:firstLineChars="20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开展数据安全治理工作。</w:t>
      </w:r>
      <w:r>
        <w:rPr>
          <w:rFonts w:hint="eastAsia" w:ascii="仿宋_GB2312" w:hAnsi="仿宋_GB2312" w:eastAsia="仿宋_GB2312" w:cs="仿宋_GB2312"/>
          <w:bCs/>
          <w:color w:val="000000" w:themeColor="text1"/>
          <w:sz w:val="32"/>
          <w:szCs w:val="32"/>
          <w14:textFill>
            <w14:solidFill>
              <w14:schemeClr w14:val="tx1"/>
            </w14:solidFill>
          </w14:textFill>
        </w:rPr>
        <w:t>通过开展数据资源分类、数据开放共享、数据监管、数据加密、数据安全等重点标准规范的制定,明确数据分级分类原则、数据隐私保护要求、数据开放共享范围、数据监督管理要求等核心要点,并出台相关的管理规章制度，明确数据责任主体，规范、约束管理涉及数据安全的相关人员,形成长效的数据安全规章制度保障。</w:t>
      </w:r>
    </w:p>
    <w:p>
      <w:pPr>
        <w:pStyle w:val="14"/>
        <w:spacing w:before="0" w:beforeLines="0" w:beforeAutospacing="0" w:after="0" w:afterLines="0" w:afterAutospacing="0"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加快开展信息创新建设。</w:t>
      </w:r>
      <w:r>
        <w:rPr>
          <w:rFonts w:hint="eastAsia" w:ascii="仿宋_GB2312" w:hAnsi="仿宋_GB2312" w:eastAsia="仿宋_GB2312" w:cs="仿宋_GB2312"/>
          <w:bCs/>
          <w:color w:val="000000" w:themeColor="text1"/>
          <w:sz w:val="32"/>
          <w:szCs w:val="32"/>
          <w14:textFill>
            <w14:solidFill>
              <w14:schemeClr w14:val="tx1"/>
            </w14:solidFill>
          </w14:textFill>
        </w:rPr>
        <w:t>加快推动核心基础设施产品“自主可控”，支持区内企业的技术创新和新技术产业化，在区内的智慧城市、数字政府、新基建等项目中优先采用区内企业的产品和技术，逐步实现关键信息基础设施的国产化水平。加强信息保障保密技术的研究和开发，在涉密信息管控，涉密信息交换等方面研究其关键技术，同时积极推进国家密码管理基础设施建设。</w:t>
      </w:r>
    </w:p>
    <w:p>
      <w:pPr>
        <w:pStyle w:val="4"/>
        <w:spacing w:before="0" w:beforeLines="0" w:after="0" w:afterLines="0" w:line="560" w:lineRule="exact"/>
        <w:ind w:firstLine="640" w:firstLineChars="200"/>
        <w:jc w:val="both"/>
        <w:rPr>
          <w:rFonts w:ascii="楷体_GB2312" w:hAnsi="楷体" w:eastAsia="楷体_GB2312"/>
          <w:b w:val="0"/>
          <w:color w:val="000000" w:themeColor="text1"/>
          <w14:textFill>
            <w14:solidFill>
              <w14:schemeClr w14:val="tx1"/>
            </w14:solidFill>
          </w14:textFill>
        </w:rPr>
      </w:pPr>
      <w:bookmarkStart w:id="412" w:name="_Toc7213"/>
      <w:bookmarkStart w:id="413" w:name="_Toc650"/>
      <w:bookmarkStart w:id="414" w:name="_Toc26921"/>
      <w:bookmarkStart w:id="415" w:name="_Toc74067397"/>
      <w:bookmarkStart w:id="416" w:name="_Toc12646"/>
      <w:bookmarkStart w:id="417" w:name="_Toc26321"/>
      <w:r>
        <w:rPr>
          <w:rFonts w:hint="eastAsia" w:ascii="楷体_GB2312" w:hAnsi="楷体" w:eastAsia="楷体_GB2312"/>
          <w:b w:val="0"/>
          <w:color w:val="000000" w:themeColor="text1"/>
          <w:lang w:bidi="ar"/>
          <w14:textFill>
            <w14:solidFill>
              <w14:schemeClr w14:val="tx1"/>
            </w14:solidFill>
          </w14:textFill>
        </w:rPr>
        <w:t>（五）完善统一标准规范建设</w:t>
      </w:r>
      <w:bookmarkEnd w:id="412"/>
      <w:bookmarkEnd w:id="413"/>
      <w:bookmarkEnd w:id="414"/>
      <w:bookmarkEnd w:id="415"/>
      <w:bookmarkEnd w:id="416"/>
      <w:bookmarkEnd w:id="417"/>
    </w:p>
    <w:p>
      <w:pPr>
        <w:spacing w:beforeLines="0" w:afterLines="0"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加快建立政务信息化标准体系。</w:t>
      </w:r>
      <w:r>
        <w:rPr>
          <w:rFonts w:hint="eastAsia" w:ascii="仿宋_GB2312" w:hAnsi="仿宋_GB2312" w:eastAsia="仿宋_GB2312" w:cs="仿宋_GB2312"/>
          <w:color w:val="000000" w:themeColor="text1"/>
          <w:sz w:val="32"/>
          <w:szCs w:val="32"/>
          <w14:textFill>
            <w14:solidFill>
              <w14:schemeClr w14:val="tx1"/>
            </w14:solidFill>
          </w14:textFill>
        </w:rPr>
        <w:t>探索</w:t>
      </w:r>
      <w:r>
        <w:rPr>
          <w:rFonts w:hint="eastAsia" w:ascii="仿宋_GB2312" w:hAnsi="仿宋_GB2312" w:eastAsia="仿宋_GB2312" w:cs="仿宋_GB2312"/>
          <w:color w:val="000000" w:themeColor="text1"/>
          <w:kern w:val="0"/>
          <w:sz w:val="32"/>
          <w:szCs w:val="32"/>
          <w14:textFill>
            <w14:solidFill>
              <w14:schemeClr w14:val="tx1"/>
            </w14:solidFill>
          </w14:textFill>
        </w:rPr>
        <w:t>围绕数据、技术、基础设施、管理、服务等方面建设符合“智慧龙华”和“数字政府”建设实际需求的政务信息化标准体系。探索建立统一协同的标准规范体系促进技术、业务、数据“三融合”，推动系统互联、业务协同、信息共享、集约建设。</w:t>
      </w:r>
    </w:p>
    <w:p>
      <w:pPr>
        <w:spacing w:beforeLines="0" w:afterLines="0"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按步合规实施标准建设。</w:t>
      </w:r>
      <w:r>
        <w:rPr>
          <w:rFonts w:hint="eastAsia" w:ascii="仿宋_GB2312" w:hAnsi="仿宋_GB2312" w:eastAsia="仿宋_GB2312" w:cs="仿宋_GB2312"/>
          <w:color w:val="000000" w:themeColor="text1"/>
          <w:sz w:val="32"/>
          <w:szCs w:val="32"/>
          <w14:textFill>
            <w14:solidFill>
              <w14:schemeClr w14:val="tx1"/>
            </w14:solidFill>
          </w14:textFill>
        </w:rPr>
        <w:t>以标准体系为指引，依据“急用先行、循序渐进”的原则，分批合规的开展标准制定工作。</w:t>
      </w:r>
      <w:r>
        <w:rPr>
          <w:rFonts w:hint="eastAsia" w:ascii="仿宋_GB2312" w:hAnsi="仿宋_GB2312" w:eastAsia="仿宋_GB2312" w:cs="仿宋_GB2312"/>
          <w:color w:val="000000" w:themeColor="text1"/>
          <w:kern w:val="0"/>
          <w:sz w:val="32"/>
          <w:szCs w:val="32"/>
          <w14:textFill>
            <w14:solidFill>
              <w14:schemeClr w14:val="tx1"/>
            </w14:solidFill>
          </w14:textFill>
        </w:rPr>
        <w:t>推动各应用领域责任单位结合实际情况，做好本领域标准立项前审查和制定、实施、监督、反馈、修订等工作，协调推进“智慧龙华”和“数字政府”标准化建设，实现标准规制修订方向能快速反应市场需求、制修订过程公开透明、制修订程序规范、严谨高效、机制灵活。</w:t>
      </w:r>
    </w:p>
    <w:p>
      <w:pPr>
        <w:autoSpaceDE w:val="0"/>
        <w:autoSpaceDN w:val="0"/>
        <w:spacing w:beforeLines="0" w:afterLines="0" w:line="560" w:lineRule="exact"/>
        <w:ind w:firstLine="643"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推动数据“有据可依”等重点领域标准制定。</w:t>
      </w:r>
      <w:r>
        <w:rPr>
          <w:rFonts w:hint="eastAsia" w:ascii="仿宋_GB2312" w:hAnsi="仿宋_GB2312" w:eastAsia="仿宋_GB2312" w:cs="仿宋_GB2312"/>
          <w:color w:val="000000" w:themeColor="text1"/>
          <w:kern w:val="0"/>
          <w:sz w:val="32"/>
          <w:szCs w:val="32"/>
          <w14:textFill>
            <w14:solidFill>
              <w14:schemeClr w14:val="tx1"/>
            </w14:solidFill>
          </w14:textFill>
        </w:rPr>
        <w:t>加快研究政务数据、公共数据、社会数据及其跨境流动下的数据确权机制、存储传输、隐私保护、标准规范等一系列长期制约政务信息化发展的关键性问题，使数据共享开放和流通交易“有据可依”。探索建立数据权属清晰和安全有序的管理体系，建立完善的数据共享开放和资源信息开发利用体系。探索开展数据创新应用和增值服务先行先试。</w:t>
      </w:r>
    </w:p>
    <w:p>
      <w:pPr>
        <w:spacing w:beforeLines="0" w:afterLines="0" w:line="560" w:lineRule="exact"/>
        <w:ind w:firstLine="643" w:firstLineChars="20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提升标准规范应用程度。</w:t>
      </w:r>
      <w:r>
        <w:rPr>
          <w:rFonts w:hint="eastAsia" w:ascii="仿宋_GB2312" w:hAnsi="仿宋_GB2312" w:eastAsia="仿宋_GB2312" w:cs="仿宋_GB2312"/>
          <w:color w:val="000000" w:themeColor="text1"/>
          <w:sz w:val="32"/>
          <w:szCs w:val="32"/>
          <w14:textFill>
            <w14:solidFill>
              <w14:schemeClr w14:val="tx1"/>
            </w14:solidFill>
          </w14:textFill>
        </w:rPr>
        <w:t>探索</w:t>
      </w:r>
      <w:r>
        <w:rPr>
          <w:rFonts w:hint="eastAsia" w:ascii="仿宋_GB2312" w:hAnsi="仿宋_GB2312" w:eastAsia="仿宋_GB2312" w:cs="仿宋_GB2312"/>
          <w:color w:val="000000" w:themeColor="text1"/>
          <w:kern w:val="0"/>
          <w:sz w:val="32"/>
          <w:szCs w:val="32"/>
          <w14:textFill>
            <w14:solidFill>
              <w14:schemeClr w14:val="tx1"/>
            </w14:solidFill>
          </w14:textFill>
        </w:rPr>
        <w:t>建立与城市发展相适应的标准规范更新制度，定期追踪关键领域标准更新情况。探索建立领域内标准信息服务系统，动态维护管理标准体系及相关标准。探索建立标准验证测试平台，开展标准应用检测。加强标准预研推广工作，加大标准规范宣贯力度，开展标准宣贯培训和标准化人才培养。探索建立标准化工作监督考核机制及引用第三方开展标准实施评价等工作，持续改进优化标准体系，确保各类标准有效执行。</w:t>
      </w:r>
    </w:p>
    <w:p>
      <w:pPr>
        <w:pStyle w:val="4"/>
        <w:spacing w:before="0" w:beforeLines="0" w:after="0" w:afterLines="0" w:line="560" w:lineRule="exact"/>
        <w:ind w:firstLine="640" w:firstLineChars="200"/>
        <w:jc w:val="both"/>
        <w:rPr>
          <w:rFonts w:ascii="黑体" w:hAnsi="黑体" w:eastAsia="黑体"/>
          <w:b w:val="0"/>
          <w:color w:val="000000" w:themeColor="text1"/>
          <w14:textFill>
            <w14:solidFill>
              <w14:schemeClr w14:val="tx1"/>
            </w14:solidFill>
          </w14:textFill>
        </w:rPr>
      </w:pPr>
      <w:bookmarkStart w:id="418" w:name="_Toc27809"/>
      <w:bookmarkStart w:id="419" w:name="_Toc74067398"/>
      <w:bookmarkStart w:id="420" w:name="_Toc3457"/>
      <w:bookmarkStart w:id="421" w:name="_Toc14661"/>
      <w:bookmarkStart w:id="422" w:name="_Toc31223"/>
      <w:bookmarkStart w:id="423" w:name="_Toc23087"/>
      <w:r>
        <w:rPr>
          <w:rFonts w:hint="eastAsia" w:ascii="黑体" w:hAnsi="黑体" w:eastAsia="黑体"/>
          <w:b w:val="0"/>
          <w:color w:val="000000" w:themeColor="text1"/>
          <w14:textFill>
            <w14:solidFill>
              <w14:schemeClr w14:val="tx1"/>
            </w14:solidFill>
          </w14:textFill>
        </w:rPr>
        <w:t>八、保障机制</w:t>
      </w:r>
      <w:bookmarkEnd w:id="387"/>
      <w:bookmarkEnd w:id="418"/>
      <w:bookmarkEnd w:id="419"/>
      <w:bookmarkEnd w:id="420"/>
      <w:bookmarkEnd w:id="421"/>
      <w:bookmarkEnd w:id="422"/>
      <w:bookmarkEnd w:id="423"/>
    </w:p>
    <w:p>
      <w:pPr>
        <w:pStyle w:val="4"/>
        <w:spacing w:before="0" w:beforeLines="0" w:after="0" w:afterLines="0" w:line="560" w:lineRule="exact"/>
        <w:ind w:firstLine="640" w:firstLineChars="200"/>
        <w:jc w:val="both"/>
        <w:rPr>
          <w:rFonts w:ascii="楷体_GB2312" w:hAnsi="楷体" w:eastAsia="楷体_GB2312"/>
          <w:b w:val="0"/>
          <w:color w:val="000000" w:themeColor="text1"/>
          <w14:textFill>
            <w14:solidFill>
              <w14:schemeClr w14:val="tx1"/>
            </w14:solidFill>
          </w14:textFill>
        </w:rPr>
      </w:pPr>
      <w:bookmarkStart w:id="424" w:name="_Toc50385390"/>
      <w:bookmarkStart w:id="425" w:name="_Toc49765170"/>
      <w:bookmarkStart w:id="426" w:name="_Toc74067399"/>
      <w:bookmarkStart w:id="427" w:name="_Toc6982"/>
      <w:bookmarkStart w:id="428" w:name="_Toc8342"/>
      <w:bookmarkStart w:id="429" w:name="_Toc22834"/>
      <w:bookmarkStart w:id="430" w:name="_Toc54594616"/>
      <w:bookmarkStart w:id="431" w:name="_Toc23719"/>
      <w:bookmarkStart w:id="432" w:name="_Toc5216"/>
      <w:r>
        <w:rPr>
          <w:rFonts w:hint="eastAsia" w:ascii="楷体_GB2312" w:hAnsi="楷体" w:eastAsia="楷体_GB2312"/>
          <w:b w:val="0"/>
          <w:color w:val="000000" w:themeColor="text1"/>
          <w14:textFill>
            <w14:solidFill>
              <w14:schemeClr w14:val="tx1"/>
            </w14:solidFill>
          </w14:textFill>
        </w:rPr>
        <w:t>（一）</w:t>
      </w:r>
      <w:bookmarkEnd w:id="424"/>
      <w:bookmarkEnd w:id="425"/>
      <w:r>
        <w:rPr>
          <w:rFonts w:hint="eastAsia" w:ascii="楷体_GB2312" w:hAnsi="楷体" w:eastAsia="楷体_GB2312"/>
          <w:b w:val="0"/>
          <w:color w:val="000000" w:themeColor="text1"/>
          <w14:textFill>
            <w14:solidFill>
              <w14:schemeClr w14:val="tx1"/>
            </w14:solidFill>
          </w14:textFill>
        </w:rPr>
        <w:t>加强组织领导</w:t>
      </w:r>
      <w:bookmarkEnd w:id="426"/>
      <w:bookmarkEnd w:id="427"/>
      <w:bookmarkEnd w:id="428"/>
      <w:bookmarkEnd w:id="429"/>
      <w:bookmarkEnd w:id="430"/>
      <w:bookmarkEnd w:id="431"/>
      <w:bookmarkEnd w:id="432"/>
    </w:p>
    <w:p>
      <w:pPr>
        <w:spacing w:beforeLines="0" w:afterLines="0" w:line="560" w:lineRule="exact"/>
        <w:ind w:firstLine="640" w:firstLineChars="200"/>
        <w:jc w:val="both"/>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增强“智慧龙华”和“数字政府”建设领导小组统筹协调功能，加大研究部署、统筹协调“智慧龙华”和“数字政府”建设工作。通过实行联席会议制度，强化对“智慧龙华”和“数字政府”建设工作的统一规划、统一部署、标杆引领、安全防护，分级分类推进“智慧龙华”和“数字政府”建设；强化对多部门联合承担“智慧龙华”和“数字政府”建设项目的协同推进、数据融合，着力解决跨系统、跨部门、跨业务的重大问题；鼓励探索创新和试点先行，总结推广经验，积极稳妥扎实有序推进全区“智慧龙华”和“数字政府”建设。</w:t>
      </w:r>
    </w:p>
    <w:p>
      <w:pPr>
        <w:pStyle w:val="4"/>
        <w:spacing w:before="0" w:beforeLines="0" w:after="0" w:afterLines="0" w:line="560" w:lineRule="exact"/>
        <w:ind w:firstLine="640" w:firstLineChars="200"/>
        <w:jc w:val="both"/>
        <w:rPr>
          <w:rFonts w:ascii="楷体_GB2312" w:hAnsi="楷体" w:eastAsia="楷体_GB2312"/>
          <w:b w:val="0"/>
          <w:color w:val="000000" w:themeColor="text1"/>
          <w14:textFill>
            <w14:solidFill>
              <w14:schemeClr w14:val="tx1"/>
            </w14:solidFill>
          </w14:textFill>
        </w:rPr>
      </w:pPr>
      <w:bookmarkStart w:id="433" w:name="_Toc24434"/>
      <w:bookmarkStart w:id="434" w:name="_Toc74067400"/>
      <w:bookmarkStart w:id="435" w:name="_Toc24944"/>
      <w:bookmarkStart w:id="436" w:name="_Toc16076"/>
      <w:bookmarkStart w:id="437" w:name="_Toc30748"/>
      <w:bookmarkStart w:id="438" w:name="_Toc54594617"/>
      <w:bookmarkStart w:id="439" w:name="_Toc25246"/>
      <w:r>
        <w:rPr>
          <w:rFonts w:hint="eastAsia" w:ascii="楷体_GB2312" w:hAnsi="楷体" w:eastAsia="楷体_GB2312"/>
          <w:b w:val="0"/>
          <w:color w:val="000000" w:themeColor="text1"/>
          <w14:textFill>
            <w14:solidFill>
              <w14:schemeClr w14:val="tx1"/>
            </w14:solidFill>
          </w14:textFill>
        </w:rPr>
        <w:t>（二）加大资金投入</w:t>
      </w:r>
      <w:bookmarkEnd w:id="433"/>
      <w:bookmarkEnd w:id="434"/>
      <w:bookmarkEnd w:id="435"/>
      <w:bookmarkEnd w:id="436"/>
      <w:bookmarkEnd w:id="437"/>
      <w:bookmarkEnd w:id="438"/>
      <w:bookmarkEnd w:id="439"/>
    </w:p>
    <w:p>
      <w:pPr>
        <w:autoSpaceDE w:val="0"/>
        <w:autoSpaceDN w:val="0"/>
        <w:spacing w:beforeLines="0" w:afterLines="0"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建立完善财政资金向“智慧龙华”和“数字政府”建设、应用和推广的财政资金保障和分级投入机制，切实保障项目建成后的运营经费，加强财政资金使用绩效评估、审计监管。全区各部门组织建设的“智慧龙华”和“数字政府”项目纳入全区项目库有序推进，探索建设项目市区两级财政共建共享机制。用好国家、省和市对“智慧龙华”和“数字政府”试点示范项目的资金扶持政策，推进重大项目发展。鼓励市场资金投入“智慧龙华”和“数字政府”建设，加速推进建设进程，与企业签署战略合作框架协议，成立合资公司专门推动未来城市场景试验，设立龙华未来科技产业投资基金，引育更多数字经济领域龙头企业。</w:t>
      </w:r>
    </w:p>
    <w:p>
      <w:pPr>
        <w:pStyle w:val="4"/>
        <w:spacing w:before="0" w:beforeLines="0" w:after="0" w:afterLines="0" w:line="560" w:lineRule="exact"/>
        <w:ind w:firstLine="640" w:firstLineChars="200"/>
        <w:jc w:val="both"/>
        <w:rPr>
          <w:rFonts w:ascii="楷体_GB2312" w:hAnsi="楷体" w:eastAsia="楷体_GB2312"/>
          <w:b w:val="0"/>
          <w:color w:val="000000" w:themeColor="text1"/>
          <w14:textFill>
            <w14:solidFill>
              <w14:schemeClr w14:val="tx1"/>
            </w14:solidFill>
          </w14:textFill>
        </w:rPr>
      </w:pPr>
      <w:bookmarkStart w:id="440" w:name="_Toc10616"/>
      <w:bookmarkStart w:id="441" w:name="_Toc23593"/>
      <w:bookmarkStart w:id="442" w:name="_Toc15971"/>
      <w:bookmarkStart w:id="443" w:name="_Toc18937"/>
      <w:bookmarkStart w:id="444" w:name="_Toc21405"/>
      <w:bookmarkStart w:id="445" w:name="_Toc54594618"/>
      <w:bookmarkStart w:id="446" w:name="_Toc74067401"/>
      <w:r>
        <w:rPr>
          <w:rFonts w:hint="eastAsia" w:ascii="楷体_GB2312" w:hAnsi="楷体" w:eastAsia="楷体_GB2312"/>
          <w:b w:val="0"/>
          <w:color w:val="000000" w:themeColor="text1"/>
          <w14:textFill>
            <w14:solidFill>
              <w14:schemeClr w14:val="tx1"/>
            </w14:solidFill>
          </w14:textFill>
        </w:rPr>
        <w:t>（三）强化人才支撑</w:t>
      </w:r>
      <w:bookmarkEnd w:id="440"/>
      <w:bookmarkEnd w:id="441"/>
      <w:bookmarkEnd w:id="442"/>
      <w:bookmarkEnd w:id="443"/>
      <w:bookmarkEnd w:id="444"/>
      <w:bookmarkEnd w:id="445"/>
      <w:bookmarkEnd w:id="446"/>
    </w:p>
    <w:p>
      <w:pPr>
        <w:spacing w:beforeLines="0" w:afterLines="0" w:line="560" w:lineRule="exact"/>
        <w:ind w:firstLine="640" w:firstLineChars="200"/>
        <w:jc w:val="both"/>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建立专家咨询顾问机制，为“智慧龙华”和“数字政府”建设提供技术、信息、管理、评估等方面的专业服务和保障。统筹实施各类人才优惠政策，积极引进“智慧龙华”和“数字政府”建设过程中需要的复合型高层次信息化专业技术人才。实施全球招募制和揭榜挂帅制，以开放胸怀吸引全球资源参与龙华全域未来城市场景试验。创新人才培养模式，依托在粤高等院校、科研机构及信息产业重点企业科研工作站，加强专业人才培养，支持创新创业。加强领军人才、核心技术研发人才、复合型人才等高端人才的培养引进。加大信息化培训力度，以岗位培训和继续教育为重点，提高在职人员信息技术的应用技能。</w:t>
      </w:r>
    </w:p>
    <w:p>
      <w:pPr>
        <w:pStyle w:val="4"/>
        <w:spacing w:before="0" w:beforeLines="0" w:after="0" w:afterLines="0" w:line="560" w:lineRule="exact"/>
        <w:ind w:firstLine="640" w:firstLineChars="200"/>
        <w:jc w:val="both"/>
        <w:rPr>
          <w:rFonts w:ascii="楷体_GB2312" w:hAnsi="楷体" w:eastAsia="楷体_GB2312"/>
          <w:b w:val="0"/>
          <w:color w:val="000000" w:themeColor="text1"/>
          <w14:textFill>
            <w14:solidFill>
              <w14:schemeClr w14:val="tx1"/>
            </w14:solidFill>
          </w14:textFill>
        </w:rPr>
      </w:pPr>
      <w:bookmarkStart w:id="447" w:name="_Toc50385393"/>
      <w:bookmarkStart w:id="448" w:name="_Toc29682"/>
      <w:bookmarkStart w:id="449" w:name="_Toc24833"/>
      <w:bookmarkStart w:id="450" w:name="_Toc54594619"/>
      <w:bookmarkStart w:id="451" w:name="_Toc49765173"/>
      <w:bookmarkStart w:id="452" w:name="_Toc306"/>
      <w:bookmarkStart w:id="453" w:name="_Toc9385"/>
      <w:bookmarkStart w:id="454" w:name="_Toc10474"/>
      <w:bookmarkStart w:id="455" w:name="_Toc74067402"/>
      <w:r>
        <w:rPr>
          <w:rFonts w:hint="eastAsia" w:ascii="楷体_GB2312" w:hAnsi="楷体" w:eastAsia="楷体_GB2312"/>
          <w:b w:val="0"/>
          <w:color w:val="000000" w:themeColor="text1"/>
          <w14:textFill>
            <w14:solidFill>
              <w14:schemeClr w14:val="tx1"/>
            </w14:solidFill>
          </w14:textFill>
        </w:rPr>
        <w:t>（四）强化监督考核</w:t>
      </w:r>
      <w:bookmarkEnd w:id="447"/>
      <w:bookmarkEnd w:id="448"/>
      <w:bookmarkEnd w:id="449"/>
      <w:bookmarkEnd w:id="450"/>
      <w:bookmarkEnd w:id="451"/>
      <w:bookmarkEnd w:id="452"/>
      <w:bookmarkEnd w:id="453"/>
      <w:bookmarkEnd w:id="454"/>
      <w:bookmarkEnd w:id="455"/>
    </w:p>
    <w:p>
      <w:pPr>
        <w:spacing w:before="0" w:beforeLines="0" w:after="0" w:afterLines="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将“智慧龙华”和“数字政府”建设纳入区政府部门绩效考核范围。开展重大任务落实情况督促检查和第三方评估，建立规范化管理档案，加强统计监测、绩效评估和考核监督。把政务大数据发展列入区政府重点督查事项，对发现的问题及时督促整改。对公共数据清单和数据目录编制与更新，公共数据采集、归集、整合、共享、开放、应用和数据质量管理等全过程进行实时监测和全面评价。强化数据共享开放考核评估机制，围绕共享信息提供、跨部门共享、主动服务等维度制定资源共享考核指标体系，加强对各部门数据共享执行情况的综合考评。建立“智慧龙华”和“数字政府”项目后评估制度，委托第三方专业机构对项目实施情况、实施效果等进行评估。对评估结果不达标的单位，责令其整改。开展信息系统整合共享和数据治理专项审计。</w:t>
      </w:r>
    </w:p>
    <w:p>
      <w:pPr>
        <w:pStyle w:val="4"/>
        <w:spacing w:before="0" w:beforeLines="0" w:after="0" w:afterLines="0" w:line="560" w:lineRule="exact"/>
        <w:ind w:firstLine="640" w:firstLineChars="200"/>
        <w:jc w:val="both"/>
        <w:rPr>
          <w:rFonts w:ascii="楷体_GB2312" w:hAnsi="楷体" w:eastAsia="楷体_GB2312"/>
          <w:b w:val="0"/>
          <w:color w:val="000000" w:themeColor="text1"/>
          <w14:textFill>
            <w14:solidFill>
              <w14:schemeClr w14:val="tx1"/>
            </w14:solidFill>
          </w14:textFill>
        </w:rPr>
      </w:pPr>
      <w:bookmarkStart w:id="456" w:name="_Toc25422"/>
      <w:bookmarkStart w:id="457" w:name="_Toc50385394"/>
      <w:bookmarkStart w:id="458" w:name="_Toc54594620"/>
      <w:bookmarkStart w:id="459" w:name="_Toc49765174"/>
      <w:bookmarkStart w:id="460" w:name="_Toc11598"/>
      <w:bookmarkStart w:id="461" w:name="_Toc9567"/>
      <w:bookmarkStart w:id="462" w:name="_Toc30191"/>
      <w:bookmarkStart w:id="463" w:name="_Toc74067403"/>
      <w:bookmarkStart w:id="464" w:name="_Toc15836"/>
      <w:r>
        <w:rPr>
          <w:rFonts w:hint="eastAsia" w:ascii="楷体_GB2312" w:hAnsi="楷体" w:eastAsia="楷体_GB2312"/>
          <w:b w:val="0"/>
          <w:color w:val="000000" w:themeColor="text1"/>
          <w14:textFill>
            <w14:solidFill>
              <w14:schemeClr w14:val="tx1"/>
            </w14:solidFill>
          </w14:textFill>
        </w:rPr>
        <w:t>（五）加大宣传力度</w:t>
      </w:r>
      <w:bookmarkEnd w:id="456"/>
      <w:bookmarkEnd w:id="457"/>
      <w:bookmarkEnd w:id="458"/>
      <w:bookmarkEnd w:id="459"/>
      <w:bookmarkEnd w:id="460"/>
      <w:bookmarkEnd w:id="461"/>
      <w:bookmarkEnd w:id="462"/>
      <w:bookmarkEnd w:id="463"/>
      <w:bookmarkEnd w:id="464"/>
    </w:p>
    <w:p>
      <w:pPr>
        <w:pStyle w:val="14"/>
        <w:spacing w:before="0" w:beforeLines="0" w:beforeAutospacing="0" w:after="0" w:afterLines="0" w:after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积极整合政府在线传统渠道丰富的信息资源，充分发挥政务新媒体平台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传播快、受众广、互动强等优势，</w:t>
      </w:r>
      <w:r>
        <w:rPr>
          <w:rFonts w:hint="eastAsia" w:ascii="仿宋_GB2312" w:hAnsi="仿宋_GB2312" w:eastAsia="仿宋_GB2312" w:cs="仿宋_GB2312"/>
          <w:color w:val="000000" w:themeColor="text1"/>
          <w:sz w:val="32"/>
          <w:szCs w:val="32"/>
          <w14:textFill>
            <w14:solidFill>
              <w14:schemeClr w14:val="tx1"/>
            </w14:solidFill>
          </w14:textFill>
        </w:rPr>
        <w:t>通过多渠道、全方位、立体化展现“智慧龙华”和“数字政府”建设工作，促进全社会广泛参与，汇聚各方合力共同推进。参加具有国际影响力的新型智慧城市和“数字政府”展会、高峰论坛，展现“智慧龙华”和“数字政府”建设成果，推动龙华企业参与国内外智慧城市和“数字政府”建设，增强公众对“智慧龙华”和“数字政府”建设的认知度和参与度。借助粤港澳大湾区未来城市场景大赛暨开放数据应用创新大赛等平台，持续为龙华区未来城市场景试验，提供最前沿的数据创新应用。</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4"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光简小标宋">
    <w:altName w:val="宋体"/>
    <w:panose1 w:val="02010609000101010101"/>
    <w:charset w:val="86"/>
    <w:family w:val="moder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DC"/>
    <w:rsid w:val="000B350F"/>
    <w:rsid w:val="0062235E"/>
    <w:rsid w:val="00643D4F"/>
    <w:rsid w:val="00C571DC"/>
    <w:rsid w:val="06B43CF1"/>
    <w:rsid w:val="095666E3"/>
    <w:rsid w:val="0A143CCE"/>
    <w:rsid w:val="0FA66776"/>
    <w:rsid w:val="10B14377"/>
    <w:rsid w:val="1429233A"/>
    <w:rsid w:val="15306506"/>
    <w:rsid w:val="162115CA"/>
    <w:rsid w:val="169C3437"/>
    <w:rsid w:val="17787DAD"/>
    <w:rsid w:val="185D381C"/>
    <w:rsid w:val="1A395CA9"/>
    <w:rsid w:val="1A97360A"/>
    <w:rsid w:val="1BAD5362"/>
    <w:rsid w:val="1C1E518C"/>
    <w:rsid w:val="279E55C0"/>
    <w:rsid w:val="29B873DF"/>
    <w:rsid w:val="2B2328BA"/>
    <w:rsid w:val="33152335"/>
    <w:rsid w:val="36211F17"/>
    <w:rsid w:val="3DF453FF"/>
    <w:rsid w:val="3F77B2BE"/>
    <w:rsid w:val="3FE6F84F"/>
    <w:rsid w:val="41976379"/>
    <w:rsid w:val="453B380B"/>
    <w:rsid w:val="46647625"/>
    <w:rsid w:val="48F93F4D"/>
    <w:rsid w:val="4B880A45"/>
    <w:rsid w:val="4CEE2BC7"/>
    <w:rsid w:val="4F526574"/>
    <w:rsid w:val="4FFE3F71"/>
    <w:rsid w:val="52566E26"/>
    <w:rsid w:val="530C0281"/>
    <w:rsid w:val="56D31E31"/>
    <w:rsid w:val="5A0E04B9"/>
    <w:rsid w:val="5EBF48C3"/>
    <w:rsid w:val="60251D06"/>
    <w:rsid w:val="689E5F7C"/>
    <w:rsid w:val="6D0E0967"/>
    <w:rsid w:val="6EBF42E7"/>
    <w:rsid w:val="793F53F7"/>
    <w:rsid w:val="7AD90EF7"/>
    <w:rsid w:val="7B980927"/>
    <w:rsid w:val="7D532A08"/>
    <w:rsid w:val="7D700D32"/>
    <w:rsid w:val="7F03514F"/>
    <w:rsid w:val="BEFA7DD5"/>
    <w:rsid w:val="BF6F2668"/>
    <w:rsid w:val="D9BE5CBD"/>
    <w:rsid w:val="DEBEF541"/>
    <w:rsid w:val="FCEF1FA9"/>
    <w:rsid w:val="FF2FDE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cs="Courier New"/>
      <w:szCs w:val="21"/>
    </w:rPr>
  </w:style>
  <w:style w:type="paragraph" w:styleId="3">
    <w:name w:val="index 8"/>
    <w:basedOn w:val="1"/>
    <w:next w:val="1"/>
    <w:qFormat/>
    <w:uiPriority w:val="0"/>
    <w:pPr>
      <w:ind w:left="2940"/>
    </w:pPr>
    <w:rPr>
      <w:rFonts w:ascii="Times New Roman" w:hAnsi="Times New Roman" w:eastAsia="宋体" w:cs="Times New Roman"/>
    </w:rPr>
  </w:style>
  <w:style w:type="paragraph" w:styleId="6">
    <w:name w:val="Normal Indent"/>
    <w:basedOn w:val="1"/>
    <w:qFormat/>
    <w:uiPriority w:val="0"/>
    <w:pPr>
      <w:ind w:firstLine="420"/>
    </w:pPr>
    <w:rPr>
      <w:rFonts w:ascii="Times New Roman" w:hAnsi="Times New Roman" w:eastAsia="宋体" w:cs="Times New Roman"/>
      <w:kern w:val="0"/>
      <w:sz w:val="20"/>
    </w:rPr>
  </w:style>
  <w:style w:type="paragraph" w:styleId="7">
    <w:name w:val="caption"/>
    <w:basedOn w:val="1"/>
    <w:next w:val="1"/>
    <w:semiHidden/>
    <w:unhideWhenUsed/>
    <w:qFormat/>
    <w:uiPriority w:val="35"/>
    <w:rPr>
      <w:rFonts w:ascii="Arial" w:hAnsi="Arial" w:eastAsia="黑体"/>
      <w:sz w:val="20"/>
    </w:rPr>
  </w:style>
  <w:style w:type="paragraph" w:styleId="8">
    <w:name w:val="toc 3"/>
    <w:basedOn w:val="1"/>
    <w:next w:val="1"/>
    <w:unhideWhenUsed/>
    <w:qFormat/>
    <w:uiPriority w:val="39"/>
    <w:pPr>
      <w:ind w:left="840" w:leftChars="400"/>
    </w:p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ind w:left="420" w:leftChars="200"/>
    </w:pPr>
  </w:style>
  <w:style w:type="paragraph" w:styleId="1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99"/>
    <w:pPr>
      <w:spacing w:before="100" w:beforeAutospacing="1" w:after="100" w:afterAutospacing="1"/>
      <w:jc w:val="left"/>
    </w:pPr>
    <w:rPr>
      <w:rFonts w:cs="Times New Roman"/>
      <w:kern w:val="0"/>
      <w:sz w:val="2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bjh-p"/>
    <w:basedOn w:val="17"/>
    <w:qFormat/>
    <w:uiPriority w:val="0"/>
  </w:style>
  <w:style w:type="paragraph" w:customStyle="1" w:styleId="19">
    <w:name w:val="规划正文"/>
    <w:basedOn w:val="1"/>
    <w:qFormat/>
    <w:uiPriority w:val="0"/>
    <w:pPr>
      <w:spacing w:line="600" w:lineRule="exact"/>
      <w:ind w:firstLine="640" w:firstLineChars="200"/>
    </w:pPr>
    <w:rPr>
      <w:rFonts w:ascii="仿宋_GB2312" w:hAnsi="仿宋_GB2312"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0</Characters>
  <Lines>0</Lines>
  <Paragraphs>0</Paragraphs>
  <TotalTime>13</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2017-07-08T18:36:00Z</dcterms:created>
  <dc:creator>管理员</dc:creator>
  <cp:lastModifiedBy>张少娜</cp:lastModifiedBy>
  <dcterms:modified xsi:type="dcterms:W3CDTF">2024-02-08T04:02:42Z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63170ABE4D5A4AE1A0F9A63DAA0A58AA</vt:lpwstr>
  </property>
</Properties>
</file>