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sz w:val="44"/>
          <w:szCs w:val="44"/>
        </w:rPr>
      </w:pPr>
    </w:p>
    <w:p>
      <w:pPr>
        <w:rPr>
          <w:rFonts w:ascii="宋体"/>
          <w:sz w:val="44"/>
          <w:szCs w:val="44"/>
        </w:rPr>
      </w:pPr>
    </w:p>
    <w:p>
      <w:pPr>
        <w:rPr>
          <w:rFonts w:ascii="宋体"/>
          <w:sz w:val="44"/>
          <w:szCs w:val="44"/>
        </w:rPr>
      </w:pPr>
    </w:p>
    <w:p>
      <w:pPr>
        <w:rPr>
          <w:rFonts w:ascii="宋体"/>
          <w:sz w:val="44"/>
          <w:szCs w:val="44"/>
        </w:rPr>
      </w:pPr>
    </w:p>
    <w:p>
      <w:pPr>
        <w:jc w:val="center"/>
        <w:rPr>
          <w:rFonts w:ascii="宋体"/>
          <w:sz w:val="44"/>
          <w:szCs w:val="44"/>
        </w:rPr>
      </w:pPr>
      <w:bookmarkStart w:id="0" w:name="_Hlk148101995"/>
      <w:r>
        <w:rPr>
          <w:rFonts w:hint="eastAsia" w:ascii="宋体" w:hAnsi="宋体" w:cs="宋体"/>
          <w:sz w:val="44"/>
          <w:szCs w:val="44"/>
        </w:rPr>
        <w:t>龙华区2022年生活垃圾分类工作激励资金</w:t>
      </w:r>
      <w:bookmarkEnd w:id="0"/>
      <w:r>
        <w:rPr>
          <w:rFonts w:hint="eastAsia" w:ascii="宋体" w:hAnsi="宋体" w:cs="宋体"/>
          <w:sz w:val="44"/>
          <w:szCs w:val="44"/>
        </w:rPr>
        <w:t>项目绩效评价报告</w:t>
      </w:r>
    </w:p>
    <w:p>
      <w:pPr>
        <w:jc w:val="center"/>
        <w:rPr>
          <w:rFonts w:ascii="宋体" w:hAnsi="宋体" w:cs="宋体"/>
          <w:sz w:val="28"/>
          <w:szCs w:val="28"/>
        </w:rPr>
      </w:pPr>
    </w:p>
    <w:p>
      <w:pPr>
        <w:jc w:val="center"/>
        <w:rPr>
          <w:rFonts w:ascii="楷体_GB2312" w:hAnsi="宋体" w:eastAsia="楷体_GB2312"/>
          <w:sz w:val="36"/>
          <w:szCs w:val="36"/>
        </w:rPr>
      </w:pPr>
    </w:p>
    <w:p>
      <w:pPr>
        <w:jc w:val="center"/>
        <w:rPr>
          <w:rFonts w:ascii="楷体_GB2312" w:hAnsi="宋体" w:eastAsia="楷体_GB2312"/>
          <w:sz w:val="36"/>
          <w:szCs w:val="36"/>
        </w:rPr>
      </w:pPr>
    </w:p>
    <w:p>
      <w:pPr>
        <w:jc w:val="center"/>
        <w:rPr>
          <w:rFonts w:ascii="楷体_GB2312" w:hAnsi="宋体" w:eastAsia="楷体_GB2312"/>
          <w:sz w:val="36"/>
          <w:szCs w:val="36"/>
        </w:rPr>
      </w:pPr>
    </w:p>
    <w:p>
      <w:pPr>
        <w:jc w:val="center"/>
        <w:rPr>
          <w:rFonts w:ascii="楷体_GB2312" w:hAnsi="宋体" w:eastAsia="楷体_GB2312"/>
          <w:sz w:val="36"/>
          <w:szCs w:val="36"/>
        </w:rPr>
      </w:pPr>
    </w:p>
    <w:p>
      <w:pPr>
        <w:jc w:val="center"/>
        <w:rPr>
          <w:rFonts w:ascii="楷体_GB2312" w:hAnsi="宋体" w:eastAsia="楷体_GB2312"/>
          <w:sz w:val="36"/>
          <w:szCs w:val="36"/>
        </w:rPr>
      </w:pPr>
    </w:p>
    <w:p>
      <w:pPr>
        <w:jc w:val="center"/>
        <w:rPr>
          <w:rFonts w:ascii="楷体_GB2312" w:hAnsi="宋体" w:eastAsia="楷体_GB2312"/>
          <w:sz w:val="36"/>
          <w:szCs w:val="36"/>
        </w:rPr>
      </w:pPr>
    </w:p>
    <w:p>
      <w:pPr>
        <w:jc w:val="both"/>
        <w:rPr>
          <w:rFonts w:ascii="楷体_GB2312" w:hAnsi="宋体" w:eastAsia="楷体_GB2312"/>
          <w:sz w:val="36"/>
          <w:szCs w:val="36"/>
        </w:rPr>
      </w:pPr>
    </w:p>
    <w:p>
      <w:pPr>
        <w:spacing w:line="360" w:lineRule="auto"/>
        <w:ind w:left="2731" w:hanging="2730" w:hangingChars="850"/>
        <w:rPr>
          <w:rFonts w:ascii="仿宋_GB2312" w:eastAsia="仿宋_GB2312"/>
          <w:sz w:val="32"/>
          <w:szCs w:val="32"/>
        </w:rPr>
      </w:pPr>
      <w:r>
        <w:rPr>
          <w:rFonts w:hint="eastAsia" w:ascii="仿宋_GB2312" w:eastAsia="仿宋_GB2312" w:cs="仿宋_GB2312"/>
          <w:b/>
          <w:bCs/>
          <w:sz w:val="32"/>
          <w:szCs w:val="32"/>
        </w:rPr>
        <w:t>项目名称：</w:t>
      </w:r>
      <w:r>
        <w:rPr>
          <w:rFonts w:hint="eastAsia" w:ascii="仿宋_GB2312" w:eastAsia="仿宋_GB2312" w:cs="仿宋_GB2312"/>
          <w:sz w:val="32"/>
          <w:szCs w:val="32"/>
        </w:rPr>
        <w:t>龙华区2022年生活垃圾分类工作激励资金项目</w:t>
      </w:r>
    </w:p>
    <w:p>
      <w:pPr>
        <w:spacing w:line="360" w:lineRule="auto"/>
        <w:ind w:left="2731" w:hanging="2730" w:hangingChars="850"/>
        <w:rPr>
          <w:rFonts w:ascii="仿宋_GB2312" w:eastAsia="仿宋_GB2312"/>
          <w:sz w:val="32"/>
          <w:szCs w:val="32"/>
        </w:rPr>
      </w:pPr>
      <w:r>
        <w:rPr>
          <w:rFonts w:hint="eastAsia" w:ascii="仿宋_GB2312" w:eastAsia="仿宋_GB2312" w:cs="仿宋_GB2312"/>
          <w:b/>
          <w:bCs/>
          <w:sz w:val="32"/>
          <w:szCs w:val="32"/>
        </w:rPr>
        <w:t>项目单位：</w:t>
      </w:r>
      <w:r>
        <w:rPr>
          <w:rFonts w:hint="eastAsia" w:ascii="仿宋_GB2312" w:eastAsia="仿宋_GB2312" w:cs="仿宋_GB2312"/>
          <w:sz w:val="32"/>
          <w:szCs w:val="32"/>
        </w:rPr>
        <w:t>深圳市龙华区城市管理和综合执法局</w:t>
      </w:r>
    </w:p>
    <w:p>
      <w:pPr>
        <w:spacing w:line="360" w:lineRule="auto"/>
        <w:jc w:val="left"/>
        <w:rPr>
          <w:rFonts w:ascii="仿宋_GB2312" w:hAnsi="仿宋_GB2312" w:eastAsia="仿宋_GB2312"/>
          <w:sz w:val="32"/>
          <w:szCs w:val="32"/>
        </w:rPr>
      </w:pPr>
      <w:bookmarkStart w:id="1" w:name="_Toc17219"/>
      <w:bookmarkStart w:id="2" w:name="_Toc26015"/>
      <w:r>
        <w:rPr>
          <w:rFonts w:hint="eastAsia" w:ascii="仿宋_GB2312" w:hAnsi="仿宋_GB2312" w:eastAsia="仿宋_GB2312"/>
          <w:b/>
          <w:sz w:val="32"/>
          <w:szCs w:val="32"/>
        </w:rPr>
        <w:t>报告时间：</w:t>
      </w:r>
      <w:r>
        <w:rPr>
          <w:rFonts w:ascii="仿宋_GB2312" w:hAnsi="仿宋_GB2312" w:eastAsia="仿宋_GB2312"/>
          <w:sz w:val="32"/>
          <w:szCs w:val="32"/>
        </w:rPr>
        <w:t>2023</w:t>
      </w:r>
      <w:r>
        <w:rPr>
          <w:rFonts w:hint="eastAsia" w:ascii="仿宋_GB2312" w:hAnsi="仿宋_GB2312" w:eastAsia="仿宋_GB2312"/>
          <w:sz w:val="32"/>
          <w:szCs w:val="32"/>
        </w:rPr>
        <w:t>年</w:t>
      </w:r>
      <w:r>
        <w:rPr>
          <w:rFonts w:ascii="仿宋_GB2312" w:hAnsi="仿宋_GB2312" w:eastAsia="仿宋_GB2312"/>
          <w:sz w:val="32"/>
          <w:szCs w:val="32"/>
        </w:rPr>
        <w:t>10</w:t>
      </w:r>
      <w:r>
        <w:rPr>
          <w:rFonts w:hint="eastAsia" w:ascii="仿宋_GB2312" w:hAnsi="仿宋_GB2312" w:eastAsia="仿宋_GB2312"/>
          <w:sz w:val="32"/>
          <w:szCs w:val="32"/>
        </w:rPr>
        <w:t>月</w:t>
      </w:r>
      <w:bookmarkEnd w:id="1"/>
      <w:bookmarkEnd w:id="2"/>
    </w:p>
    <w:p>
      <w:pPr>
        <w:spacing w:line="360" w:lineRule="auto"/>
        <w:ind w:left="2720" w:hanging="2720" w:hangingChars="850"/>
        <w:rPr>
          <w:rFonts w:ascii="仿宋_GB2312" w:eastAsia="仿宋_GB2312"/>
          <w:sz w:val="32"/>
          <w:szCs w:val="32"/>
        </w:rPr>
      </w:pPr>
    </w:p>
    <w:p>
      <w:pPr>
        <w:jc w:val="center"/>
        <w:rPr>
          <w:rFonts w:ascii="仿宋_GB2312" w:eastAsia="仿宋_GB2312"/>
          <w:sz w:val="32"/>
          <w:szCs w:val="32"/>
        </w:rPr>
      </w:pPr>
    </w:p>
    <w:p>
      <w:pPr>
        <w:spacing w:line="560" w:lineRule="exact"/>
        <w:ind w:firstLine="720" w:firstLineChars="200"/>
        <w:jc w:val="center"/>
        <w:rPr>
          <w:rFonts w:ascii="楷体_GB2312" w:hAnsi="宋体" w:eastAsia="楷体_GB2312"/>
          <w:sz w:val="36"/>
          <w:szCs w:val="36"/>
        </w:rPr>
        <w:sectPr>
          <w:headerReference r:id="rId4" w:type="default"/>
          <w:footerReference r:id="rId5" w:type="default"/>
          <w:pgSz w:w="11906" w:h="16838"/>
          <w:pgMar w:top="1440" w:right="1800" w:bottom="1440" w:left="1800" w:header="851" w:footer="992" w:gutter="0"/>
          <w:pgNumType w:start="1"/>
          <w:cols w:space="425" w:num="1"/>
          <w:docGrid w:type="lines" w:linePitch="312" w:charSpace="0"/>
        </w:sectPr>
      </w:pPr>
    </w:p>
    <w:p>
      <w:pPr>
        <w:adjustRightInd w:val="0"/>
        <w:snapToGrid w:val="0"/>
        <w:spacing w:line="560" w:lineRule="exact"/>
        <w:jc w:val="center"/>
        <w:rPr>
          <w:rFonts w:ascii="宋体" w:hAnsi="宋体"/>
          <w:b/>
          <w:bCs/>
          <w:sz w:val="28"/>
          <w:szCs w:val="28"/>
        </w:rPr>
      </w:pPr>
      <w:r>
        <w:rPr>
          <w:rFonts w:hint="eastAsia" w:ascii="宋体" w:hAnsi="宋体"/>
          <w:b/>
          <w:bCs/>
          <w:sz w:val="28"/>
          <w:szCs w:val="28"/>
        </w:rPr>
        <w:t>目</w:t>
      </w:r>
      <w:r>
        <w:rPr>
          <w:rFonts w:ascii="宋体" w:hAnsi="宋体"/>
          <w:b/>
          <w:bCs/>
          <w:sz w:val="28"/>
          <w:szCs w:val="28"/>
        </w:rPr>
        <w:t xml:space="preserve"> </w:t>
      </w:r>
      <w:r>
        <w:rPr>
          <w:rFonts w:hint="eastAsia" w:ascii="宋体" w:hAnsi="宋体"/>
          <w:b/>
          <w:bCs/>
          <w:sz w:val="28"/>
          <w:szCs w:val="28"/>
        </w:rPr>
        <w:t>录</w:t>
      </w:r>
    </w:p>
    <w:p>
      <w:pPr>
        <w:pStyle w:val="15"/>
        <w:rPr>
          <w:rFonts w:cstheme="minorBidi"/>
          <w:b w:val="0"/>
          <w:smallCaps w:val="0"/>
          <w:kern w:val="2"/>
        </w:rPr>
      </w:pPr>
      <w:r>
        <w:fldChar w:fldCharType="begin"/>
      </w:r>
      <w:r>
        <w:instrText xml:space="preserve"> TOC \o "1-2" \h \z \u </w:instrText>
      </w:r>
      <w:r>
        <w:fldChar w:fldCharType="separate"/>
      </w:r>
      <w:r>
        <w:fldChar w:fldCharType="begin"/>
      </w:r>
      <w:r>
        <w:instrText xml:space="preserve"> HYPERLINK \l "_Toc148104141" </w:instrText>
      </w:r>
      <w:r>
        <w:fldChar w:fldCharType="separate"/>
      </w:r>
      <w:r>
        <w:rPr>
          <w:rStyle w:val="30"/>
        </w:rPr>
        <w:t>一、基本情况</w:t>
      </w:r>
      <w:r>
        <w:tab/>
      </w:r>
      <w:r>
        <w:fldChar w:fldCharType="begin"/>
      </w:r>
      <w:r>
        <w:instrText xml:space="preserve"> PAGEREF _Toc148104141 \h </w:instrText>
      </w:r>
      <w:r>
        <w:fldChar w:fldCharType="separate"/>
      </w:r>
      <w:r>
        <w:t>1</w:t>
      </w:r>
      <w:r>
        <w:fldChar w:fldCharType="end"/>
      </w:r>
      <w:r>
        <w:fldChar w:fldCharType="end"/>
      </w:r>
    </w:p>
    <w:p>
      <w:pPr>
        <w:pStyle w:val="19"/>
        <w:rPr>
          <w:rFonts w:ascii="宋体" w:hAnsi="宋体" w:eastAsia="宋体" w:cstheme="minorBidi"/>
          <w:smallCaps w:val="0"/>
          <w:kern w:val="2"/>
          <w:sz w:val="28"/>
          <w:szCs w:val="28"/>
        </w:rPr>
      </w:pPr>
      <w:r>
        <w:fldChar w:fldCharType="begin"/>
      </w:r>
      <w:r>
        <w:instrText xml:space="preserve"> HYPERLINK \l "_Toc148104142" </w:instrText>
      </w:r>
      <w:r>
        <w:fldChar w:fldCharType="separate"/>
      </w:r>
      <w:r>
        <w:rPr>
          <w:rStyle w:val="30"/>
          <w:rFonts w:ascii="宋体" w:hAnsi="宋体" w:eastAsia="宋体" w:cs="仿宋_GB2312"/>
          <w:sz w:val="28"/>
          <w:szCs w:val="28"/>
        </w:rPr>
        <w:t>（一）项目背景</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_Toc148104142 \h </w:instrText>
      </w:r>
      <w:r>
        <w:rPr>
          <w:rFonts w:ascii="宋体" w:hAnsi="宋体" w:eastAsia="宋体"/>
          <w:sz w:val="28"/>
          <w:szCs w:val="28"/>
        </w:rPr>
        <w:fldChar w:fldCharType="separate"/>
      </w:r>
      <w:r>
        <w:rPr>
          <w:rFonts w:ascii="宋体" w:hAnsi="宋体" w:eastAsia="宋体"/>
          <w:sz w:val="28"/>
          <w:szCs w:val="28"/>
        </w:rPr>
        <w:t>1</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"_Toc148104143" </w:instrText>
      </w:r>
      <w:r>
        <w:fldChar w:fldCharType="separate"/>
      </w:r>
      <w:r>
        <w:rPr>
          <w:rStyle w:val="30"/>
          <w:rFonts w:ascii="宋体" w:hAnsi="宋体" w:eastAsia="宋体" w:cs="仿宋_GB2312"/>
          <w:sz w:val="28"/>
          <w:szCs w:val="28"/>
        </w:rPr>
        <w:t>（二）项目组织与实施</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_Toc148104143 \h </w:instrText>
      </w:r>
      <w:r>
        <w:rPr>
          <w:rFonts w:ascii="宋体" w:hAnsi="宋体" w:eastAsia="宋体"/>
          <w:sz w:val="28"/>
          <w:szCs w:val="28"/>
        </w:rPr>
        <w:fldChar w:fldCharType="separate"/>
      </w:r>
      <w:r>
        <w:rPr>
          <w:rFonts w:ascii="宋体" w:hAnsi="宋体" w:eastAsia="宋体"/>
          <w:sz w:val="28"/>
          <w:szCs w:val="28"/>
        </w:rPr>
        <w:t>2</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"_Toc148104144" </w:instrText>
      </w:r>
      <w:r>
        <w:fldChar w:fldCharType="separate"/>
      </w:r>
      <w:r>
        <w:rPr>
          <w:rStyle w:val="30"/>
          <w:rFonts w:ascii="宋体" w:hAnsi="宋体" w:eastAsia="宋体" w:cs="仿宋_GB2312"/>
          <w:sz w:val="28"/>
          <w:szCs w:val="28"/>
        </w:rPr>
        <w:t>（三）预算及执行情况</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_Toc148104144 \h </w:instrText>
      </w:r>
      <w:r>
        <w:rPr>
          <w:rFonts w:ascii="宋体" w:hAnsi="宋体" w:eastAsia="宋体"/>
          <w:sz w:val="28"/>
          <w:szCs w:val="28"/>
        </w:rPr>
        <w:fldChar w:fldCharType="separate"/>
      </w:r>
      <w:r>
        <w:rPr>
          <w:rFonts w:ascii="宋体" w:hAnsi="宋体" w:eastAsia="宋体"/>
          <w:sz w:val="28"/>
          <w:szCs w:val="28"/>
        </w:rPr>
        <w:t>5</w:t>
      </w:r>
      <w:r>
        <w:rPr>
          <w:rFonts w:ascii="宋体" w:hAnsi="宋体" w:eastAsia="宋体"/>
          <w:sz w:val="28"/>
          <w:szCs w:val="28"/>
        </w:rPr>
        <w:fldChar w:fldCharType="end"/>
      </w:r>
      <w:r>
        <w:rPr>
          <w:rFonts w:ascii="宋体" w:hAnsi="宋体" w:eastAsia="宋体"/>
          <w:sz w:val="28"/>
          <w:szCs w:val="28"/>
        </w:rPr>
        <w:fldChar w:fldCharType="end"/>
      </w:r>
    </w:p>
    <w:p>
      <w:pPr>
        <w:pStyle w:val="15"/>
        <w:rPr>
          <w:rFonts w:cstheme="minorBidi"/>
          <w:b w:val="0"/>
          <w:smallCaps w:val="0"/>
          <w:kern w:val="2"/>
        </w:rPr>
      </w:pPr>
      <w:r>
        <w:fldChar w:fldCharType="begin"/>
      </w:r>
      <w:r>
        <w:instrText xml:space="preserve"> HYPERLINK \l "_Toc148104145" </w:instrText>
      </w:r>
      <w:r>
        <w:fldChar w:fldCharType="separate"/>
      </w:r>
      <w:r>
        <w:rPr>
          <w:rStyle w:val="30"/>
        </w:rPr>
        <w:t>二、绩效评价工作开展情况</w:t>
      </w:r>
      <w:r>
        <w:tab/>
      </w:r>
      <w:r>
        <w:fldChar w:fldCharType="begin"/>
      </w:r>
      <w:r>
        <w:instrText xml:space="preserve"> PAGEREF _Toc148104145 \h </w:instrText>
      </w:r>
      <w:r>
        <w:fldChar w:fldCharType="separate"/>
      </w:r>
      <w:r>
        <w:t>5</w:t>
      </w:r>
      <w:r>
        <w:fldChar w:fldCharType="end"/>
      </w:r>
      <w:r>
        <w:fldChar w:fldCharType="end"/>
      </w:r>
    </w:p>
    <w:p>
      <w:pPr>
        <w:pStyle w:val="19"/>
        <w:rPr>
          <w:rFonts w:ascii="宋体" w:hAnsi="宋体" w:eastAsia="宋体" w:cstheme="minorBidi"/>
          <w:smallCaps w:val="0"/>
          <w:kern w:val="2"/>
          <w:sz w:val="28"/>
          <w:szCs w:val="28"/>
        </w:rPr>
      </w:pPr>
      <w:r>
        <w:fldChar w:fldCharType="begin"/>
      </w:r>
      <w:r>
        <w:instrText xml:space="preserve"> HYPERLINK \l "_Toc148104146" </w:instrText>
      </w:r>
      <w:r>
        <w:fldChar w:fldCharType="separate"/>
      </w:r>
      <w:r>
        <w:rPr>
          <w:rStyle w:val="30"/>
          <w:rFonts w:ascii="宋体" w:hAnsi="宋体" w:eastAsia="宋体" w:cs="仿宋_GB2312"/>
          <w:sz w:val="28"/>
          <w:szCs w:val="28"/>
        </w:rPr>
        <w:t>（一）绩效评价目的、对象和范围</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_Toc148104146 \h </w:instrText>
      </w:r>
      <w:r>
        <w:rPr>
          <w:rFonts w:ascii="宋体" w:hAnsi="宋体" w:eastAsia="宋体"/>
          <w:sz w:val="28"/>
          <w:szCs w:val="28"/>
        </w:rPr>
        <w:fldChar w:fldCharType="separate"/>
      </w:r>
      <w:r>
        <w:rPr>
          <w:rFonts w:ascii="宋体" w:hAnsi="宋体" w:eastAsia="宋体"/>
          <w:sz w:val="28"/>
          <w:szCs w:val="28"/>
        </w:rPr>
        <w:t>5</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"_Toc148104147" </w:instrText>
      </w:r>
      <w:r>
        <w:fldChar w:fldCharType="separate"/>
      </w:r>
      <w:r>
        <w:rPr>
          <w:rStyle w:val="30"/>
          <w:rFonts w:ascii="宋体" w:hAnsi="宋体" w:eastAsia="宋体" w:cs="仿宋_GB2312"/>
          <w:sz w:val="28"/>
          <w:szCs w:val="28"/>
        </w:rPr>
        <w:t>（二）绩效评价原则、评价指标体系、评价方法、评价标准等</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_Toc148104147 \h </w:instrText>
      </w:r>
      <w:r>
        <w:rPr>
          <w:rFonts w:ascii="宋体" w:hAnsi="宋体" w:eastAsia="宋体"/>
          <w:sz w:val="28"/>
          <w:szCs w:val="28"/>
        </w:rPr>
        <w:fldChar w:fldCharType="separate"/>
      </w:r>
      <w:r>
        <w:rPr>
          <w:rFonts w:ascii="宋体" w:hAnsi="宋体" w:eastAsia="宋体"/>
          <w:sz w:val="28"/>
          <w:szCs w:val="28"/>
        </w:rPr>
        <w:t>6</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"_Toc148104148" </w:instrText>
      </w:r>
      <w:r>
        <w:fldChar w:fldCharType="separate"/>
      </w:r>
      <w:r>
        <w:rPr>
          <w:rStyle w:val="30"/>
          <w:rFonts w:ascii="宋体" w:hAnsi="宋体" w:eastAsia="宋体" w:cs="仿宋_GB2312"/>
          <w:sz w:val="28"/>
          <w:szCs w:val="28"/>
        </w:rPr>
        <w:t>（三）绩效评价工作过程</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_Toc148104148 \h </w:instrText>
      </w:r>
      <w:r>
        <w:rPr>
          <w:rFonts w:ascii="宋体" w:hAnsi="宋体" w:eastAsia="宋体"/>
          <w:sz w:val="28"/>
          <w:szCs w:val="28"/>
        </w:rPr>
        <w:fldChar w:fldCharType="separate"/>
      </w:r>
      <w:r>
        <w:rPr>
          <w:rFonts w:ascii="宋体" w:hAnsi="宋体" w:eastAsia="宋体"/>
          <w:sz w:val="28"/>
          <w:szCs w:val="28"/>
        </w:rPr>
        <w:t>8</w:t>
      </w:r>
      <w:r>
        <w:rPr>
          <w:rFonts w:ascii="宋体" w:hAnsi="宋体" w:eastAsia="宋体"/>
          <w:sz w:val="28"/>
          <w:szCs w:val="28"/>
        </w:rPr>
        <w:fldChar w:fldCharType="end"/>
      </w:r>
      <w:r>
        <w:rPr>
          <w:rFonts w:ascii="宋体" w:hAnsi="宋体" w:eastAsia="宋体"/>
          <w:sz w:val="28"/>
          <w:szCs w:val="28"/>
        </w:rPr>
        <w:fldChar w:fldCharType="end"/>
      </w:r>
    </w:p>
    <w:p>
      <w:pPr>
        <w:pStyle w:val="15"/>
        <w:rPr>
          <w:rFonts w:cstheme="minorBidi"/>
          <w:b w:val="0"/>
          <w:smallCaps w:val="0"/>
          <w:kern w:val="2"/>
        </w:rPr>
      </w:pPr>
      <w:r>
        <w:fldChar w:fldCharType="begin"/>
      </w:r>
      <w:r>
        <w:instrText xml:space="preserve"> HYPERLINK \l "_Toc148104149" </w:instrText>
      </w:r>
      <w:r>
        <w:fldChar w:fldCharType="separate"/>
      </w:r>
      <w:r>
        <w:rPr>
          <w:rStyle w:val="30"/>
        </w:rPr>
        <w:t>三、总体评价及评分分析</w:t>
      </w:r>
      <w:r>
        <w:tab/>
      </w:r>
      <w:r>
        <w:fldChar w:fldCharType="begin"/>
      </w:r>
      <w:r>
        <w:instrText xml:space="preserve"> PAGEREF _Toc148104149 \h </w:instrText>
      </w:r>
      <w:r>
        <w:fldChar w:fldCharType="separate"/>
      </w:r>
      <w:r>
        <w:t>10</w:t>
      </w:r>
      <w:r>
        <w:fldChar w:fldCharType="end"/>
      </w:r>
      <w:r>
        <w:fldChar w:fldCharType="end"/>
      </w:r>
    </w:p>
    <w:p>
      <w:pPr>
        <w:pStyle w:val="19"/>
        <w:rPr>
          <w:rFonts w:ascii="宋体" w:hAnsi="宋体" w:eastAsia="宋体" w:cstheme="minorBidi"/>
          <w:smallCaps w:val="0"/>
          <w:kern w:val="2"/>
          <w:sz w:val="28"/>
          <w:szCs w:val="28"/>
        </w:rPr>
      </w:pPr>
      <w:r>
        <w:fldChar w:fldCharType="begin"/>
      </w:r>
      <w:r>
        <w:instrText xml:space="preserve"> HYPERLINK \l "_Toc148104150" </w:instrText>
      </w:r>
      <w:r>
        <w:fldChar w:fldCharType="separate"/>
      </w:r>
      <w:r>
        <w:rPr>
          <w:rStyle w:val="30"/>
          <w:rFonts w:ascii="宋体" w:hAnsi="宋体" w:eastAsia="宋体" w:cs="仿宋_GB2312"/>
          <w:sz w:val="28"/>
          <w:szCs w:val="28"/>
        </w:rPr>
        <w:t>（一）总体评价</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_Toc148104150 \h </w:instrText>
      </w:r>
      <w:r>
        <w:rPr>
          <w:rFonts w:ascii="宋体" w:hAnsi="宋体" w:eastAsia="宋体"/>
          <w:sz w:val="28"/>
          <w:szCs w:val="28"/>
        </w:rPr>
        <w:fldChar w:fldCharType="separate"/>
      </w:r>
      <w:r>
        <w:rPr>
          <w:rFonts w:ascii="宋体" w:hAnsi="宋体" w:eastAsia="宋体"/>
          <w:sz w:val="28"/>
          <w:szCs w:val="28"/>
        </w:rPr>
        <w:t>10</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"_Toc148104151" </w:instrText>
      </w:r>
      <w:r>
        <w:fldChar w:fldCharType="separate"/>
      </w:r>
      <w:r>
        <w:rPr>
          <w:rStyle w:val="30"/>
          <w:rFonts w:ascii="宋体" w:hAnsi="宋体" w:eastAsia="宋体" w:cs="仿宋_GB2312"/>
          <w:sz w:val="28"/>
          <w:szCs w:val="28"/>
        </w:rPr>
        <w:t>（二）指标评分分析</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_Toc148104151 \h </w:instrText>
      </w:r>
      <w:r>
        <w:rPr>
          <w:rFonts w:ascii="宋体" w:hAnsi="宋体" w:eastAsia="宋体"/>
          <w:sz w:val="28"/>
          <w:szCs w:val="28"/>
        </w:rPr>
        <w:fldChar w:fldCharType="separate"/>
      </w:r>
      <w:r>
        <w:rPr>
          <w:rFonts w:ascii="宋体" w:hAnsi="宋体" w:eastAsia="宋体"/>
          <w:sz w:val="28"/>
          <w:szCs w:val="28"/>
        </w:rPr>
        <w:t>11</w:t>
      </w:r>
      <w:r>
        <w:rPr>
          <w:rFonts w:ascii="宋体" w:hAnsi="宋体" w:eastAsia="宋体"/>
          <w:sz w:val="28"/>
          <w:szCs w:val="28"/>
        </w:rPr>
        <w:fldChar w:fldCharType="end"/>
      </w:r>
      <w:r>
        <w:rPr>
          <w:rFonts w:ascii="宋体" w:hAnsi="宋体" w:eastAsia="宋体"/>
          <w:sz w:val="28"/>
          <w:szCs w:val="28"/>
        </w:rPr>
        <w:fldChar w:fldCharType="end"/>
      </w:r>
    </w:p>
    <w:p>
      <w:pPr>
        <w:pStyle w:val="15"/>
        <w:rPr>
          <w:rFonts w:cstheme="minorBidi"/>
          <w:b w:val="0"/>
          <w:smallCaps w:val="0"/>
          <w:kern w:val="2"/>
        </w:rPr>
      </w:pPr>
      <w:r>
        <w:fldChar w:fldCharType="begin"/>
      </w:r>
      <w:r>
        <w:instrText xml:space="preserve"> HYPERLINK \l "_Toc148104152" </w:instrText>
      </w:r>
      <w:r>
        <w:fldChar w:fldCharType="separate"/>
      </w:r>
      <w:r>
        <w:rPr>
          <w:rStyle w:val="30"/>
        </w:rPr>
        <w:t>四、主要经验及做法</w:t>
      </w:r>
      <w:r>
        <w:tab/>
      </w:r>
      <w:r>
        <w:fldChar w:fldCharType="begin"/>
      </w:r>
      <w:r>
        <w:instrText xml:space="preserve"> PAGEREF _Toc148104152 \h </w:instrText>
      </w:r>
      <w:r>
        <w:fldChar w:fldCharType="separate"/>
      </w:r>
      <w:r>
        <w:t>22</w:t>
      </w:r>
      <w:r>
        <w:fldChar w:fldCharType="end"/>
      </w:r>
      <w:r>
        <w:fldChar w:fldCharType="end"/>
      </w:r>
    </w:p>
    <w:p>
      <w:pPr>
        <w:pStyle w:val="19"/>
        <w:rPr>
          <w:rFonts w:ascii="宋体" w:hAnsi="宋体" w:eastAsia="宋体" w:cstheme="minorBidi"/>
          <w:smallCaps w:val="0"/>
          <w:kern w:val="2"/>
          <w:sz w:val="28"/>
          <w:szCs w:val="28"/>
        </w:rPr>
      </w:pPr>
      <w:r>
        <w:fldChar w:fldCharType="begin"/>
      </w:r>
      <w:r>
        <w:instrText xml:space="preserve"> HYPERLINK \l "_Toc148104153" </w:instrText>
      </w:r>
      <w:r>
        <w:fldChar w:fldCharType="separate"/>
      </w:r>
      <w:r>
        <w:rPr>
          <w:rStyle w:val="30"/>
          <w:rFonts w:ascii="宋体" w:hAnsi="宋体" w:eastAsia="宋体" w:cs="仿宋_GB2312"/>
          <w:sz w:val="28"/>
          <w:szCs w:val="28"/>
        </w:rPr>
        <w:t>（一）围绕“一个目标”，精准发力谋篇布局。</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_Toc148104153 \h </w:instrText>
      </w:r>
      <w:r>
        <w:rPr>
          <w:rFonts w:ascii="宋体" w:hAnsi="宋体" w:eastAsia="宋体"/>
          <w:sz w:val="28"/>
          <w:szCs w:val="28"/>
        </w:rPr>
        <w:fldChar w:fldCharType="separate"/>
      </w:r>
      <w:r>
        <w:rPr>
          <w:rFonts w:ascii="宋体" w:hAnsi="宋体" w:eastAsia="宋体"/>
          <w:sz w:val="28"/>
          <w:szCs w:val="28"/>
        </w:rPr>
        <w:t>22</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"_Toc148104154" </w:instrText>
      </w:r>
      <w:r>
        <w:fldChar w:fldCharType="separate"/>
      </w:r>
      <w:r>
        <w:rPr>
          <w:rStyle w:val="30"/>
          <w:rFonts w:ascii="宋体" w:hAnsi="宋体" w:eastAsia="宋体" w:cs="仿宋_GB2312"/>
          <w:sz w:val="28"/>
          <w:szCs w:val="28"/>
        </w:rPr>
        <w:t>（二）建立“两个制度”，靶向施策推进分类。</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_Toc148104154 \h </w:instrText>
      </w:r>
      <w:r>
        <w:rPr>
          <w:rFonts w:ascii="宋体" w:hAnsi="宋体" w:eastAsia="宋体"/>
          <w:sz w:val="28"/>
          <w:szCs w:val="28"/>
        </w:rPr>
        <w:fldChar w:fldCharType="separate"/>
      </w:r>
      <w:r>
        <w:rPr>
          <w:rFonts w:ascii="宋体" w:hAnsi="宋体" w:eastAsia="宋体"/>
          <w:sz w:val="28"/>
          <w:szCs w:val="28"/>
        </w:rPr>
        <w:t>22</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"_Toc148104155" </w:instrText>
      </w:r>
      <w:r>
        <w:fldChar w:fldCharType="separate"/>
      </w:r>
      <w:r>
        <w:rPr>
          <w:rStyle w:val="30"/>
          <w:rFonts w:ascii="宋体" w:hAnsi="宋体" w:eastAsia="宋体" w:cs="仿宋_GB2312"/>
          <w:sz w:val="28"/>
          <w:szCs w:val="28"/>
        </w:rPr>
        <w:t>（三）抓牢“三个端口”，分类链条闭环管理。</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_Toc148104155 \h </w:instrText>
      </w:r>
      <w:r>
        <w:rPr>
          <w:rFonts w:ascii="宋体" w:hAnsi="宋体" w:eastAsia="宋体"/>
          <w:sz w:val="28"/>
          <w:szCs w:val="28"/>
        </w:rPr>
        <w:fldChar w:fldCharType="separate"/>
      </w:r>
      <w:r>
        <w:rPr>
          <w:rFonts w:ascii="宋体" w:hAnsi="宋体" w:eastAsia="宋体"/>
          <w:sz w:val="28"/>
          <w:szCs w:val="28"/>
        </w:rPr>
        <w:t>23</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"_Toc148104156" </w:instrText>
      </w:r>
      <w:r>
        <w:fldChar w:fldCharType="separate"/>
      </w:r>
      <w:r>
        <w:rPr>
          <w:rStyle w:val="30"/>
          <w:rFonts w:ascii="宋体" w:hAnsi="宋体" w:eastAsia="宋体" w:cs="仿宋_GB2312"/>
          <w:sz w:val="28"/>
          <w:szCs w:val="28"/>
        </w:rPr>
        <w:t>（四）强化“四个引领”，多管齐下力促分类。</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_Toc148104156 \h </w:instrText>
      </w:r>
      <w:r>
        <w:rPr>
          <w:rFonts w:ascii="宋体" w:hAnsi="宋体" w:eastAsia="宋体"/>
          <w:sz w:val="28"/>
          <w:szCs w:val="28"/>
        </w:rPr>
        <w:fldChar w:fldCharType="separate"/>
      </w:r>
      <w:r>
        <w:rPr>
          <w:rFonts w:ascii="宋体" w:hAnsi="宋体" w:eastAsia="宋体"/>
          <w:sz w:val="28"/>
          <w:szCs w:val="28"/>
        </w:rPr>
        <w:t>24</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"_Toc148104157" </w:instrText>
      </w:r>
      <w:r>
        <w:fldChar w:fldCharType="separate"/>
      </w:r>
      <w:r>
        <w:rPr>
          <w:rStyle w:val="30"/>
          <w:rFonts w:ascii="宋体" w:hAnsi="宋体" w:eastAsia="宋体" w:cs="仿宋_GB2312"/>
          <w:sz w:val="28"/>
          <w:szCs w:val="28"/>
        </w:rPr>
        <w:t>（五）打造执法直播品牌，创新特色宣传活动。</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_Toc148104157 \h </w:instrText>
      </w:r>
      <w:r>
        <w:rPr>
          <w:rFonts w:ascii="宋体" w:hAnsi="宋体" w:eastAsia="宋体"/>
          <w:sz w:val="28"/>
          <w:szCs w:val="28"/>
        </w:rPr>
        <w:fldChar w:fldCharType="separate"/>
      </w:r>
      <w:r>
        <w:rPr>
          <w:rFonts w:ascii="宋体" w:hAnsi="宋体" w:eastAsia="宋体"/>
          <w:sz w:val="28"/>
          <w:szCs w:val="28"/>
        </w:rPr>
        <w:t>25</w:t>
      </w:r>
      <w:r>
        <w:rPr>
          <w:rFonts w:ascii="宋体" w:hAnsi="宋体" w:eastAsia="宋体"/>
          <w:sz w:val="28"/>
          <w:szCs w:val="28"/>
        </w:rPr>
        <w:fldChar w:fldCharType="end"/>
      </w:r>
      <w:r>
        <w:rPr>
          <w:rFonts w:ascii="宋体" w:hAnsi="宋体" w:eastAsia="宋体"/>
          <w:sz w:val="28"/>
          <w:szCs w:val="28"/>
        </w:rPr>
        <w:fldChar w:fldCharType="end"/>
      </w:r>
    </w:p>
    <w:p>
      <w:pPr>
        <w:pStyle w:val="15"/>
        <w:rPr>
          <w:rFonts w:cstheme="minorBidi"/>
          <w:b w:val="0"/>
          <w:smallCaps w:val="0"/>
          <w:kern w:val="2"/>
        </w:rPr>
      </w:pPr>
      <w:r>
        <w:fldChar w:fldCharType="begin"/>
      </w:r>
      <w:r>
        <w:instrText xml:space="preserve"> HYPERLINK \l "_Toc148104158" </w:instrText>
      </w:r>
      <w:r>
        <w:fldChar w:fldCharType="separate"/>
      </w:r>
      <w:r>
        <w:rPr>
          <w:rStyle w:val="30"/>
        </w:rPr>
        <w:t>五、存在的问题及原因分析</w:t>
      </w:r>
      <w:r>
        <w:tab/>
      </w:r>
      <w:r>
        <w:fldChar w:fldCharType="begin"/>
      </w:r>
      <w:r>
        <w:instrText xml:space="preserve"> PAGEREF _Toc148104158 \h </w:instrText>
      </w:r>
      <w:r>
        <w:fldChar w:fldCharType="separate"/>
      </w:r>
      <w:r>
        <w:t>26</w:t>
      </w:r>
      <w:r>
        <w:fldChar w:fldCharType="end"/>
      </w:r>
      <w:r>
        <w:fldChar w:fldCharType="end"/>
      </w:r>
    </w:p>
    <w:p>
      <w:pPr>
        <w:pStyle w:val="19"/>
        <w:rPr>
          <w:rFonts w:ascii="宋体" w:hAnsi="宋体" w:eastAsia="宋体" w:cstheme="minorBidi"/>
          <w:smallCaps w:val="0"/>
          <w:kern w:val="2"/>
          <w:sz w:val="28"/>
          <w:szCs w:val="28"/>
        </w:rPr>
      </w:pPr>
      <w:r>
        <w:fldChar w:fldCharType="begin"/>
      </w:r>
      <w:r>
        <w:instrText xml:space="preserve"> HYPERLINK \l "_Toc148104159" </w:instrText>
      </w:r>
      <w:r>
        <w:fldChar w:fldCharType="separate"/>
      </w:r>
      <w:r>
        <w:rPr>
          <w:rStyle w:val="30"/>
          <w:rFonts w:ascii="宋体" w:hAnsi="宋体" w:eastAsia="宋体" w:cs="仿宋_GB2312"/>
          <w:sz w:val="28"/>
          <w:szCs w:val="28"/>
        </w:rPr>
        <w:t>（一）绩效目标设置不全，绩效指标明确性有待提高。</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_Toc148104159 \h </w:instrText>
      </w:r>
      <w:r>
        <w:rPr>
          <w:rFonts w:ascii="宋体" w:hAnsi="宋体" w:eastAsia="宋体"/>
          <w:sz w:val="28"/>
          <w:szCs w:val="28"/>
        </w:rPr>
        <w:fldChar w:fldCharType="separate"/>
      </w:r>
      <w:r>
        <w:rPr>
          <w:rFonts w:ascii="宋体" w:hAnsi="宋体" w:eastAsia="宋体"/>
          <w:sz w:val="28"/>
          <w:szCs w:val="28"/>
        </w:rPr>
        <w:t>26</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"_Toc148104160" </w:instrText>
      </w:r>
      <w:r>
        <w:fldChar w:fldCharType="separate"/>
      </w:r>
      <w:r>
        <w:rPr>
          <w:rStyle w:val="30"/>
          <w:rFonts w:ascii="宋体" w:hAnsi="宋体" w:eastAsia="宋体" w:cs="仿宋_GB2312"/>
          <w:sz w:val="28"/>
          <w:szCs w:val="28"/>
        </w:rPr>
        <w:t>（二）部分绩效指标未达标，生活垃圾分类激励工作效益未能充分显现。</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_Toc148104160 \h </w:instrText>
      </w:r>
      <w:r>
        <w:rPr>
          <w:rFonts w:ascii="宋体" w:hAnsi="宋体" w:eastAsia="宋体"/>
          <w:sz w:val="28"/>
          <w:szCs w:val="28"/>
        </w:rPr>
        <w:fldChar w:fldCharType="separate"/>
      </w:r>
      <w:r>
        <w:rPr>
          <w:rFonts w:ascii="宋体" w:hAnsi="宋体" w:eastAsia="宋体"/>
          <w:sz w:val="28"/>
          <w:szCs w:val="28"/>
        </w:rPr>
        <w:t>27</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"_Toc148104161" </w:instrText>
      </w:r>
      <w:r>
        <w:fldChar w:fldCharType="separate"/>
      </w:r>
      <w:r>
        <w:rPr>
          <w:rStyle w:val="30"/>
          <w:rFonts w:ascii="宋体" w:hAnsi="宋体" w:eastAsia="宋体" w:cs="Times New Roman"/>
          <w:sz w:val="28"/>
          <w:szCs w:val="28"/>
        </w:rPr>
        <w:t>（三）激励效果对比不显著，项目可持续性影响有待提高。</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_Toc148104161 \h </w:instrText>
      </w:r>
      <w:r>
        <w:rPr>
          <w:rFonts w:ascii="宋体" w:hAnsi="宋体" w:eastAsia="宋体"/>
          <w:sz w:val="28"/>
          <w:szCs w:val="28"/>
        </w:rPr>
        <w:fldChar w:fldCharType="separate"/>
      </w:r>
      <w:r>
        <w:rPr>
          <w:rFonts w:ascii="宋体" w:hAnsi="宋体" w:eastAsia="宋体"/>
          <w:sz w:val="28"/>
          <w:szCs w:val="28"/>
        </w:rPr>
        <w:t>27</w:t>
      </w:r>
      <w:r>
        <w:rPr>
          <w:rFonts w:ascii="宋体" w:hAnsi="宋体" w:eastAsia="宋体"/>
          <w:sz w:val="28"/>
          <w:szCs w:val="28"/>
        </w:rPr>
        <w:fldChar w:fldCharType="end"/>
      </w:r>
      <w:r>
        <w:rPr>
          <w:rFonts w:ascii="宋体" w:hAnsi="宋体" w:eastAsia="宋体"/>
          <w:sz w:val="28"/>
          <w:szCs w:val="28"/>
        </w:rPr>
        <w:fldChar w:fldCharType="end"/>
      </w:r>
    </w:p>
    <w:p>
      <w:pPr>
        <w:pStyle w:val="15"/>
        <w:rPr>
          <w:rFonts w:cstheme="minorBidi"/>
          <w:b w:val="0"/>
          <w:smallCaps w:val="0"/>
          <w:kern w:val="2"/>
        </w:rPr>
      </w:pPr>
      <w:r>
        <w:fldChar w:fldCharType="begin"/>
      </w:r>
      <w:r>
        <w:instrText xml:space="preserve"> HYPERLINK \l "_Toc148104162" </w:instrText>
      </w:r>
      <w:r>
        <w:fldChar w:fldCharType="separate"/>
      </w:r>
      <w:r>
        <w:rPr>
          <w:rStyle w:val="30"/>
        </w:rPr>
        <w:t>六、有关建议</w:t>
      </w:r>
      <w:r>
        <w:tab/>
      </w:r>
      <w:r>
        <w:fldChar w:fldCharType="begin"/>
      </w:r>
      <w:r>
        <w:instrText xml:space="preserve"> PAGEREF _Toc148104162 \h </w:instrText>
      </w:r>
      <w:r>
        <w:fldChar w:fldCharType="separate"/>
      </w:r>
      <w:r>
        <w:t>28</w:t>
      </w:r>
      <w:r>
        <w:fldChar w:fldCharType="end"/>
      </w:r>
      <w:r>
        <w:fldChar w:fldCharType="end"/>
      </w:r>
    </w:p>
    <w:p>
      <w:pPr>
        <w:pStyle w:val="19"/>
        <w:rPr>
          <w:rFonts w:ascii="宋体" w:hAnsi="宋体" w:eastAsia="宋体" w:cstheme="minorBidi"/>
          <w:smallCaps w:val="0"/>
          <w:kern w:val="2"/>
          <w:sz w:val="28"/>
          <w:szCs w:val="28"/>
        </w:rPr>
      </w:pPr>
      <w:r>
        <w:fldChar w:fldCharType="begin"/>
      </w:r>
      <w:r>
        <w:instrText xml:space="preserve"> HYPERLINK \l "_Toc148104163" </w:instrText>
      </w:r>
      <w:r>
        <w:fldChar w:fldCharType="separate"/>
      </w:r>
      <w:r>
        <w:rPr>
          <w:rStyle w:val="30"/>
          <w:rFonts w:ascii="宋体" w:hAnsi="宋体" w:eastAsia="宋体" w:cs="仿宋_GB2312"/>
          <w:sz w:val="28"/>
          <w:szCs w:val="28"/>
        </w:rPr>
        <w:t>（一）优化绩效指标设置，充分反映和体现项目预期产出和成效。</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_Toc148104163 \h </w:instrText>
      </w:r>
      <w:r>
        <w:rPr>
          <w:rFonts w:ascii="宋体" w:hAnsi="宋体" w:eastAsia="宋体"/>
          <w:sz w:val="28"/>
          <w:szCs w:val="28"/>
        </w:rPr>
        <w:fldChar w:fldCharType="separate"/>
      </w:r>
      <w:r>
        <w:rPr>
          <w:rFonts w:ascii="宋体" w:hAnsi="宋体" w:eastAsia="宋体"/>
          <w:sz w:val="28"/>
          <w:szCs w:val="28"/>
        </w:rPr>
        <w:t>28</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"_Toc148104164" </w:instrText>
      </w:r>
      <w:r>
        <w:fldChar w:fldCharType="separate"/>
      </w:r>
      <w:r>
        <w:rPr>
          <w:rStyle w:val="30"/>
          <w:rFonts w:ascii="宋体" w:hAnsi="宋体" w:eastAsia="宋体" w:cs="仿宋_GB2312"/>
          <w:sz w:val="28"/>
          <w:szCs w:val="28"/>
        </w:rPr>
        <w:t>（二）强化宣传教育，进一步提高公众知晓率和满意度，充分凸显项目实施成效。</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_Toc148104164 \h </w:instrText>
      </w:r>
      <w:r>
        <w:rPr>
          <w:rFonts w:ascii="宋体" w:hAnsi="宋体" w:eastAsia="宋体"/>
          <w:sz w:val="28"/>
          <w:szCs w:val="28"/>
        </w:rPr>
        <w:fldChar w:fldCharType="separate"/>
      </w:r>
      <w:r>
        <w:rPr>
          <w:rFonts w:ascii="宋体" w:hAnsi="宋体" w:eastAsia="宋体"/>
          <w:sz w:val="28"/>
          <w:szCs w:val="28"/>
        </w:rPr>
        <w:t>28</w:t>
      </w:r>
      <w:r>
        <w:rPr>
          <w:rFonts w:ascii="宋体" w:hAnsi="宋体" w:eastAsia="宋体"/>
          <w:sz w:val="28"/>
          <w:szCs w:val="28"/>
        </w:rPr>
        <w:fldChar w:fldCharType="end"/>
      </w:r>
      <w:r>
        <w:rPr>
          <w:rFonts w:ascii="宋体" w:hAnsi="宋体" w:eastAsia="宋体"/>
          <w:sz w:val="28"/>
          <w:szCs w:val="28"/>
        </w:rPr>
        <w:fldChar w:fldCharType="end"/>
      </w:r>
    </w:p>
    <w:p>
      <w:pPr>
        <w:pStyle w:val="19"/>
        <w:rPr>
          <w:rStyle w:val="30"/>
          <w:rFonts w:ascii="宋体" w:hAnsi="宋体" w:eastAsia="宋体"/>
          <w:sz w:val="28"/>
          <w:szCs w:val="28"/>
        </w:rPr>
      </w:pPr>
      <w:r>
        <w:fldChar w:fldCharType="begin"/>
      </w:r>
      <w:r>
        <w:instrText xml:space="preserve"> HYPERLINK \l "_Toc148104165" </w:instrText>
      </w:r>
      <w:r>
        <w:fldChar w:fldCharType="separate"/>
      </w:r>
      <w:r>
        <w:rPr>
          <w:rStyle w:val="30"/>
          <w:rFonts w:ascii="宋体" w:hAnsi="宋体" w:eastAsia="宋体" w:cs="仿宋_GB2312"/>
          <w:sz w:val="28"/>
          <w:szCs w:val="28"/>
        </w:rPr>
        <w:t>（三）强化激励对象抽查复核机制，推进激励效果落地。</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_Toc148104165 \h </w:instrText>
      </w:r>
      <w:r>
        <w:rPr>
          <w:rFonts w:ascii="宋体" w:hAnsi="宋体" w:eastAsia="宋体"/>
          <w:sz w:val="28"/>
          <w:szCs w:val="28"/>
        </w:rPr>
        <w:fldChar w:fldCharType="separate"/>
      </w:r>
      <w:r>
        <w:rPr>
          <w:rFonts w:ascii="宋体" w:hAnsi="宋体" w:eastAsia="宋体"/>
          <w:sz w:val="28"/>
          <w:szCs w:val="28"/>
        </w:rPr>
        <w:t>29</w:t>
      </w:r>
      <w:r>
        <w:rPr>
          <w:rFonts w:ascii="宋体" w:hAnsi="宋体" w:eastAsia="宋体"/>
          <w:sz w:val="28"/>
          <w:szCs w:val="28"/>
        </w:rPr>
        <w:fldChar w:fldCharType="end"/>
      </w:r>
      <w:r>
        <w:rPr>
          <w:rFonts w:ascii="宋体" w:hAnsi="宋体" w:eastAsia="宋体"/>
          <w:sz w:val="28"/>
          <w:szCs w:val="28"/>
        </w:rPr>
        <w:fldChar w:fldCharType="end"/>
      </w:r>
    </w:p>
    <w:p/>
    <w:p>
      <w:pPr>
        <w:pStyle w:val="19"/>
        <w:rPr>
          <w:rFonts w:ascii="宋体" w:hAnsi="宋体" w:eastAsia="宋体" w:cstheme="minorBidi"/>
          <w:smallCaps w:val="0"/>
          <w:kern w:val="2"/>
          <w:sz w:val="28"/>
          <w:szCs w:val="28"/>
        </w:rPr>
      </w:pPr>
      <w:r>
        <w:fldChar w:fldCharType="begin"/>
      </w:r>
      <w:r>
        <w:instrText xml:space="preserve"> HYPERLINK \l "_Toc148104166" </w:instrText>
      </w:r>
      <w:r>
        <w:fldChar w:fldCharType="separate"/>
      </w:r>
      <w:r>
        <w:rPr>
          <w:rStyle w:val="30"/>
          <w:rFonts w:ascii="宋体" w:hAnsi="宋体" w:eastAsia="宋体" w:cs="仿宋_GB2312"/>
          <w:sz w:val="28"/>
          <w:szCs w:val="28"/>
        </w:rPr>
        <w:t>附件1 龙华区2022年生活垃圾分类激励资金项目绩效评价评分表</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_Toc148104166 \h </w:instrText>
      </w:r>
      <w:r>
        <w:rPr>
          <w:rFonts w:ascii="宋体" w:hAnsi="宋体" w:eastAsia="宋体"/>
          <w:sz w:val="28"/>
          <w:szCs w:val="28"/>
        </w:rPr>
        <w:fldChar w:fldCharType="separate"/>
      </w:r>
      <w:r>
        <w:rPr>
          <w:rFonts w:ascii="宋体" w:hAnsi="宋体" w:eastAsia="宋体"/>
          <w:sz w:val="28"/>
          <w:szCs w:val="28"/>
        </w:rPr>
        <w:t>30</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"_Toc148104167" </w:instrText>
      </w:r>
      <w:r>
        <w:fldChar w:fldCharType="separate"/>
      </w:r>
      <w:r>
        <w:rPr>
          <w:rStyle w:val="30"/>
          <w:rFonts w:ascii="宋体" w:hAnsi="宋体" w:eastAsia="宋体" w:cs="仿宋_GB2312"/>
          <w:sz w:val="28"/>
          <w:szCs w:val="28"/>
        </w:rPr>
        <w:t>附件2 《深圳市龙华区生活垃圾分类及相应激励工作满意度调查问卷》及数据</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_Toc148104167 \h </w:instrText>
      </w:r>
      <w:r>
        <w:rPr>
          <w:rFonts w:ascii="宋体" w:hAnsi="宋体" w:eastAsia="宋体"/>
          <w:sz w:val="28"/>
          <w:szCs w:val="28"/>
        </w:rPr>
        <w:fldChar w:fldCharType="separate"/>
      </w:r>
      <w:r>
        <w:rPr>
          <w:rFonts w:ascii="宋体" w:hAnsi="宋体" w:eastAsia="宋体"/>
          <w:sz w:val="28"/>
          <w:szCs w:val="28"/>
        </w:rPr>
        <w:t>37</w:t>
      </w:r>
      <w:r>
        <w:rPr>
          <w:rFonts w:ascii="宋体" w:hAnsi="宋体" w:eastAsia="宋体"/>
          <w:sz w:val="28"/>
          <w:szCs w:val="28"/>
        </w:rPr>
        <w:fldChar w:fldCharType="end"/>
      </w:r>
      <w:r>
        <w:rPr>
          <w:rFonts w:ascii="宋体" w:hAnsi="宋体" w:eastAsia="宋体"/>
          <w:sz w:val="28"/>
          <w:szCs w:val="28"/>
        </w:rPr>
        <w:fldChar w:fldCharType="end"/>
      </w:r>
    </w:p>
    <w:p>
      <w:pPr>
        <w:pStyle w:val="19"/>
        <w:rPr>
          <w:rFonts w:ascii="宋体" w:hAnsi="宋体" w:eastAsia="宋体" w:cstheme="minorBidi"/>
          <w:smallCaps w:val="0"/>
          <w:kern w:val="2"/>
          <w:sz w:val="28"/>
          <w:szCs w:val="28"/>
        </w:rPr>
      </w:pPr>
      <w:r>
        <w:fldChar w:fldCharType="begin"/>
      </w:r>
      <w:r>
        <w:instrText xml:space="preserve"> HYPERLINK \l "_Toc148104168" </w:instrText>
      </w:r>
      <w:r>
        <w:fldChar w:fldCharType="separate"/>
      </w:r>
      <w:r>
        <w:rPr>
          <w:rStyle w:val="30"/>
          <w:rFonts w:ascii="宋体" w:hAnsi="宋体" w:eastAsia="宋体" w:cs="仿宋_GB2312"/>
          <w:sz w:val="28"/>
          <w:szCs w:val="28"/>
        </w:rPr>
        <w:t>附件3 现场调研情况分析</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_Toc148104168 \h </w:instrText>
      </w:r>
      <w:r>
        <w:rPr>
          <w:rFonts w:ascii="宋体" w:hAnsi="宋体" w:eastAsia="宋体"/>
          <w:sz w:val="28"/>
          <w:szCs w:val="28"/>
        </w:rPr>
        <w:fldChar w:fldCharType="separate"/>
      </w:r>
      <w:r>
        <w:rPr>
          <w:rFonts w:ascii="宋体" w:hAnsi="宋体" w:eastAsia="宋体"/>
          <w:sz w:val="28"/>
          <w:szCs w:val="28"/>
        </w:rPr>
        <w:t>41</w:t>
      </w:r>
      <w:r>
        <w:rPr>
          <w:rFonts w:ascii="宋体" w:hAnsi="宋体" w:eastAsia="宋体"/>
          <w:sz w:val="28"/>
          <w:szCs w:val="28"/>
        </w:rPr>
        <w:fldChar w:fldCharType="end"/>
      </w:r>
      <w:r>
        <w:rPr>
          <w:rFonts w:ascii="宋体" w:hAnsi="宋体" w:eastAsia="宋体"/>
          <w:sz w:val="28"/>
          <w:szCs w:val="28"/>
        </w:rPr>
        <w:fldChar w:fldCharType="end"/>
      </w:r>
    </w:p>
    <w:p>
      <w:pPr>
        <w:adjustRightInd w:val="0"/>
        <w:snapToGrid w:val="0"/>
        <w:spacing w:line="560" w:lineRule="exact"/>
        <w:ind w:firstLine="560" w:firstLineChars="200"/>
        <w:rPr>
          <w:rFonts w:ascii="宋体" w:hAnsi="宋体"/>
          <w:bCs/>
          <w:sz w:val="28"/>
          <w:szCs w:val="28"/>
        </w:rPr>
        <w:sectPr>
          <w:footerReference r:id="rId6" w:type="default"/>
          <w:pgSz w:w="11906" w:h="16838"/>
          <w:pgMar w:top="1440" w:right="1800" w:bottom="1440" w:left="1800" w:header="851" w:footer="992" w:gutter="0"/>
          <w:cols w:space="425" w:num="1"/>
          <w:docGrid w:type="lines" w:linePitch="312" w:charSpace="0"/>
        </w:sectPr>
      </w:pPr>
      <w:r>
        <w:rPr>
          <w:rFonts w:ascii="宋体" w:hAnsi="宋体" w:cs="黑体"/>
          <w:smallCaps/>
          <w:sz w:val="28"/>
          <w:szCs w:val="28"/>
        </w:rPr>
        <w:fldChar w:fldCharType="end"/>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为深入贯彻《中共中央</w:t>
      </w:r>
      <w:r>
        <w:rPr>
          <w:rFonts w:ascii="仿宋_GB2312" w:eastAsia="仿宋_GB2312" w:cs="仿宋_GB2312"/>
          <w:color w:val="000000" w:themeColor="text1"/>
          <w:sz w:val="32"/>
          <w:szCs w:val="32"/>
          <w14:textFill>
            <w14:solidFill>
              <w14:schemeClr w14:val="tx1"/>
            </w14:solidFill>
          </w14:textFill>
        </w:rPr>
        <w:t xml:space="preserve"> </w:t>
      </w:r>
      <w:r>
        <w:rPr>
          <w:rFonts w:hint="eastAsia" w:ascii="仿宋_GB2312" w:eastAsia="仿宋_GB2312" w:cs="仿宋_GB2312"/>
          <w:color w:val="000000" w:themeColor="text1"/>
          <w:sz w:val="32"/>
          <w:szCs w:val="32"/>
          <w14:textFill>
            <w14:solidFill>
              <w14:schemeClr w14:val="tx1"/>
            </w14:solidFill>
          </w14:textFill>
        </w:rPr>
        <w:t>国务院关于全面实施预算绩效管理的意见》（中发〔2018〕34号）文件精神，落实预算绩效管理主体责任，综合评价龙华区2022年生活垃圾分类工作激励资金项目绩效，推动绩效评价管理的提质增效，提高预算资金使用效益，对龙华区2022年生活垃圾分类工作激励资金项目（以下简称“本项目”）开展绩效评价。本项目主管部门为深圳市</w:t>
      </w:r>
      <w:r>
        <w:rPr>
          <w:rFonts w:hint="eastAsia" w:ascii="仿宋_GB2312" w:eastAsia="仿宋_GB2312" w:cs="仿宋_GB2312"/>
          <w:sz w:val="32"/>
          <w:szCs w:val="32"/>
        </w:rPr>
        <w:t>龙华区城市管理和综合执法局</w:t>
      </w:r>
      <w:r>
        <w:rPr>
          <w:rFonts w:hint="eastAsia" w:ascii="仿宋_GB2312" w:eastAsia="仿宋_GB2312" w:cs="仿宋_GB2312"/>
          <w:color w:val="000000" w:themeColor="text1"/>
          <w:sz w:val="32"/>
          <w:szCs w:val="32"/>
          <w14:textFill>
            <w14:solidFill>
              <w14:schemeClr w14:val="tx1"/>
            </w14:solidFill>
          </w14:textFill>
        </w:rPr>
        <w:t>（以下简称“区城管和综合执法局”），涉及财政资金</w:t>
      </w:r>
      <w:r>
        <w:rPr>
          <w:rFonts w:ascii="仿宋_GB2312" w:eastAsia="仿宋_GB2312" w:cs="仿宋_GB2312"/>
          <w:color w:val="000000" w:themeColor="text1"/>
          <w:sz w:val="32"/>
          <w:szCs w:val="32"/>
          <w14:textFill>
            <w14:solidFill>
              <w14:schemeClr w14:val="tx1"/>
            </w14:solidFill>
          </w14:textFill>
        </w:rPr>
        <w:t>477.48</w:t>
      </w:r>
      <w:r>
        <w:rPr>
          <w:rFonts w:hint="eastAsia" w:ascii="仿宋_GB2312" w:eastAsia="仿宋_GB2312" w:cs="仿宋_GB2312"/>
          <w:color w:val="000000" w:themeColor="text1"/>
          <w:sz w:val="32"/>
          <w:szCs w:val="32"/>
          <w14:textFill>
            <w14:solidFill>
              <w14:schemeClr w14:val="tx1"/>
            </w14:solidFill>
          </w14:textFill>
        </w:rPr>
        <w:t>万元。具体评价报告如下：</w:t>
      </w:r>
    </w:p>
    <w:p>
      <w:pPr>
        <w:spacing w:line="560" w:lineRule="exact"/>
        <w:ind w:firstLine="960" w:firstLineChars="300"/>
        <w:outlineLvl w:val="0"/>
        <w:rPr>
          <w:rFonts w:ascii="黑体" w:hAnsi="黑体" w:eastAsia="黑体"/>
          <w:sz w:val="32"/>
          <w:szCs w:val="32"/>
          <w:lang w:val="en-GB"/>
        </w:rPr>
      </w:pPr>
      <w:bookmarkStart w:id="3" w:name="_Toc148104141"/>
      <w:r>
        <w:rPr>
          <w:rFonts w:hint="eastAsia" w:ascii="黑体" w:hAnsi="黑体" w:eastAsia="黑体" w:cs="黑体"/>
          <w:sz w:val="32"/>
          <w:szCs w:val="32"/>
        </w:rPr>
        <w:t>一、基本情况</w:t>
      </w:r>
      <w:bookmarkEnd w:id="3"/>
    </w:p>
    <w:p>
      <w:pPr>
        <w:spacing w:line="560" w:lineRule="exact"/>
        <w:ind w:firstLine="642" w:firstLineChars="200"/>
        <w:outlineLvl w:val="1"/>
        <w:rPr>
          <w:rFonts w:ascii="楷体_GB2312" w:eastAsia="楷体_GB2312" w:cs="仿宋_GB2312"/>
          <w:b/>
          <w:bCs/>
          <w:sz w:val="32"/>
          <w:szCs w:val="32"/>
        </w:rPr>
      </w:pPr>
      <w:bookmarkStart w:id="4" w:name="_Toc148104142"/>
      <w:r>
        <w:rPr>
          <w:rFonts w:hint="eastAsia" w:ascii="楷体_GB2312" w:eastAsia="楷体_GB2312" w:cs="仿宋_GB2312"/>
          <w:b/>
          <w:bCs/>
          <w:sz w:val="32"/>
          <w:szCs w:val="32"/>
        </w:rPr>
        <w:t>（一）项目背景</w:t>
      </w:r>
      <w:bookmarkEnd w:id="4"/>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为提高生活垃圾减量化、资源化、无害化水平，促进生态文明建设和实现城市可持续发展，2015年6月，深圳市人民政府制定了《深圳市生活垃圾分类和减量管理办法》（市政府令第277号），通过规定各责任主体的责任和义务，推动生活垃圾分类工作。该办法第三十八条规定：“对生活垃圾分类和减量工作中成绩突出的单位、社区、家庭和个人，可以给予表扬和奖励，具体办法由市主管部门另行制定。”</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2019年9月，深圳市城市管理和综合执法局印发了《深圳市生活垃圾分类工作激励办法》（深城管规〔2019〕4号），以加强生活垃圾分类管理，建立生活垃圾分类激励机制，推动全社会积极参与生活垃圾分类，并明确了各区各部门职责分工、经费安排、名额分配、激励措施、实施细则、评选周期和监督管理等。</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2</w:t>
      </w:r>
      <w:r>
        <w:rPr>
          <w:rFonts w:ascii="仿宋_GB2312" w:eastAsia="仿宋_GB2312" w:cs="仿宋_GB2312"/>
          <w:color w:val="000000" w:themeColor="text1"/>
          <w:sz w:val="32"/>
          <w:szCs w:val="32"/>
          <w14:textFill>
            <w14:solidFill>
              <w14:schemeClr w14:val="tx1"/>
            </w14:solidFill>
          </w14:textFill>
        </w:rPr>
        <w:t>020</w:t>
      </w:r>
      <w:r>
        <w:rPr>
          <w:rFonts w:hint="eastAsia" w:ascii="仿宋_GB2312" w:eastAsia="仿宋_GB2312" w:cs="仿宋_GB2312"/>
          <w:color w:val="000000" w:themeColor="text1"/>
          <w:sz w:val="32"/>
          <w:szCs w:val="32"/>
          <w14:textFill>
            <w14:solidFill>
              <w14:schemeClr w14:val="tx1"/>
            </w14:solidFill>
          </w14:textFill>
        </w:rPr>
        <w:t>年7月，龙华区人民政府结合龙华区实际制定了《龙华区生活垃圾分类工作激励方法实施细则（试行）》（深龙华府办规〔2020〕7号），细化明确了龙华区行政区域内生活垃圾分类激励相关管理活动程序和要求，旨在进一步加强生活垃圾分类管理，发挥正向激励作用，建立生活垃圾分类激励机制，提高社会对于生活垃圾分类知晓率和参与率，引导更多的单位和个人参与垃圾分类，推动全社会积极参与生活垃圾分类。</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2</w:t>
      </w:r>
      <w:r>
        <w:rPr>
          <w:rFonts w:ascii="仿宋_GB2312" w:eastAsia="仿宋_GB2312" w:cs="仿宋_GB2312"/>
          <w:color w:val="000000" w:themeColor="text1"/>
          <w:sz w:val="32"/>
          <w:szCs w:val="32"/>
          <w14:textFill>
            <w14:solidFill>
              <w14:schemeClr w14:val="tx1"/>
            </w14:solidFill>
          </w14:textFill>
        </w:rPr>
        <w:t>022</w:t>
      </w:r>
      <w:r>
        <w:rPr>
          <w:rFonts w:hint="eastAsia" w:ascii="仿宋_GB2312" w:eastAsia="仿宋_GB2312" w:cs="仿宋_GB2312"/>
          <w:color w:val="000000" w:themeColor="text1"/>
          <w:sz w:val="32"/>
          <w:szCs w:val="32"/>
          <w14:textFill>
            <w14:solidFill>
              <w14:schemeClr w14:val="tx1"/>
            </w14:solidFill>
          </w14:textFill>
        </w:rPr>
        <w:t>年1</w:t>
      </w:r>
      <w:r>
        <w:rPr>
          <w:rFonts w:ascii="仿宋_GB2312" w:eastAsia="仿宋_GB2312" w:cs="仿宋_GB2312"/>
          <w:color w:val="000000" w:themeColor="text1"/>
          <w:sz w:val="32"/>
          <w:szCs w:val="32"/>
          <w14:textFill>
            <w14:solidFill>
              <w14:schemeClr w14:val="tx1"/>
            </w14:solidFill>
          </w14:textFill>
        </w:rPr>
        <w:t>0</w:t>
      </w:r>
      <w:r>
        <w:rPr>
          <w:rFonts w:hint="eastAsia" w:ascii="仿宋_GB2312" w:eastAsia="仿宋_GB2312" w:cs="仿宋_GB2312"/>
          <w:color w:val="000000" w:themeColor="text1"/>
          <w:sz w:val="32"/>
          <w:szCs w:val="32"/>
          <w14:textFill>
            <w14:solidFill>
              <w14:schemeClr w14:val="tx1"/>
            </w14:solidFill>
          </w14:textFill>
        </w:rPr>
        <w:t>月，区城管和综合执法局印发了《龙华区城市管理和综合执法局关于2022年生活垃圾分类工作激励经费分配的通知》（深龙华城管通〔2022〕56号），启动第三个评选周期（2021年11月1日至2022年10月31日）的评选工作。经评审，龙华区共评选出</w:t>
      </w:r>
      <w:r>
        <w:rPr>
          <w:rFonts w:ascii="仿宋_GB2312" w:eastAsia="仿宋_GB2312" w:cs="仿宋_GB2312"/>
          <w:color w:val="000000" w:themeColor="text1"/>
          <w:sz w:val="32"/>
          <w:szCs w:val="32"/>
          <w14:textFill>
            <w14:solidFill>
              <w14:schemeClr w14:val="tx1"/>
            </w14:solidFill>
          </w14:textFill>
        </w:rPr>
        <w:t>575</w:t>
      </w:r>
      <w:r>
        <w:rPr>
          <w:rFonts w:hint="eastAsia" w:ascii="仿宋_GB2312" w:eastAsia="仿宋_GB2312" w:cs="仿宋_GB2312"/>
          <w:color w:val="000000" w:themeColor="text1"/>
          <w:sz w:val="32"/>
          <w:szCs w:val="32"/>
          <w14:textFill>
            <w14:solidFill>
              <w14:schemeClr w14:val="tx1"/>
            </w14:solidFill>
          </w14:textFill>
        </w:rPr>
        <w:t>个“生活垃圾分类好家庭”、</w:t>
      </w:r>
      <w:r>
        <w:rPr>
          <w:rFonts w:ascii="仿宋_GB2312" w:eastAsia="仿宋_GB2312" w:cs="仿宋_GB2312"/>
          <w:color w:val="000000" w:themeColor="text1"/>
          <w:sz w:val="32"/>
          <w:szCs w:val="32"/>
          <w14:textFill>
            <w14:solidFill>
              <w14:schemeClr w14:val="tx1"/>
            </w14:solidFill>
          </w14:textFill>
        </w:rPr>
        <w:t>119</w:t>
      </w:r>
      <w:r>
        <w:rPr>
          <w:rFonts w:hint="eastAsia" w:ascii="仿宋_GB2312" w:eastAsia="仿宋_GB2312" w:cs="仿宋_GB2312"/>
          <w:color w:val="000000" w:themeColor="text1"/>
          <w:sz w:val="32"/>
          <w:szCs w:val="32"/>
          <w14:textFill>
            <w14:solidFill>
              <w14:schemeClr w14:val="tx1"/>
            </w14:solidFill>
          </w14:textFill>
        </w:rPr>
        <w:t>名“生活垃圾分类积极个人”、</w:t>
      </w:r>
      <w:r>
        <w:rPr>
          <w:rFonts w:ascii="仿宋_GB2312" w:eastAsia="仿宋_GB2312" w:cs="仿宋_GB2312"/>
          <w:color w:val="000000" w:themeColor="text1"/>
          <w:sz w:val="32"/>
          <w:szCs w:val="32"/>
          <w14:textFill>
            <w14:solidFill>
              <w14:schemeClr w14:val="tx1"/>
            </w14:solidFill>
          </w14:textFill>
        </w:rPr>
        <w:t>33</w:t>
      </w:r>
      <w:r>
        <w:rPr>
          <w:rFonts w:hint="eastAsia" w:ascii="仿宋_GB2312" w:eastAsia="仿宋_GB2312" w:cs="仿宋_GB2312"/>
          <w:color w:val="000000" w:themeColor="text1"/>
          <w:sz w:val="32"/>
          <w:szCs w:val="32"/>
          <w14:textFill>
            <w14:solidFill>
              <w14:schemeClr w14:val="tx1"/>
            </w14:solidFill>
          </w14:textFill>
        </w:rPr>
        <w:t>个“生活垃圾分类绿色小区”及</w:t>
      </w:r>
      <w:r>
        <w:rPr>
          <w:rFonts w:ascii="仿宋_GB2312" w:eastAsia="仿宋_GB2312" w:cs="仿宋_GB2312"/>
          <w:color w:val="000000" w:themeColor="text1"/>
          <w:sz w:val="32"/>
          <w:szCs w:val="32"/>
          <w14:textFill>
            <w14:solidFill>
              <w14:schemeClr w14:val="tx1"/>
            </w14:solidFill>
          </w14:textFill>
        </w:rPr>
        <w:t>45</w:t>
      </w:r>
      <w:r>
        <w:rPr>
          <w:rFonts w:hint="eastAsia" w:ascii="仿宋_GB2312" w:eastAsia="仿宋_GB2312" w:cs="仿宋_GB2312"/>
          <w:color w:val="000000" w:themeColor="text1"/>
          <w:sz w:val="32"/>
          <w:szCs w:val="32"/>
          <w14:textFill>
            <w14:solidFill>
              <w14:schemeClr w14:val="tx1"/>
            </w14:solidFill>
          </w14:textFill>
        </w:rPr>
        <w:t>个“生活垃圾分类绿色单位”，发放财政补助资金4</w:t>
      </w:r>
      <w:r>
        <w:rPr>
          <w:rFonts w:ascii="仿宋_GB2312" w:eastAsia="仿宋_GB2312" w:cs="仿宋_GB2312"/>
          <w:color w:val="000000" w:themeColor="text1"/>
          <w:sz w:val="32"/>
          <w:szCs w:val="32"/>
          <w14:textFill>
            <w14:solidFill>
              <w14:schemeClr w14:val="tx1"/>
            </w14:solidFill>
          </w14:textFill>
        </w:rPr>
        <w:t>77.48</w:t>
      </w:r>
      <w:r>
        <w:rPr>
          <w:rFonts w:hint="eastAsia" w:ascii="仿宋_GB2312" w:eastAsia="仿宋_GB2312" w:cs="仿宋_GB2312"/>
          <w:color w:val="000000" w:themeColor="text1"/>
          <w:sz w:val="32"/>
          <w:szCs w:val="32"/>
          <w14:textFill>
            <w14:solidFill>
              <w14:schemeClr w14:val="tx1"/>
            </w14:solidFill>
          </w14:textFill>
        </w:rPr>
        <w:t>万元。</w:t>
      </w:r>
    </w:p>
    <w:p>
      <w:pPr>
        <w:spacing w:line="560" w:lineRule="exact"/>
        <w:ind w:firstLine="642" w:firstLineChars="200"/>
        <w:outlineLvl w:val="1"/>
        <w:rPr>
          <w:rFonts w:ascii="楷体_GB2312" w:eastAsia="楷体_GB2312" w:cs="仿宋_GB2312"/>
          <w:b/>
          <w:bCs/>
          <w:sz w:val="32"/>
          <w:szCs w:val="32"/>
        </w:rPr>
      </w:pPr>
      <w:bookmarkStart w:id="5" w:name="_Toc148104143"/>
      <w:r>
        <w:rPr>
          <w:rFonts w:hint="eastAsia" w:ascii="楷体_GB2312" w:eastAsia="楷体_GB2312" w:cs="仿宋_GB2312"/>
          <w:b/>
          <w:bCs/>
          <w:sz w:val="32"/>
          <w:szCs w:val="32"/>
        </w:rPr>
        <w:t>（二）项目组织与实施</w:t>
      </w:r>
      <w:bookmarkEnd w:id="5"/>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ascii="仿宋_GB2312" w:eastAsia="仿宋_GB2312" w:cs="仿宋_GB2312"/>
          <w:color w:val="000000" w:themeColor="text1"/>
          <w:sz w:val="32"/>
          <w:szCs w:val="32"/>
          <w14:textFill>
            <w14:solidFill>
              <w14:schemeClr w14:val="tx1"/>
            </w14:solidFill>
          </w14:textFill>
        </w:rPr>
        <w:t>龙华区生活垃圾分类激励工作按照公平、公正、公开、择优的原则采取通报表扬为主，资金补助为辅的方式对分类成效显著的单位、住宅区、家庭和个人给予激励。</w:t>
      </w:r>
      <w:r>
        <w:rPr>
          <w:rFonts w:hint="eastAsia" w:ascii="仿宋_GB2312" w:eastAsia="仿宋_GB2312" w:cs="仿宋_GB2312"/>
          <w:color w:val="000000" w:themeColor="text1"/>
          <w:sz w:val="32"/>
          <w:szCs w:val="32"/>
          <w14:textFill>
            <w14:solidFill>
              <w14:schemeClr w14:val="tx1"/>
            </w14:solidFill>
          </w14:textFill>
        </w:rPr>
        <w:t>本项目主要是针对第三个评选周期（2021年11月1日至2022年10月31日）中评选激励对象予以资金补助激励。</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ascii="仿宋_GB2312" w:eastAsia="仿宋_GB2312" w:cs="仿宋_GB2312"/>
          <w:color w:val="000000" w:themeColor="text1"/>
          <w:sz w:val="32"/>
          <w:szCs w:val="32"/>
          <w14:textFill>
            <w14:solidFill>
              <w14:schemeClr w14:val="tx1"/>
            </w14:solidFill>
          </w14:textFill>
        </w:rPr>
        <w:t>根据《深圳市生活垃圾分类工作激励办法》</w:t>
      </w:r>
      <w:r>
        <w:rPr>
          <w:rFonts w:hint="eastAsia" w:ascii="仿宋_GB2312" w:eastAsia="仿宋_GB2312" w:cs="仿宋_GB2312"/>
          <w:color w:val="000000" w:themeColor="text1"/>
          <w:sz w:val="32"/>
          <w:szCs w:val="32"/>
          <w14:textFill>
            <w14:solidFill>
              <w14:schemeClr w14:val="tx1"/>
            </w14:solidFill>
          </w14:textFill>
        </w:rPr>
        <w:t>（深城管规〔2019〕4号）</w:t>
      </w:r>
      <w:r>
        <w:rPr>
          <w:rFonts w:ascii="仿宋_GB2312" w:eastAsia="仿宋_GB2312" w:cs="仿宋_GB2312"/>
          <w:color w:val="000000" w:themeColor="text1"/>
          <w:sz w:val="32"/>
          <w:szCs w:val="32"/>
          <w14:textFill>
            <w14:solidFill>
              <w14:schemeClr w14:val="tx1"/>
            </w14:solidFill>
          </w14:textFill>
        </w:rPr>
        <w:t>《龙华区生活垃圾分类工作激励方法实施细则（试行）》</w:t>
      </w:r>
      <w:r>
        <w:rPr>
          <w:rFonts w:hint="eastAsia" w:ascii="仿宋_GB2312" w:eastAsia="仿宋_GB2312" w:cs="仿宋_GB2312"/>
          <w:color w:val="000000" w:themeColor="text1"/>
          <w:sz w:val="32"/>
          <w:szCs w:val="32"/>
          <w14:textFill>
            <w14:solidFill>
              <w14:schemeClr w14:val="tx1"/>
            </w14:solidFill>
          </w14:textFill>
        </w:rPr>
        <w:t>（深龙华府办规〔2020〕7号）</w:t>
      </w:r>
      <w:r>
        <w:rPr>
          <w:rFonts w:ascii="仿宋_GB2312" w:eastAsia="仿宋_GB2312" w:cs="仿宋_GB2312"/>
          <w:color w:val="000000" w:themeColor="text1"/>
          <w:sz w:val="32"/>
          <w:szCs w:val="32"/>
          <w14:textFill>
            <w14:solidFill>
              <w14:schemeClr w14:val="tx1"/>
            </w14:solidFill>
          </w14:textFill>
        </w:rPr>
        <w:t>等文件有关规定，</w:t>
      </w:r>
      <w:r>
        <w:rPr>
          <w:rFonts w:hint="eastAsia" w:ascii="仿宋_GB2312" w:eastAsia="仿宋_GB2312" w:cs="仿宋_GB2312"/>
          <w:color w:val="000000" w:themeColor="text1"/>
          <w:sz w:val="32"/>
          <w:szCs w:val="32"/>
          <w14:textFill>
            <w14:solidFill>
              <w14:schemeClr w14:val="tx1"/>
            </w14:solidFill>
          </w14:textFill>
        </w:rPr>
        <w:t>龙华区2022年生活垃圾分类工作激励家庭</w:t>
      </w:r>
      <w:r>
        <w:rPr>
          <w:rFonts w:ascii="仿宋_GB2312" w:eastAsia="仿宋_GB2312" w:cs="仿宋_GB2312"/>
          <w:color w:val="000000" w:themeColor="text1"/>
          <w:sz w:val="32"/>
          <w:szCs w:val="32"/>
          <w14:textFill>
            <w14:solidFill>
              <w14:schemeClr w14:val="tx1"/>
            </w14:solidFill>
          </w14:textFill>
        </w:rPr>
        <w:t>限定名额645个、个人限定名额130个、住宅区</w:t>
      </w:r>
      <w:r>
        <w:rPr>
          <w:rFonts w:hint="eastAsia" w:ascii="仿宋_GB2312" w:eastAsia="仿宋_GB2312" w:cs="仿宋_GB2312"/>
          <w:color w:val="000000" w:themeColor="text1"/>
          <w:sz w:val="32"/>
          <w:szCs w:val="32"/>
          <w14:textFill>
            <w14:solidFill>
              <w14:schemeClr w14:val="tx1"/>
            </w14:solidFill>
          </w14:textFill>
        </w:rPr>
        <w:t>（含城中村）</w:t>
      </w:r>
      <w:r>
        <w:rPr>
          <w:rFonts w:ascii="仿宋_GB2312" w:eastAsia="仿宋_GB2312" w:cs="仿宋_GB2312"/>
          <w:color w:val="000000" w:themeColor="text1"/>
          <w:sz w:val="32"/>
          <w:szCs w:val="32"/>
          <w14:textFill>
            <w14:solidFill>
              <w14:schemeClr w14:val="tx1"/>
            </w14:solidFill>
          </w14:textFill>
        </w:rPr>
        <w:t>限定名额40个、单位限定名额50个。据此，</w:t>
      </w:r>
      <w:r>
        <w:rPr>
          <w:rFonts w:hint="eastAsia" w:ascii="仿宋_GB2312" w:eastAsia="仿宋_GB2312" w:cs="仿宋_GB2312"/>
          <w:color w:val="000000" w:themeColor="text1"/>
          <w:sz w:val="32"/>
          <w:szCs w:val="32"/>
          <w14:textFill>
            <w14:solidFill>
              <w14:schemeClr w14:val="tx1"/>
            </w14:solidFill>
          </w14:textFill>
        </w:rPr>
        <w:t>区</w:t>
      </w:r>
      <w:r>
        <w:rPr>
          <w:rFonts w:ascii="仿宋_GB2312" w:eastAsia="仿宋_GB2312" w:cs="仿宋_GB2312"/>
          <w:color w:val="000000" w:themeColor="text1"/>
          <w:sz w:val="32"/>
          <w:szCs w:val="32"/>
          <w14:textFill>
            <w14:solidFill>
              <w14:schemeClr w14:val="tx1"/>
            </w14:solidFill>
          </w14:textFill>
        </w:rPr>
        <w:t>城管</w:t>
      </w:r>
      <w:r>
        <w:rPr>
          <w:rFonts w:hint="eastAsia" w:ascii="仿宋_GB2312" w:eastAsia="仿宋_GB2312" w:cs="仿宋_GB2312"/>
          <w:color w:val="000000" w:themeColor="text1"/>
          <w:sz w:val="32"/>
          <w:szCs w:val="32"/>
          <w14:textFill>
            <w14:solidFill>
              <w14:schemeClr w14:val="tx1"/>
            </w14:solidFill>
          </w14:textFill>
        </w:rPr>
        <w:t>和综合执法</w:t>
      </w:r>
      <w:r>
        <w:rPr>
          <w:rFonts w:ascii="仿宋_GB2312" w:eastAsia="仿宋_GB2312" w:cs="仿宋_GB2312"/>
          <w:color w:val="000000" w:themeColor="text1"/>
          <w:sz w:val="32"/>
          <w:szCs w:val="32"/>
          <w14:textFill>
            <w14:solidFill>
              <w14:schemeClr w14:val="tx1"/>
            </w14:solidFill>
          </w14:textFill>
        </w:rPr>
        <w:t>局结合辖区各街道</w:t>
      </w:r>
      <w:r>
        <w:rPr>
          <w:rFonts w:hint="eastAsia" w:ascii="仿宋_GB2312" w:eastAsia="仿宋_GB2312" w:cs="仿宋_GB2312"/>
          <w:color w:val="000000" w:themeColor="text1"/>
          <w:sz w:val="32"/>
          <w:szCs w:val="32"/>
          <w14:textFill>
            <w14:solidFill>
              <w14:schemeClr w14:val="tx1"/>
            </w14:solidFill>
          </w14:textFill>
        </w:rPr>
        <w:t>住宅区数量</w:t>
      </w:r>
      <w:r>
        <w:rPr>
          <w:rFonts w:ascii="仿宋_GB2312" w:eastAsia="仿宋_GB2312" w:cs="仿宋_GB2312"/>
          <w:color w:val="000000" w:themeColor="text1"/>
          <w:sz w:val="32"/>
          <w:szCs w:val="32"/>
          <w14:textFill>
            <w14:solidFill>
              <w14:schemeClr w14:val="tx1"/>
            </w14:solidFill>
          </w14:textFill>
        </w:rPr>
        <w:t>及生活垃圾分类工作开展情况，分配</w:t>
      </w:r>
      <w:r>
        <w:rPr>
          <w:rFonts w:hint="eastAsia" w:ascii="仿宋_GB2312" w:eastAsia="仿宋_GB2312" w:cs="仿宋_GB2312"/>
          <w:color w:val="000000" w:themeColor="text1"/>
          <w:sz w:val="32"/>
          <w:szCs w:val="32"/>
          <w14:textFill>
            <w14:solidFill>
              <w14:schemeClr w14:val="tx1"/>
            </w14:solidFill>
          </w14:textFill>
        </w:rPr>
        <w:t>辖区</w:t>
      </w:r>
      <w:r>
        <w:rPr>
          <w:rFonts w:ascii="仿宋_GB2312" w:eastAsia="仿宋_GB2312" w:cs="仿宋_GB2312"/>
          <w:color w:val="000000" w:themeColor="text1"/>
          <w:sz w:val="32"/>
          <w:szCs w:val="32"/>
          <w14:textFill>
            <w14:solidFill>
              <w14:schemeClr w14:val="tx1"/>
            </w14:solidFill>
          </w14:textFill>
        </w:rPr>
        <w:t>名额如表1-1所示。</w:t>
      </w:r>
    </w:p>
    <w:p>
      <w:pPr>
        <w:spacing w:line="600" w:lineRule="exact"/>
        <w:jc w:val="center"/>
        <w:rPr>
          <w:rFonts w:ascii="黑体" w:hAnsi="黑体" w:eastAsia="黑体" w:cs="仿宋_GB2312"/>
          <w:sz w:val="28"/>
          <w:szCs w:val="28"/>
        </w:rPr>
      </w:pPr>
      <w:r>
        <w:rPr>
          <w:rFonts w:ascii="黑体" w:hAnsi="黑体" w:eastAsia="黑体" w:cs="仿宋_GB2312"/>
          <w:sz w:val="28"/>
          <w:szCs w:val="28"/>
        </w:rPr>
        <w:t>表</w:t>
      </w:r>
      <w:r>
        <w:rPr>
          <w:rFonts w:hint="eastAsia" w:ascii="黑体" w:hAnsi="黑体" w:eastAsia="黑体" w:cs="仿宋_GB2312"/>
          <w:sz w:val="28"/>
          <w:szCs w:val="28"/>
        </w:rPr>
        <w:t>1</w:t>
      </w:r>
      <w:r>
        <w:rPr>
          <w:rFonts w:ascii="黑体" w:hAnsi="黑体" w:eastAsia="黑体" w:cs="仿宋_GB2312"/>
          <w:sz w:val="28"/>
          <w:szCs w:val="28"/>
        </w:rPr>
        <w:t>-1 龙华区2022年各街道垃圾分类激励名额分配</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2045"/>
        <w:gridCol w:w="1386"/>
        <w:gridCol w:w="1386"/>
        <w:gridCol w:w="1548"/>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483" w:type="pct"/>
            <w:noWrap/>
            <w:vAlign w:val="center"/>
          </w:tcPr>
          <w:p>
            <w:pPr>
              <w:widowControl/>
              <w:spacing w:line="280" w:lineRule="exact"/>
              <w:jc w:val="center"/>
              <w:rPr>
                <w:rFonts w:ascii="宋体" w:hAnsi="宋体"/>
                <w:b/>
              </w:rPr>
            </w:pPr>
            <w:r>
              <w:rPr>
                <w:rFonts w:ascii="宋体" w:hAnsi="宋体"/>
                <w:b/>
              </w:rPr>
              <w:t>序号</w:t>
            </w:r>
          </w:p>
        </w:tc>
        <w:tc>
          <w:tcPr>
            <w:tcW w:w="1200" w:type="pct"/>
            <w:noWrap/>
            <w:vAlign w:val="center"/>
          </w:tcPr>
          <w:p>
            <w:pPr>
              <w:widowControl/>
              <w:spacing w:line="280" w:lineRule="exact"/>
              <w:jc w:val="center"/>
              <w:rPr>
                <w:rFonts w:ascii="宋体" w:hAnsi="宋体"/>
                <w:b/>
              </w:rPr>
            </w:pPr>
            <w:r>
              <w:rPr>
                <w:rFonts w:hint="eastAsia" w:ascii="宋体" w:hAnsi="宋体"/>
                <w:b/>
              </w:rPr>
              <w:t>辖区</w:t>
            </w:r>
          </w:p>
        </w:tc>
        <w:tc>
          <w:tcPr>
            <w:tcW w:w="813" w:type="pct"/>
            <w:vAlign w:val="center"/>
          </w:tcPr>
          <w:p>
            <w:pPr>
              <w:widowControl/>
              <w:spacing w:line="280" w:lineRule="exact"/>
              <w:jc w:val="center"/>
              <w:rPr>
                <w:rFonts w:ascii="宋体" w:hAnsi="宋体"/>
                <w:b/>
              </w:rPr>
            </w:pPr>
            <w:r>
              <w:rPr>
                <w:rFonts w:ascii="宋体" w:hAnsi="宋体"/>
                <w:b/>
              </w:rPr>
              <w:t>家庭（个）</w:t>
            </w:r>
          </w:p>
        </w:tc>
        <w:tc>
          <w:tcPr>
            <w:tcW w:w="813" w:type="pct"/>
            <w:vAlign w:val="center"/>
          </w:tcPr>
          <w:p>
            <w:pPr>
              <w:widowControl/>
              <w:spacing w:line="280" w:lineRule="exact"/>
              <w:jc w:val="center"/>
              <w:rPr>
                <w:rFonts w:ascii="宋体" w:hAnsi="宋体"/>
                <w:b/>
              </w:rPr>
            </w:pPr>
            <w:r>
              <w:rPr>
                <w:rFonts w:ascii="宋体" w:hAnsi="宋体"/>
                <w:b/>
              </w:rPr>
              <w:t>个人（个）</w:t>
            </w:r>
          </w:p>
        </w:tc>
        <w:tc>
          <w:tcPr>
            <w:tcW w:w="908" w:type="pct"/>
            <w:vAlign w:val="center"/>
          </w:tcPr>
          <w:p>
            <w:pPr>
              <w:widowControl/>
              <w:spacing w:line="280" w:lineRule="exact"/>
              <w:jc w:val="center"/>
              <w:rPr>
                <w:rFonts w:ascii="宋体" w:hAnsi="宋体"/>
                <w:b/>
              </w:rPr>
            </w:pPr>
            <w:r>
              <w:rPr>
                <w:rFonts w:ascii="宋体" w:hAnsi="宋体"/>
                <w:b/>
              </w:rPr>
              <w:t>住宅区（个）</w:t>
            </w:r>
          </w:p>
        </w:tc>
        <w:tc>
          <w:tcPr>
            <w:tcW w:w="783" w:type="pct"/>
            <w:vAlign w:val="center"/>
          </w:tcPr>
          <w:p>
            <w:pPr>
              <w:widowControl/>
              <w:spacing w:line="280" w:lineRule="exact"/>
              <w:jc w:val="center"/>
              <w:rPr>
                <w:rFonts w:ascii="宋体" w:hAnsi="宋体"/>
                <w:b/>
              </w:rPr>
            </w:pPr>
            <w:r>
              <w:rPr>
                <w:rFonts w:ascii="宋体" w:hAnsi="宋体"/>
                <w:b/>
              </w:rPr>
              <w:t>单位（个）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pct"/>
            <w:noWrap/>
            <w:vAlign w:val="center"/>
          </w:tcPr>
          <w:p>
            <w:pPr>
              <w:spacing w:line="280" w:lineRule="exact"/>
              <w:jc w:val="center"/>
              <w:rPr>
                <w:rFonts w:ascii="宋体" w:hAnsi="宋体"/>
              </w:rPr>
            </w:pPr>
            <w:r>
              <w:rPr>
                <w:rFonts w:ascii="宋体" w:hAnsi="宋体"/>
              </w:rPr>
              <w:t>1</w:t>
            </w:r>
          </w:p>
        </w:tc>
        <w:tc>
          <w:tcPr>
            <w:tcW w:w="1200" w:type="pct"/>
            <w:noWrap/>
            <w:vAlign w:val="center"/>
          </w:tcPr>
          <w:p>
            <w:pPr>
              <w:spacing w:line="280" w:lineRule="exact"/>
              <w:jc w:val="center"/>
              <w:rPr>
                <w:rFonts w:ascii="宋体" w:hAnsi="宋体"/>
              </w:rPr>
            </w:pPr>
            <w:r>
              <w:rPr>
                <w:rFonts w:ascii="宋体" w:hAnsi="宋体"/>
              </w:rPr>
              <w:t>观湖</w:t>
            </w:r>
            <w:r>
              <w:rPr>
                <w:rFonts w:hint="eastAsia" w:ascii="宋体" w:hAnsi="宋体"/>
              </w:rPr>
              <w:t>街道</w:t>
            </w:r>
          </w:p>
        </w:tc>
        <w:tc>
          <w:tcPr>
            <w:tcW w:w="813" w:type="pct"/>
            <w:vAlign w:val="center"/>
          </w:tcPr>
          <w:p>
            <w:pPr>
              <w:spacing w:line="280" w:lineRule="exact"/>
              <w:jc w:val="center"/>
              <w:rPr>
                <w:rFonts w:ascii="宋体" w:hAnsi="宋体"/>
              </w:rPr>
            </w:pPr>
            <w:r>
              <w:rPr>
                <w:rFonts w:ascii="宋体" w:hAnsi="宋体"/>
              </w:rPr>
              <w:t>65</w:t>
            </w:r>
          </w:p>
        </w:tc>
        <w:tc>
          <w:tcPr>
            <w:tcW w:w="813" w:type="pct"/>
            <w:vAlign w:val="center"/>
          </w:tcPr>
          <w:p>
            <w:pPr>
              <w:spacing w:line="280" w:lineRule="exact"/>
              <w:jc w:val="center"/>
              <w:rPr>
                <w:rFonts w:ascii="宋体" w:hAnsi="宋体"/>
              </w:rPr>
            </w:pPr>
            <w:r>
              <w:rPr>
                <w:rFonts w:ascii="宋体" w:hAnsi="宋体"/>
              </w:rPr>
              <w:t>20</w:t>
            </w:r>
          </w:p>
        </w:tc>
        <w:tc>
          <w:tcPr>
            <w:tcW w:w="908" w:type="pct"/>
            <w:vAlign w:val="center"/>
          </w:tcPr>
          <w:p>
            <w:pPr>
              <w:spacing w:line="280" w:lineRule="exact"/>
              <w:jc w:val="center"/>
              <w:rPr>
                <w:rFonts w:ascii="宋体" w:hAnsi="宋体"/>
              </w:rPr>
            </w:pPr>
            <w:r>
              <w:rPr>
                <w:rFonts w:ascii="宋体" w:hAnsi="宋体"/>
                <w:lang w:bidi="ar"/>
              </w:rPr>
              <w:t>5</w:t>
            </w:r>
          </w:p>
        </w:tc>
        <w:tc>
          <w:tcPr>
            <w:tcW w:w="783" w:type="pct"/>
            <w:vAlign w:val="center"/>
          </w:tcPr>
          <w:p>
            <w:pPr>
              <w:spacing w:line="280" w:lineRule="exact"/>
              <w:jc w:val="center"/>
              <w:rPr>
                <w:rFonts w:ascii="宋体" w:hAnsi="宋体"/>
              </w:rPr>
            </w:pPr>
            <w:r>
              <w:rPr>
                <w:rFonts w:ascii="宋体" w:hAnsi="宋体"/>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pct"/>
            <w:noWrap/>
            <w:vAlign w:val="center"/>
          </w:tcPr>
          <w:p>
            <w:pPr>
              <w:spacing w:line="280" w:lineRule="exact"/>
              <w:jc w:val="center"/>
              <w:rPr>
                <w:rFonts w:ascii="宋体" w:hAnsi="宋体"/>
              </w:rPr>
            </w:pPr>
            <w:r>
              <w:rPr>
                <w:rFonts w:ascii="宋体" w:hAnsi="宋体"/>
              </w:rPr>
              <w:t>2</w:t>
            </w:r>
          </w:p>
        </w:tc>
        <w:tc>
          <w:tcPr>
            <w:tcW w:w="1200" w:type="pct"/>
            <w:noWrap/>
            <w:vAlign w:val="center"/>
          </w:tcPr>
          <w:p>
            <w:pPr>
              <w:spacing w:line="280" w:lineRule="exact"/>
              <w:jc w:val="center"/>
              <w:rPr>
                <w:rFonts w:ascii="宋体" w:hAnsi="宋体"/>
              </w:rPr>
            </w:pPr>
            <w:r>
              <w:rPr>
                <w:rFonts w:ascii="宋体" w:hAnsi="宋体"/>
              </w:rPr>
              <w:t>民治</w:t>
            </w:r>
            <w:r>
              <w:rPr>
                <w:rFonts w:hint="eastAsia" w:ascii="宋体" w:hAnsi="宋体"/>
              </w:rPr>
              <w:t>街道</w:t>
            </w:r>
          </w:p>
        </w:tc>
        <w:tc>
          <w:tcPr>
            <w:tcW w:w="813" w:type="pct"/>
            <w:vAlign w:val="center"/>
          </w:tcPr>
          <w:p>
            <w:pPr>
              <w:spacing w:line="280" w:lineRule="exact"/>
              <w:jc w:val="center"/>
              <w:rPr>
                <w:rFonts w:ascii="宋体" w:hAnsi="宋体"/>
              </w:rPr>
            </w:pPr>
            <w:r>
              <w:rPr>
                <w:rFonts w:ascii="宋体" w:hAnsi="宋体"/>
              </w:rPr>
              <w:t>210</w:t>
            </w:r>
          </w:p>
        </w:tc>
        <w:tc>
          <w:tcPr>
            <w:tcW w:w="813" w:type="pct"/>
            <w:vAlign w:val="center"/>
          </w:tcPr>
          <w:p>
            <w:pPr>
              <w:spacing w:line="280" w:lineRule="exact"/>
              <w:jc w:val="center"/>
              <w:rPr>
                <w:rFonts w:ascii="宋体" w:hAnsi="宋体"/>
              </w:rPr>
            </w:pPr>
            <w:r>
              <w:rPr>
                <w:rFonts w:ascii="宋体" w:hAnsi="宋体"/>
              </w:rPr>
              <w:t>25</w:t>
            </w:r>
          </w:p>
        </w:tc>
        <w:tc>
          <w:tcPr>
            <w:tcW w:w="908" w:type="pct"/>
            <w:vAlign w:val="center"/>
          </w:tcPr>
          <w:p>
            <w:pPr>
              <w:spacing w:line="280" w:lineRule="exact"/>
              <w:jc w:val="center"/>
              <w:rPr>
                <w:rFonts w:ascii="宋体" w:hAnsi="宋体"/>
              </w:rPr>
            </w:pPr>
            <w:r>
              <w:rPr>
                <w:rFonts w:ascii="宋体" w:hAnsi="宋体"/>
                <w:lang w:bidi="ar"/>
              </w:rPr>
              <w:t>9</w:t>
            </w:r>
          </w:p>
        </w:tc>
        <w:tc>
          <w:tcPr>
            <w:tcW w:w="783" w:type="pct"/>
            <w:vAlign w:val="center"/>
          </w:tcPr>
          <w:p>
            <w:pPr>
              <w:spacing w:line="280" w:lineRule="exact"/>
              <w:jc w:val="center"/>
              <w:rPr>
                <w:rFonts w:ascii="宋体" w:hAnsi="宋体"/>
              </w:rPr>
            </w:pPr>
            <w:r>
              <w:rPr>
                <w:rFonts w:ascii="宋体" w:hAnsi="宋体"/>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pct"/>
            <w:noWrap/>
            <w:vAlign w:val="center"/>
          </w:tcPr>
          <w:p>
            <w:pPr>
              <w:spacing w:line="280" w:lineRule="exact"/>
              <w:jc w:val="center"/>
              <w:rPr>
                <w:rFonts w:ascii="宋体" w:hAnsi="宋体"/>
              </w:rPr>
            </w:pPr>
            <w:r>
              <w:rPr>
                <w:rFonts w:ascii="宋体" w:hAnsi="宋体"/>
              </w:rPr>
              <w:t>3</w:t>
            </w:r>
          </w:p>
        </w:tc>
        <w:tc>
          <w:tcPr>
            <w:tcW w:w="1200" w:type="pct"/>
            <w:noWrap/>
            <w:vAlign w:val="center"/>
          </w:tcPr>
          <w:p>
            <w:pPr>
              <w:spacing w:line="280" w:lineRule="exact"/>
              <w:jc w:val="center"/>
              <w:rPr>
                <w:rFonts w:ascii="宋体" w:hAnsi="宋体"/>
              </w:rPr>
            </w:pPr>
            <w:r>
              <w:rPr>
                <w:rFonts w:ascii="宋体" w:hAnsi="宋体"/>
              </w:rPr>
              <w:t>龙华</w:t>
            </w:r>
            <w:r>
              <w:rPr>
                <w:rFonts w:hint="eastAsia" w:ascii="宋体" w:hAnsi="宋体"/>
              </w:rPr>
              <w:t>街道</w:t>
            </w:r>
          </w:p>
        </w:tc>
        <w:tc>
          <w:tcPr>
            <w:tcW w:w="813" w:type="pct"/>
            <w:vAlign w:val="center"/>
          </w:tcPr>
          <w:p>
            <w:pPr>
              <w:spacing w:line="280" w:lineRule="exact"/>
              <w:jc w:val="center"/>
              <w:rPr>
                <w:rFonts w:ascii="宋体" w:hAnsi="宋体"/>
              </w:rPr>
            </w:pPr>
            <w:r>
              <w:rPr>
                <w:rFonts w:ascii="宋体" w:hAnsi="宋体"/>
              </w:rPr>
              <w:t>160</w:t>
            </w:r>
          </w:p>
        </w:tc>
        <w:tc>
          <w:tcPr>
            <w:tcW w:w="813" w:type="pct"/>
            <w:vAlign w:val="center"/>
          </w:tcPr>
          <w:p>
            <w:pPr>
              <w:spacing w:line="280" w:lineRule="exact"/>
              <w:jc w:val="center"/>
              <w:rPr>
                <w:rFonts w:ascii="宋体" w:hAnsi="宋体"/>
              </w:rPr>
            </w:pPr>
            <w:r>
              <w:rPr>
                <w:rFonts w:ascii="宋体" w:hAnsi="宋体"/>
              </w:rPr>
              <w:t>25</w:t>
            </w:r>
          </w:p>
        </w:tc>
        <w:tc>
          <w:tcPr>
            <w:tcW w:w="908" w:type="pct"/>
            <w:vAlign w:val="center"/>
          </w:tcPr>
          <w:p>
            <w:pPr>
              <w:spacing w:line="280" w:lineRule="exact"/>
              <w:jc w:val="center"/>
              <w:rPr>
                <w:rFonts w:ascii="宋体" w:hAnsi="宋体"/>
              </w:rPr>
            </w:pPr>
            <w:r>
              <w:rPr>
                <w:rFonts w:ascii="宋体" w:hAnsi="宋体"/>
                <w:lang w:bidi="ar"/>
              </w:rPr>
              <w:t>10</w:t>
            </w:r>
          </w:p>
        </w:tc>
        <w:tc>
          <w:tcPr>
            <w:tcW w:w="783" w:type="pct"/>
            <w:vAlign w:val="center"/>
          </w:tcPr>
          <w:p>
            <w:pPr>
              <w:spacing w:line="280" w:lineRule="exact"/>
              <w:jc w:val="center"/>
              <w:rPr>
                <w:rFonts w:ascii="宋体" w:hAnsi="宋体"/>
              </w:rPr>
            </w:pPr>
            <w:r>
              <w:rPr>
                <w:rFonts w:ascii="宋体" w:hAnsi="宋体"/>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pct"/>
            <w:noWrap/>
            <w:vAlign w:val="center"/>
          </w:tcPr>
          <w:p>
            <w:pPr>
              <w:spacing w:line="280" w:lineRule="exact"/>
              <w:jc w:val="center"/>
              <w:rPr>
                <w:rFonts w:ascii="宋体" w:hAnsi="宋体"/>
              </w:rPr>
            </w:pPr>
            <w:r>
              <w:rPr>
                <w:rFonts w:ascii="宋体" w:hAnsi="宋体"/>
              </w:rPr>
              <w:t>4</w:t>
            </w:r>
          </w:p>
        </w:tc>
        <w:tc>
          <w:tcPr>
            <w:tcW w:w="1200" w:type="pct"/>
            <w:noWrap/>
            <w:vAlign w:val="center"/>
          </w:tcPr>
          <w:p>
            <w:pPr>
              <w:spacing w:line="280" w:lineRule="exact"/>
              <w:jc w:val="center"/>
              <w:rPr>
                <w:rFonts w:ascii="宋体" w:hAnsi="宋体"/>
              </w:rPr>
            </w:pPr>
            <w:r>
              <w:rPr>
                <w:rFonts w:ascii="宋体" w:hAnsi="宋体"/>
              </w:rPr>
              <w:t>大浪</w:t>
            </w:r>
            <w:r>
              <w:rPr>
                <w:rFonts w:hint="eastAsia" w:ascii="宋体" w:hAnsi="宋体"/>
              </w:rPr>
              <w:t>街道</w:t>
            </w:r>
          </w:p>
        </w:tc>
        <w:tc>
          <w:tcPr>
            <w:tcW w:w="813" w:type="pct"/>
            <w:vAlign w:val="center"/>
          </w:tcPr>
          <w:p>
            <w:pPr>
              <w:spacing w:line="280" w:lineRule="exact"/>
              <w:jc w:val="center"/>
              <w:rPr>
                <w:rFonts w:ascii="宋体" w:hAnsi="宋体"/>
              </w:rPr>
            </w:pPr>
            <w:r>
              <w:rPr>
                <w:rFonts w:ascii="宋体" w:hAnsi="宋体"/>
              </w:rPr>
              <w:t>120</w:t>
            </w:r>
          </w:p>
        </w:tc>
        <w:tc>
          <w:tcPr>
            <w:tcW w:w="813" w:type="pct"/>
            <w:vAlign w:val="center"/>
          </w:tcPr>
          <w:p>
            <w:pPr>
              <w:spacing w:line="280" w:lineRule="exact"/>
              <w:jc w:val="center"/>
              <w:rPr>
                <w:rFonts w:ascii="宋体" w:hAnsi="宋体"/>
              </w:rPr>
            </w:pPr>
            <w:r>
              <w:rPr>
                <w:rFonts w:ascii="宋体" w:hAnsi="宋体"/>
              </w:rPr>
              <w:t>20</w:t>
            </w:r>
          </w:p>
        </w:tc>
        <w:tc>
          <w:tcPr>
            <w:tcW w:w="908" w:type="pct"/>
            <w:vAlign w:val="center"/>
          </w:tcPr>
          <w:p>
            <w:pPr>
              <w:spacing w:line="280" w:lineRule="exact"/>
              <w:jc w:val="center"/>
              <w:rPr>
                <w:rFonts w:ascii="宋体" w:hAnsi="宋体"/>
              </w:rPr>
            </w:pPr>
            <w:r>
              <w:rPr>
                <w:rFonts w:ascii="宋体" w:hAnsi="宋体"/>
                <w:lang w:bidi="ar"/>
              </w:rPr>
              <w:t>6</w:t>
            </w:r>
          </w:p>
        </w:tc>
        <w:tc>
          <w:tcPr>
            <w:tcW w:w="783" w:type="pct"/>
            <w:vAlign w:val="center"/>
          </w:tcPr>
          <w:p>
            <w:pPr>
              <w:spacing w:line="280" w:lineRule="exact"/>
              <w:jc w:val="center"/>
              <w:rPr>
                <w:rFonts w:ascii="宋体" w:hAnsi="宋体"/>
              </w:rPr>
            </w:pPr>
            <w:r>
              <w:rPr>
                <w:rFonts w:ascii="宋体" w:hAnsi="宋体"/>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pct"/>
            <w:noWrap/>
            <w:vAlign w:val="center"/>
          </w:tcPr>
          <w:p>
            <w:pPr>
              <w:spacing w:line="280" w:lineRule="exact"/>
              <w:jc w:val="center"/>
              <w:rPr>
                <w:rFonts w:ascii="宋体" w:hAnsi="宋体"/>
              </w:rPr>
            </w:pPr>
            <w:r>
              <w:rPr>
                <w:rFonts w:ascii="宋体" w:hAnsi="宋体"/>
              </w:rPr>
              <w:t>5</w:t>
            </w:r>
          </w:p>
        </w:tc>
        <w:tc>
          <w:tcPr>
            <w:tcW w:w="1200" w:type="pct"/>
            <w:noWrap/>
            <w:vAlign w:val="center"/>
          </w:tcPr>
          <w:p>
            <w:pPr>
              <w:spacing w:line="280" w:lineRule="exact"/>
              <w:jc w:val="center"/>
              <w:rPr>
                <w:rFonts w:ascii="宋体" w:hAnsi="宋体"/>
              </w:rPr>
            </w:pPr>
            <w:r>
              <w:rPr>
                <w:rFonts w:ascii="宋体" w:hAnsi="宋体"/>
              </w:rPr>
              <w:t>福城</w:t>
            </w:r>
            <w:r>
              <w:rPr>
                <w:rFonts w:hint="eastAsia" w:ascii="宋体" w:hAnsi="宋体"/>
              </w:rPr>
              <w:t>街道</w:t>
            </w:r>
          </w:p>
        </w:tc>
        <w:tc>
          <w:tcPr>
            <w:tcW w:w="813" w:type="pct"/>
            <w:vAlign w:val="center"/>
          </w:tcPr>
          <w:p>
            <w:pPr>
              <w:spacing w:line="280" w:lineRule="exact"/>
              <w:jc w:val="center"/>
              <w:rPr>
                <w:rFonts w:ascii="宋体" w:hAnsi="宋体"/>
              </w:rPr>
            </w:pPr>
            <w:r>
              <w:rPr>
                <w:rFonts w:ascii="宋体" w:hAnsi="宋体"/>
              </w:rPr>
              <w:t>50</w:t>
            </w:r>
          </w:p>
        </w:tc>
        <w:tc>
          <w:tcPr>
            <w:tcW w:w="813" w:type="pct"/>
            <w:vAlign w:val="center"/>
          </w:tcPr>
          <w:p>
            <w:pPr>
              <w:spacing w:line="280" w:lineRule="exact"/>
              <w:jc w:val="center"/>
              <w:rPr>
                <w:rFonts w:ascii="宋体" w:hAnsi="宋体"/>
              </w:rPr>
            </w:pPr>
            <w:r>
              <w:rPr>
                <w:rFonts w:ascii="宋体" w:hAnsi="宋体"/>
              </w:rPr>
              <w:t>20</w:t>
            </w:r>
          </w:p>
        </w:tc>
        <w:tc>
          <w:tcPr>
            <w:tcW w:w="908" w:type="pct"/>
            <w:vAlign w:val="center"/>
          </w:tcPr>
          <w:p>
            <w:pPr>
              <w:spacing w:line="280" w:lineRule="exact"/>
              <w:jc w:val="center"/>
              <w:rPr>
                <w:rFonts w:ascii="宋体" w:hAnsi="宋体"/>
              </w:rPr>
            </w:pPr>
            <w:r>
              <w:rPr>
                <w:rFonts w:ascii="宋体" w:hAnsi="宋体"/>
                <w:lang w:bidi="ar"/>
              </w:rPr>
              <w:t>4</w:t>
            </w:r>
          </w:p>
        </w:tc>
        <w:tc>
          <w:tcPr>
            <w:tcW w:w="783" w:type="pct"/>
            <w:vAlign w:val="center"/>
          </w:tcPr>
          <w:p>
            <w:pPr>
              <w:spacing w:line="280" w:lineRule="exact"/>
              <w:jc w:val="center"/>
              <w:rPr>
                <w:rFonts w:ascii="宋体" w:hAnsi="宋体"/>
              </w:rPr>
            </w:pPr>
            <w:r>
              <w:rPr>
                <w:rFonts w:ascii="宋体" w:hAnsi="宋体"/>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pct"/>
            <w:noWrap/>
            <w:vAlign w:val="center"/>
          </w:tcPr>
          <w:p>
            <w:pPr>
              <w:spacing w:line="280" w:lineRule="exact"/>
              <w:jc w:val="center"/>
              <w:rPr>
                <w:rFonts w:ascii="宋体" w:hAnsi="宋体"/>
              </w:rPr>
            </w:pPr>
            <w:r>
              <w:rPr>
                <w:rFonts w:ascii="宋体" w:hAnsi="宋体"/>
              </w:rPr>
              <w:t>6</w:t>
            </w:r>
          </w:p>
        </w:tc>
        <w:tc>
          <w:tcPr>
            <w:tcW w:w="1200" w:type="pct"/>
            <w:noWrap/>
            <w:vAlign w:val="center"/>
          </w:tcPr>
          <w:p>
            <w:pPr>
              <w:spacing w:line="280" w:lineRule="exact"/>
              <w:jc w:val="center"/>
              <w:rPr>
                <w:rFonts w:ascii="宋体" w:hAnsi="宋体"/>
              </w:rPr>
            </w:pPr>
            <w:r>
              <w:rPr>
                <w:rFonts w:ascii="宋体" w:hAnsi="宋体"/>
              </w:rPr>
              <w:t>观澜</w:t>
            </w:r>
            <w:r>
              <w:rPr>
                <w:rFonts w:hint="eastAsia" w:ascii="宋体" w:hAnsi="宋体"/>
              </w:rPr>
              <w:t>街道</w:t>
            </w:r>
          </w:p>
        </w:tc>
        <w:tc>
          <w:tcPr>
            <w:tcW w:w="813" w:type="pct"/>
            <w:vAlign w:val="center"/>
          </w:tcPr>
          <w:p>
            <w:pPr>
              <w:spacing w:line="280" w:lineRule="exact"/>
              <w:jc w:val="center"/>
              <w:rPr>
                <w:rFonts w:ascii="宋体" w:hAnsi="宋体"/>
              </w:rPr>
            </w:pPr>
            <w:r>
              <w:rPr>
                <w:rFonts w:ascii="宋体" w:hAnsi="宋体"/>
              </w:rPr>
              <w:t>40</w:t>
            </w:r>
          </w:p>
        </w:tc>
        <w:tc>
          <w:tcPr>
            <w:tcW w:w="813" w:type="pct"/>
            <w:vAlign w:val="center"/>
          </w:tcPr>
          <w:p>
            <w:pPr>
              <w:spacing w:line="280" w:lineRule="exact"/>
              <w:jc w:val="center"/>
              <w:rPr>
                <w:rFonts w:ascii="宋体" w:hAnsi="宋体"/>
              </w:rPr>
            </w:pPr>
            <w:r>
              <w:rPr>
                <w:rFonts w:ascii="宋体" w:hAnsi="宋体"/>
              </w:rPr>
              <w:t>20</w:t>
            </w:r>
          </w:p>
        </w:tc>
        <w:tc>
          <w:tcPr>
            <w:tcW w:w="908" w:type="pct"/>
            <w:vAlign w:val="center"/>
          </w:tcPr>
          <w:p>
            <w:pPr>
              <w:spacing w:line="280" w:lineRule="exact"/>
              <w:jc w:val="center"/>
              <w:rPr>
                <w:rFonts w:ascii="宋体" w:hAnsi="宋体"/>
              </w:rPr>
            </w:pPr>
            <w:r>
              <w:rPr>
                <w:rFonts w:ascii="宋体" w:hAnsi="宋体"/>
                <w:lang w:bidi="ar"/>
              </w:rPr>
              <w:t>6</w:t>
            </w:r>
          </w:p>
        </w:tc>
        <w:tc>
          <w:tcPr>
            <w:tcW w:w="783" w:type="pct"/>
            <w:vAlign w:val="center"/>
          </w:tcPr>
          <w:p>
            <w:pPr>
              <w:spacing w:line="280" w:lineRule="exact"/>
              <w:jc w:val="center"/>
              <w:rPr>
                <w:rFonts w:ascii="宋体" w:hAnsi="宋体"/>
              </w:rPr>
            </w:pPr>
            <w:r>
              <w:rPr>
                <w:rFonts w:ascii="宋体" w:hAnsi="宋体"/>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pct"/>
            <w:noWrap/>
            <w:vAlign w:val="center"/>
          </w:tcPr>
          <w:p>
            <w:pPr>
              <w:spacing w:line="280" w:lineRule="exact"/>
              <w:jc w:val="center"/>
              <w:rPr>
                <w:rFonts w:ascii="宋体" w:hAnsi="宋体"/>
              </w:rPr>
            </w:pPr>
            <w:r>
              <w:rPr>
                <w:rFonts w:ascii="宋体" w:hAnsi="宋体"/>
              </w:rPr>
              <w:t>7</w:t>
            </w:r>
          </w:p>
        </w:tc>
        <w:tc>
          <w:tcPr>
            <w:tcW w:w="1200" w:type="pct"/>
            <w:noWrap/>
            <w:vAlign w:val="center"/>
          </w:tcPr>
          <w:p>
            <w:pPr>
              <w:spacing w:line="280" w:lineRule="exact"/>
              <w:jc w:val="center"/>
              <w:rPr>
                <w:rFonts w:ascii="宋体" w:hAnsi="宋体"/>
              </w:rPr>
            </w:pPr>
            <w:r>
              <w:rPr>
                <w:rFonts w:ascii="宋体" w:hAnsi="宋体"/>
              </w:rPr>
              <w:t>区教育局</w:t>
            </w:r>
          </w:p>
        </w:tc>
        <w:tc>
          <w:tcPr>
            <w:tcW w:w="813" w:type="pct"/>
            <w:vAlign w:val="center"/>
          </w:tcPr>
          <w:p>
            <w:pPr>
              <w:spacing w:line="280" w:lineRule="exact"/>
              <w:jc w:val="center"/>
              <w:rPr>
                <w:rFonts w:ascii="宋体" w:hAnsi="宋体"/>
              </w:rPr>
            </w:pPr>
            <w:r>
              <w:rPr>
                <w:rFonts w:ascii="宋体" w:hAnsi="宋体"/>
              </w:rPr>
              <w:t>/</w:t>
            </w:r>
          </w:p>
        </w:tc>
        <w:tc>
          <w:tcPr>
            <w:tcW w:w="813" w:type="pct"/>
            <w:vAlign w:val="center"/>
          </w:tcPr>
          <w:p>
            <w:pPr>
              <w:spacing w:line="280" w:lineRule="exact"/>
              <w:jc w:val="center"/>
              <w:rPr>
                <w:rFonts w:ascii="宋体" w:hAnsi="宋体"/>
              </w:rPr>
            </w:pPr>
            <w:r>
              <w:rPr>
                <w:rFonts w:ascii="宋体" w:hAnsi="宋体"/>
              </w:rPr>
              <w:t>/</w:t>
            </w:r>
          </w:p>
        </w:tc>
        <w:tc>
          <w:tcPr>
            <w:tcW w:w="908" w:type="pct"/>
            <w:vAlign w:val="center"/>
          </w:tcPr>
          <w:p>
            <w:pPr>
              <w:spacing w:line="280" w:lineRule="exact"/>
              <w:jc w:val="center"/>
              <w:rPr>
                <w:rFonts w:ascii="宋体" w:hAnsi="宋体"/>
              </w:rPr>
            </w:pPr>
            <w:r>
              <w:rPr>
                <w:rFonts w:ascii="宋体" w:hAnsi="宋体"/>
              </w:rPr>
              <w:t>/</w:t>
            </w:r>
          </w:p>
        </w:tc>
        <w:tc>
          <w:tcPr>
            <w:tcW w:w="783" w:type="pct"/>
            <w:vAlign w:val="center"/>
          </w:tcPr>
          <w:p>
            <w:pPr>
              <w:spacing w:line="280" w:lineRule="exact"/>
              <w:jc w:val="center"/>
              <w:rPr>
                <w:rFonts w:ascii="宋体" w:hAnsi="宋体"/>
              </w:rPr>
            </w:pPr>
            <w:r>
              <w:rPr>
                <w:rFonts w:ascii="宋体" w:hAnsi="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3" w:type="pct"/>
            <w:noWrap/>
            <w:vAlign w:val="center"/>
          </w:tcPr>
          <w:p>
            <w:pPr>
              <w:spacing w:line="280" w:lineRule="exact"/>
              <w:jc w:val="center"/>
              <w:rPr>
                <w:rFonts w:ascii="宋体" w:hAnsi="宋体"/>
              </w:rPr>
            </w:pPr>
            <w:r>
              <w:rPr>
                <w:rFonts w:ascii="宋体" w:hAnsi="宋体"/>
              </w:rPr>
              <w:t>8</w:t>
            </w:r>
          </w:p>
        </w:tc>
        <w:tc>
          <w:tcPr>
            <w:tcW w:w="1200" w:type="pct"/>
            <w:noWrap/>
            <w:vAlign w:val="center"/>
          </w:tcPr>
          <w:p>
            <w:pPr>
              <w:spacing w:line="280" w:lineRule="exact"/>
              <w:jc w:val="center"/>
              <w:rPr>
                <w:rFonts w:ascii="宋体" w:hAnsi="宋体"/>
              </w:rPr>
            </w:pPr>
            <w:r>
              <w:rPr>
                <w:rFonts w:ascii="宋体" w:hAnsi="宋体"/>
              </w:rPr>
              <w:t>区城管</w:t>
            </w:r>
            <w:r>
              <w:rPr>
                <w:rFonts w:hint="eastAsia" w:ascii="宋体" w:hAnsi="宋体"/>
              </w:rPr>
              <w:t>和综合执法</w:t>
            </w:r>
            <w:r>
              <w:rPr>
                <w:rFonts w:ascii="宋体" w:hAnsi="宋体"/>
              </w:rPr>
              <w:t>局</w:t>
            </w:r>
          </w:p>
        </w:tc>
        <w:tc>
          <w:tcPr>
            <w:tcW w:w="813" w:type="pct"/>
            <w:vAlign w:val="center"/>
          </w:tcPr>
          <w:p>
            <w:pPr>
              <w:spacing w:line="280" w:lineRule="exact"/>
              <w:jc w:val="center"/>
              <w:rPr>
                <w:rFonts w:ascii="宋体" w:hAnsi="宋体"/>
              </w:rPr>
            </w:pPr>
            <w:r>
              <w:rPr>
                <w:rFonts w:ascii="宋体" w:hAnsi="宋体"/>
              </w:rPr>
              <w:t>/</w:t>
            </w:r>
          </w:p>
        </w:tc>
        <w:tc>
          <w:tcPr>
            <w:tcW w:w="813" w:type="pct"/>
            <w:vAlign w:val="center"/>
          </w:tcPr>
          <w:p>
            <w:pPr>
              <w:spacing w:line="280" w:lineRule="exact"/>
              <w:jc w:val="center"/>
              <w:rPr>
                <w:rFonts w:ascii="宋体" w:hAnsi="宋体"/>
              </w:rPr>
            </w:pPr>
            <w:r>
              <w:rPr>
                <w:rFonts w:ascii="宋体" w:hAnsi="宋体"/>
              </w:rPr>
              <w:t>/</w:t>
            </w:r>
          </w:p>
        </w:tc>
        <w:tc>
          <w:tcPr>
            <w:tcW w:w="908" w:type="pct"/>
            <w:vAlign w:val="center"/>
          </w:tcPr>
          <w:p>
            <w:pPr>
              <w:spacing w:line="280" w:lineRule="exact"/>
              <w:jc w:val="center"/>
              <w:rPr>
                <w:rFonts w:ascii="宋体" w:hAnsi="宋体"/>
              </w:rPr>
            </w:pPr>
            <w:r>
              <w:rPr>
                <w:rFonts w:ascii="宋体" w:hAnsi="宋体"/>
              </w:rPr>
              <w:t>/</w:t>
            </w:r>
          </w:p>
        </w:tc>
        <w:tc>
          <w:tcPr>
            <w:tcW w:w="783" w:type="pct"/>
            <w:vAlign w:val="center"/>
          </w:tcPr>
          <w:p>
            <w:pPr>
              <w:spacing w:line="280" w:lineRule="exact"/>
              <w:jc w:val="center"/>
              <w:rPr>
                <w:rFonts w:ascii="宋体" w:hAnsi="宋体"/>
              </w:rPr>
            </w:pPr>
            <w:r>
              <w:rPr>
                <w:rFonts w:ascii="宋体" w:hAnsi="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683" w:type="pct"/>
            <w:gridSpan w:val="2"/>
            <w:noWrap/>
            <w:vAlign w:val="center"/>
          </w:tcPr>
          <w:p>
            <w:pPr>
              <w:spacing w:line="280" w:lineRule="exact"/>
              <w:jc w:val="center"/>
              <w:rPr>
                <w:rFonts w:ascii="宋体" w:hAnsi="宋体"/>
                <w:b/>
                <w:bCs/>
              </w:rPr>
            </w:pPr>
            <w:r>
              <w:rPr>
                <w:rFonts w:ascii="宋体" w:hAnsi="宋体"/>
                <w:b/>
                <w:bCs/>
              </w:rPr>
              <w:t>合计</w:t>
            </w:r>
          </w:p>
        </w:tc>
        <w:tc>
          <w:tcPr>
            <w:tcW w:w="813" w:type="pct"/>
            <w:vAlign w:val="center"/>
          </w:tcPr>
          <w:p>
            <w:pPr>
              <w:spacing w:line="280" w:lineRule="exact"/>
              <w:jc w:val="center"/>
              <w:rPr>
                <w:rFonts w:ascii="宋体" w:hAnsi="宋体"/>
                <w:b/>
                <w:bCs/>
              </w:rPr>
            </w:pPr>
            <w:r>
              <w:rPr>
                <w:rFonts w:hint="eastAsia" w:ascii="宋体" w:hAnsi="宋体"/>
                <w:b/>
                <w:bCs/>
              </w:rPr>
              <w:t>6</w:t>
            </w:r>
            <w:r>
              <w:rPr>
                <w:rFonts w:ascii="宋体" w:hAnsi="宋体"/>
                <w:b/>
                <w:bCs/>
              </w:rPr>
              <w:t>45</w:t>
            </w:r>
          </w:p>
        </w:tc>
        <w:tc>
          <w:tcPr>
            <w:tcW w:w="813" w:type="pct"/>
            <w:vAlign w:val="center"/>
          </w:tcPr>
          <w:p>
            <w:pPr>
              <w:spacing w:line="280" w:lineRule="exact"/>
              <w:jc w:val="center"/>
              <w:rPr>
                <w:rFonts w:ascii="宋体" w:hAnsi="宋体"/>
                <w:b/>
                <w:bCs/>
              </w:rPr>
            </w:pPr>
            <w:r>
              <w:rPr>
                <w:rFonts w:ascii="宋体" w:hAnsi="宋体"/>
                <w:b/>
                <w:bCs/>
              </w:rPr>
              <w:t>130</w:t>
            </w:r>
          </w:p>
        </w:tc>
        <w:tc>
          <w:tcPr>
            <w:tcW w:w="908" w:type="pct"/>
            <w:vAlign w:val="center"/>
          </w:tcPr>
          <w:p>
            <w:pPr>
              <w:spacing w:line="280" w:lineRule="exact"/>
              <w:jc w:val="center"/>
              <w:rPr>
                <w:rFonts w:ascii="宋体" w:hAnsi="宋体"/>
                <w:b/>
                <w:bCs/>
              </w:rPr>
            </w:pPr>
            <w:r>
              <w:rPr>
                <w:rFonts w:ascii="宋体" w:hAnsi="宋体"/>
                <w:b/>
                <w:bCs/>
              </w:rPr>
              <w:t>40</w:t>
            </w:r>
          </w:p>
        </w:tc>
        <w:tc>
          <w:tcPr>
            <w:tcW w:w="783" w:type="pct"/>
            <w:vAlign w:val="center"/>
          </w:tcPr>
          <w:p>
            <w:pPr>
              <w:spacing w:line="280" w:lineRule="exact"/>
              <w:jc w:val="center"/>
              <w:rPr>
                <w:rFonts w:ascii="宋体" w:hAnsi="宋体"/>
                <w:b/>
                <w:bCs/>
              </w:rPr>
            </w:pPr>
            <w:r>
              <w:rPr>
                <w:rFonts w:hint="eastAsia" w:ascii="宋体" w:hAnsi="宋体"/>
                <w:b/>
                <w:bCs/>
              </w:rPr>
              <w:t>5</w:t>
            </w:r>
            <w:r>
              <w:rPr>
                <w:rFonts w:ascii="宋体" w:hAnsi="宋体"/>
                <w:b/>
                <w:bCs/>
              </w:rPr>
              <w:t>0</w:t>
            </w:r>
          </w:p>
        </w:tc>
      </w:tr>
    </w:tbl>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ascii="仿宋_GB2312" w:eastAsia="仿宋_GB2312" w:cs="仿宋_GB2312"/>
          <w:color w:val="000000" w:themeColor="text1"/>
          <w:sz w:val="32"/>
          <w:szCs w:val="32"/>
          <w14:textFill>
            <w14:solidFill>
              <w14:schemeClr w14:val="tx1"/>
            </w14:solidFill>
          </w14:textFill>
        </w:rPr>
        <w:t>根据《深圳市生活垃圾分类工作激励办法》</w:t>
      </w:r>
      <w:r>
        <w:rPr>
          <w:rFonts w:hint="eastAsia" w:ascii="仿宋_GB2312" w:eastAsia="仿宋_GB2312" w:cs="仿宋_GB2312"/>
          <w:color w:val="000000" w:themeColor="text1"/>
          <w:sz w:val="32"/>
          <w:szCs w:val="32"/>
          <w14:textFill>
            <w14:solidFill>
              <w14:schemeClr w14:val="tx1"/>
            </w14:solidFill>
          </w14:textFill>
        </w:rPr>
        <w:t>（深城管规〔2019〕4号）</w:t>
      </w:r>
      <w:r>
        <w:rPr>
          <w:rFonts w:ascii="仿宋_GB2312" w:eastAsia="仿宋_GB2312" w:cs="仿宋_GB2312"/>
          <w:color w:val="000000" w:themeColor="text1"/>
          <w:sz w:val="32"/>
          <w:szCs w:val="32"/>
          <w14:textFill>
            <w14:solidFill>
              <w14:schemeClr w14:val="tx1"/>
            </w14:solidFill>
          </w14:textFill>
        </w:rPr>
        <w:t>《龙华区生活垃圾分类工作激励方法实施细则（试行）》</w:t>
      </w:r>
      <w:r>
        <w:rPr>
          <w:rFonts w:hint="eastAsia" w:ascii="仿宋_GB2312" w:eastAsia="仿宋_GB2312" w:cs="仿宋_GB2312"/>
          <w:color w:val="000000" w:themeColor="text1"/>
          <w:sz w:val="32"/>
          <w:szCs w:val="32"/>
          <w14:textFill>
            <w14:solidFill>
              <w14:schemeClr w14:val="tx1"/>
            </w14:solidFill>
          </w14:textFill>
        </w:rPr>
        <w:t>（深龙华府办规〔2020〕7号）</w:t>
      </w:r>
      <w:r>
        <w:rPr>
          <w:rFonts w:ascii="仿宋_GB2312" w:eastAsia="仿宋_GB2312" w:cs="仿宋_GB2312"/>
          <w:color w:val="000000" w:themeColor="text1"/>
          <w:sz w:val="32"/>
          <w:szCs w:val="32"/>
          <w14:textFill>
            <w14:solidFill>
              <w14:schemeClr w14:val="tx1"/>
            </w14:solidFill>
          </w14:textFill>
        </w:rPr>
        <w:t>等文件有关规定</w:t>
      </w:r>
      <w:r>
        <w:rPr>
          <w:rFonts w:hint="eastAsia" w:ascii="仿宋_GB2312" w:eastAsia="仿宋_GB2312" w:cs="仿宋_GB2312"/>
          <w:color w:val="000000" w:themeColor="text1"/>
          <w:sz w:val="32"/>
          <w:szCs w:val="32"/>
          <w14:textFill>
            <w14:solidFill>
              <w14:schemeClr w14:val="tx1"/>
            </w14:solidFill>
          </w14:textFill>
        </w:rPr>
        <w:t>，龙华区2022年生活垃圾分类工作激励标准如表1</w:t>
      </w:r>
      <w:r>
        <w:rPr>
          <w:rFonts w:ascii="仿宋_GB2312" w:eastAsia="仿宋_GB2312" w:cs="仿宋_GB2312"/>
          <w:color w:val="000000" w:themeColor="text1"/>
          <w:sz w:val="32"/>
          <w:szCs w:val="32"/>
          <w14:textFill>
            <w14:solidFill>
              <w14:schemeClr w14:val="tx1"/>
            </w14:solidFill>
          </w14:textFill>
        </w:rPr>
        <w:t>-2</w:t>
      </w:r>
      <w:r>
        <w:rPr>
          <w:rFonts w:hint="eastAsia" w:ascii="仿宋_GB2312" w:eastAsia="仿宋_GB2312" w:cs="仿宋_GB2312"/>
          <w:color w:val="000000" w:themeColor="text1"/>
          <w:sz w:val="32"/>
          <w:szCs w:val="32"/>
          <w14:textFill>
            <w14:solidFill>
              <w14:schemeClr w14:val="tx1"/>
            </w14:solidFill>
          </w14:textFill>
        </w:rPr>
        <w:t>所示。</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p>
    <w:p>
      <w:pPr>
        <w:spacing w:line="600" w:lineRule="exact"/>
        <w:jc w:val="center"/>
        <w:rPr>
          <w:rFonts w:ascii="黑体" w:hAnsi="黑体" w:eastAsia="黑体" w:cs="仿宋_GB2312"/>
          <w:sz w:val="28"/>
          <w:szCs w:val="28"/>
        </w:rPr>
      </w:pPr>
      <w:r>
        <w:rPr>
          <w:rFonts w:ascii="黑体" w:hAnsi="黑体" w:eastAsia="黑体" w:cs="仿宋_GB2312"/>
          <w:sz w:val="28"/>
          <w:szCs w:val="28"/>
        </w:rPr>
        <w:t>表1-2 龙华区2022年</w:t>
      </w:r>
      <w:r>
        <w:rPr>
          <w:rFonts w:hint="eastAsia" w:ascii="黑体" w:hAnsi="黑体" w:eastAsia="黑体" w:cs="仿宋_GB2312"/>
          <w:sz w:val="28"/>
          <w:szCs w:val="28"/>
        </w:rPr>
        <w:t>生活</w:t>
      </w:r>
      <w:r>
        <w:rPr>
          <w:rFonts w:ascii="黑体" w:hAnsi="黑体" w:eastAsia="黑体" w:cs="仿宋_GB2312"/>
          <w:sz w:val="28"/>
          <w:szCs w:val="28"/>
        </w:rPr>
        <w:t>垃圾分类</w:t>
      </w:r>
      <w:r>
        <w:rPr>
          <w:rFonts w:hint="eastAsia" w:ascii="黑体" w:hAnsi="黑体" w:eastAsia="黑体" w:cs="仿宋_GB2312"/>
          <w:sz w:val="28"/>
          <w:szCs w:val="28"/>
        </w:rPr>
        <w:t>工作</w:t>
      </w:r>
      <w:r>
        <w:rPr>
          <w:rFonts w:ascii="黑体" w:hAnsi="黑体" w:eastAsia="黑体" w:cs="仿宋_GB2312"/>
          <w:sz w:val="28"/>
          <w:szCs w:val="28"/>
        </w:rPr>
        <w:t>激励</w:t>
      </w:r>
      <w:r>
        <w:rPr>
          <w:rFonts w:hint="eastAsia" w:ascii="黑体" w:hAnsi="黑体" w:eastAsia="黑体" w:cs="仿宋_GB2312"/>
          <w:sz w:val="28"/>
          <w:szCs w:val="28"/>
        </w:rPr>
        <w:t>标准</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2616"/>
        <w:gridCol w:w="5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blHeader/>
          <w:jc w:val="center"/>
        </w:trPr>
        <w:tc>
          <w:tcPr>
            <w:tcW w:w="510" w:type="pct"/>
            <w:noWrap/>
            <w:vAlign w:val="center"/>
          </w:tcPr>
          <w:p>
            <w:pPr>
              <w:widowControl/>
              <w:spacing w:line="280" w:lineRule="exact"/>
              <w:jc w:val="center"/>
              <w:rPr>
                <w:rFonts w:ascii="宋体" w:hAnsi="宋体"/>
                <w:b/>
              </w:rPr>
            </w:pPr>
            <w:r>
              <w:rPr>
                <w:rFonts w:ascii="宋体" w:hAnsi="宋体"/>
                <w:b/>
              </w:rPr>
              <w:t>序号</w:t>
            </w:r>
          </w:p>
        </w:tc>
        <w:tc>
          <w:tcPr>
            <w:tcW w:w="1453" w:type="pct"/>
            <w:noWrap/>
            <w:vAlign w:val="center"/>
          </w:tcPr>
          <w:p>
            <w:pPr>
              <w:widowControl/>
              <w:spacing w:line="280" w:lineRule="exact"/>
              <w:jc w:val="center"/>
              <w:rPr>
                <w:rFonts w:ascii="宋体" w:hAnsi="宋体"/>
                <w:b/>
              </w:rPr>
            </w:pPr>
            <w:r>
              <w:rPr>
                <w:rFonts w:hint="eastAsia" w:ascii="宋体" w:hAnsi="宋体"/>
                <w:b/>
              </w:rPr>
              <w:t>激励对象</w:t>
            </w:r>
          </w:p>
        </w:tc>
        <w:tc>
          <w:tcPr>
            <w:tcW w:w="3038" w:type="pct"/>
            <w:vAlign w:val="center"/>
          </w:tcPr>
          <w:p>
            <w:pPr>
              <w:widowControl/>
              <w:spacing w:line="280" w:lineRule="exact"/>
              <w:jc w:val="center"/>
              <w:rPr>
                <w:rFonts w:ascii="宋体" w:hAnsi="宋体"/>
                <w:b/>
              </w:rPr>
            </w:pPr>
            <w:r>
              <w:rPr>
                <w:rFonts w:hint="eastAsia" w:ascii="宋体" w:hAnsi="宋体"/>
                <w:b/>
              </w:rPr>
              <w:t>激励标准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exact"/>
          <w:jc w:val="center"/>
        </w:trPr>
        <w:tc>
          <w:tcPr>
            <w:tcW w:w="510" w:type="pct"/>
            <w:noWrap/>
            <w:vAlign w:val="center"/>
          </w:tcPr>
          <w:p>
            <w:pPr>
              <w:spacing w:line="280" w:lineRule="exact"/>
              <w:jc w:val="center"/>
              <w:rPr>
                <w:rFonts w:ascii="宋体" w:hAnsi="宋体"/>
              </w:rPr>
            </w:pPr>
            <w:r>
              <w:rPr>
                <w:rFonts w:ascii="宋体" w:hAnsi="宋体"/>
              </w:rPr>
              <w:t>1</w:t>
            </w:r>
          </w:p>
        </w:tc>
        <w:tc>
          <w:tcPr>
            <w:tcW w:w="1453" w:type="pct"/>
            <w:noWrap/>
            <w:vAlign w:val="center"/>
          </w:tcPr>
          <w:p>
            <w:pPr>
              <w:spacing w:line="280" w:lineRule="exact"/>
              <w:jc w:val="center"/>
              <w:rPr>
                <w:rFonts w:ascii="宋体" w:hAnsi="宋体"/>
              </w:rPr>
            </w:pPr>
            <w:r>
              <w:rPr>
                <w:rFonts w:ascii="宋体" w:hAnsi="宋体"/>
              </w:rPr>
              <w:t>“生活垃圾分类好家庭”</w:t>
            </w:r>
          </w:p>
        </w:tc>
        <w:tc>
          <w:tcPr>
            <w:tcW w:w="3038" w:type="pct"/>
            <w:vAlign w:val="center"/>
          </w:tcPr>
          <w:p>
            <w:pPr>
              <w:spacing w:line="280" w:lineRule="exact"/>
              <w:jc w:val="left"/>
              <w:rPr>
                <w:rFonts w:ascii="宋体" w:hAnsi="宋体"/>
              </w:rPr>
            </w:pPr>
            <w:r>
              <w:rPr>
                <w:rFonts w:ascii="宋体" w:hAnsi="宋体"/>
              </w:rPr>
              <w:t>一是通报表扬并补助资金2000元。</w:t>
            </w:r>
          </w:p>
          <w:p>
            <w:pPr>
              <w:spacing w:line="280" w:lineRule="exact"/>
              <w:jc w:val="left"/>
              <w:rPr>
                <w:rFonts w:ascii="宋体" w:hAnsi="宋体"/>
              </w:rPr>
            </w:pPr>
            <w:r>
              <w:rPr>
                <w:rFonts w:ascii="宋体" w:hAnsi="宋体"/>
              </w:rPr>
              <w:t>二是优先推荐申报参评“深圳市文明家庭”和“深圳市最美家庭”。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exact"/>
          <w:jc w:val="center"/>
        </w:trPr>
        <w:tc>
          <w:tcPr>
            <w:tcW w:w="510" w:type="pct"/>
            <w:noWrap/>
            <w:vAlign w:val="center"/>
          </w:tcPr>
          <w:p>
            <w:pPr>
              <w:spacing w:line="280" w:lineRule="exact"/>
              <w:jc w:val="center"/>
              <w:rPr>
                <w:rFonts w:ascii="宋体" w:hAnsi="宋体"/>
              </w:rPr>
            </w:pPr>
            <w:r>
              <w:rPr>
                <w:rFonts w:ascii="宋体" w:hAnsi="宋体"/>
              </w:rPr>
              <w:t>2</w:t>
            </w:r>
          </w:p>
        </w:tc>
        <w:tc>
          <w:tcPr>
            <w:tcW w:w="1453" w:type="pct"/>
            <w:noWrap/>
            <w:vAlign w:val="center"/>
          </w:tcPr>
          <w:p>
            <w:pPr>
              <w:spacing w:line="280" w:lineRule="exact"/>
              <w:jc w:val="center"/>
              <w:rPr>
                <w:rFonts w:ascii="宋体" w:hAnsi="宋体"/>
              </w:rPr>
            </w:pPr>
            <w:r>
              <w:rPr>
                <w:rFonts w:ascii="宋体" w:hAnsi="宋体"/>
              </w:rPr>
              <w:t>“生活垃圾分类积极个人”</w:t>
            </w:r>
          </w:p>
        </w:tc>
        <w:tc>
          <w:tcPr>
            <w:tcW w:w="3038" w:type="pct"/>
            <w:vAlign w:val="center"/>
          </w:tcPr>
          <w:p>
            <w:pPr>
              <w:spacing w:line="280" w:lineRule="exact"/>
              <w:jc w:val="left"/>
              <w:rPr>
                <w:rFonts w:ascii="宋体" w:hAnsi="宋体"/>
              </w:rPr>
            </w:pPr>
            <w:r>
              <w:rPr>
                <w:rFonts w:ascii="宋体" w:hAnsi="宋体"/>
              </w:rPr>
              <w:t>一是通报表扬并补助资金1000元。</w:t>
            </w:r>
          </w:p>
          <w:p>
            <w:pPr>
              <w:spacing w:line="280" w:lineRule="exact"/>
              <w:jc w:val="left"/>
              <w:rPr>
                <w:rFonts w:ascii="宋体" w:hAnsi="宋体"/>
              </w:rPr>
            </w:pPr>
            <w:r>
              <w:rPr>
                <w:rFonts w:ascii="宋体" w:hAnsi="宋体"/>
              </w:rPr>
              <w:t>二是相关信息纳入市民文明诚信分采集目录。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5" w:hRule="exact"/>
          <w:jc w:val="center"/>
        </w:trPr>
        <w:tc>
          <w:tcPr>
            <w:tcW w:w="510" w:type="pct"/>
            <w:noWrap/>
            <w:vAlign w:val="center"/>
          </w:tcPr>
          <w:p>
            <w:pPr>
              <w:spacing w:line="280" w:lineRule="exact"/>
              <w:jc w:val="center"/>
              <w:rPr>
                <w:rFonts w:ascii="宋体" w:hAnsi="宋体"/>
              </w:rPr>
            </w:pPr>
            <w:r>
              <w:rPr>
                <w:rFonts w:ascii="宋体" w:hAnsi="宋体"/>
              </w:rPr>
              <w:t>3</w:t>
            </w:r>
          </w:p>
        </w:tc>
        <w:tc>
          <w:tcPr>
            <w:tcW w:w="1453" w:type="pct"/>
            <w:noWrap/>
            <w:vAlign w:val="center"/>
          </w:tcPr>
          <w:p>
            <w:pPr>
              <w:spacing w:line="280" w:lineRule="exact"/>
              <w:jc w:val="center"/>
              <w:rPr>
                <w:rFonts w:ascii="宋体" w:hAnsi="宋体"/>
              </w:rPr>
            </w:pPr>
            <w:r>
              <w:rPr>
                <w:rFonts w:ascii="宋体" w:hAnsi="宋体"/>
              </w:rPr>
              <w:t>“生活垃圾分类绿色小区”</w:t>
            </w:r>
          </w:p>
        </w:tc>
        <w:tc>
          <w:tcPr>
            <w:tcW w:w="3038" w:type="pct"/>
            <w:vAlign w:val="center"/>
          </w:tcPr>
          <w:p>
            <w:pPr>
              <w:spacing w:line="280" w:lineRule="exact"/>
              <w:jc w:val="left"/>
              <w:rPr>
                <w:rFonts w:ascii="宋体" w:hAnsi="宋体"/>
              </w:rPr>
            </w:pPr>
            <w:r>
              <w:rPr>
                <w:rFonts w:ascii="宋体" w:hAnsi="宋体"/>
              </w:rPr>
              <w:t>一是通报表扬并按照10万元/1000户的标准补助，不足1000户的，每减少100户，补助资金减少5%，超过1000户的，每增加100户，补助资金增加5%，最高补助不超过30万元。</w:t>
            </w:r>
          </w:p>
          <w:p>
            <w:pPr>
              <w:spacing w:line="280" w:lineRule="exact"/>
              <w:jc w:val="left"/>
              <w:rPr>
                <w:rFonts w:ascii="宋体" w:hAnsi="宋体"/>
              </w:rPr>
            </w:pPr>
            <w:r>
              <w:rPr>
                <w:rFonts w:ascii="宋体" w:hAnsi="宋体"/>
              </w:rPr>
              <w:t>二是补助资金仅用于生活垃圾分类相关的设施采购、宣传培训以及劳务补贴等方面。</w:t>
            </w:r>
          </w:p>
          <w:p>
            <w:pPr>
              <w:spacing w:line="280" w:lineRule="exact"/>
              <w:jc w:val="left"/>
              <w:rPr>
                <w:rFonts w:ascii="宋体" w:hAnsi="宋体"/>
              </w:rPr>
            </w:pPr>
            <w:r>
              <w:rPr>
                <w:rFonts w:ascii="宋体" w:hAnsi="宋体"/>
              </w:rPr>
              <w:t>三是生活垃圾分类绿色小区的物业服务企业可优先申报深圳市级绿色物业管理评价标识，通过市住房建设部门审核后获得绿色物业管理评价补助资金。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exact"/>
          <w:jc w:val="center"/>
        </w:trPr>
        <w:tc>
          <w:tcPr>
            <w:tcW w:w="510" w:type="pct"/>
            <w:noWrap/>
            <w:vAlign w:val="center"/>
          </w:tcPr>
          <w:p>
            <w:pPr>
              <w:spacing w:line="280" w:lineRule="exact"/>
              <w:jc w:val="center"/>
              <w:rPr>
                <w:rFonts w:ascii="宋体" w:hAnsi="宋体"/>
              </w:rPr>
            </w:pPr>
            <w:r>
              <w:rPr>
                <w:rFonts w:ascii="宋体" w:hAnsi="宋体"/>
              </w:rPr>
              <w:t>4</w:t>
            </w:r>
          </w:p>
        </w:tc>
        <w:tc>
          <w:tcPr>
            <w:tcW w:w="1453" w:type="pct"/>
            <w:noWrap/>
            <w:vAlign w:val="center"/>
          </w:tcPr>
          <w:p>
            <w:pPr>
              <w:spacing w:line="280" w:lineRule="exact"/>
              <w:jc w:val="center"/>
              <w:rPr>
                <w:rFonts w:ascii="宋体" w:hAnsi="宋体"/>
              </w:rPr>
            </w:pPr>
            <w:r>
              <w:rPr>
                <w:rFonts w:ascii="宋体" w:hAnsi="宋体"/>
              </w:rPr>
              <w:t>“生活垃圾分类绿色单位”</w:t>
            </w:r>
          </w:p>
        </w:tc>
        <w:tc>
          <w:tcPr>
            <w:tcW w:w="3038" w:type="pct"/>
            <w:vAlign w:val="center"/>
          </w:tcPr>
          <w:p>
            <w:pPr>
              <w:spacing w:line="280" w:lineRule="exact"/>
              <w:jc w:val="left"/>
              <w:rPr>
                <w:rFonts w:ascii="宋体" w:hAnsi="宋体"/>
              </w:rPr>
            </w:pPr>
            <w:r>
              <w:rPr>
                <w:rFonts w:ascii="宋体" w:hAnsi="宋体"/>
              </w:rPr>
              <w:t>一是通报表扬。</w:t>
            </w:r>
          </w:p>
          <w:p>
            <w:pPr>
              <w:spacing w:line="280" w:lineRule="exact"/>
              <w:jc w:val="left"/>
              <w:rPr>
                <w:rFonts w:ascii="宋体" w:hAnsi="宋体"/>
              </w:rPr>
            </w:pPr>
            <w:r>
              <w:rPr>
                <w:rFonts w:ascii="宋体" w:hAnsi="宋体"/>
              </w:rPr>
              <w:t>二是 “生活垃圾分类绿色单位”的主要领导、分管领导（或主管部门领导）、经办人分别认定为“生活垃圾分类积极个人”（不占用各街道积极个人名额），给予补助资金1000元/人。</w:t>
            </w:r>
          </w:p>
          <w:p>
            <w:pPr>
              <w:spacing w:line="280" w:lineRule="exact"/>
              <w:jc w:val="left"/>
              <w:rPr>
                <w:rFonts w:ascii="宋体" w:hAnsi="宋体"/>
              </w:rPr>
            </w:pPr>
            <w:r>
              <w:rPr>
                <w:rFonts w:ascii="宋体" w:hAnsi="宋体"/>
              </w:rPr>
              <w:t>三是认定为“生活垃圾分类绿色单位”的学校可优先推荐申报参评“绿色学校”。</w:t>
            </w:r>
          </w:p>
        </w:tc>
      </w:tr>
    </w:tbl>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龙华区2022年生活垃圾分类工作激励工作自2</w:t>
      </w:r>
      <w:r>
        <w:rPr>
          <w:rFonts w:ascii="仿宋_GB2312" w:eastAsia="仿宋_GB2312" w:cs="仿宋_GB2312"/>
          <w:color w:val="000000" w:themeColor="text1"/>
          <w:sz w:val="32"/>
          <w:szCs w:val="32"/>
          <w14:textFill>
            <w14:solidFill>
              <w14:schemeClr w14:val="tx1"/>
            </w14:solidFill>
          </w14:textFill>
        </w:rPr>
        <w:t>022</w:t>
      </w:r>
      <w:r>
        <w:rPr>
          <w:rFonts w:hint="eastAsia" w:ascii="仿宋_GB2312" w:eastAsia="仿宋_GB2312" w:cs="仿宋_GB2312"/>
          <w:color w:val="000000" w:themeColor="text1"/>
          <w:sz w:val="32"/>
          <w:szCs w:val="32"/>
          <w14:textFill>
            <w14:solidFill>
              <w14:schemeClr w14:val="tx1"/>
            </w14:solidFill>
          </w14:textFill>
        </w:rPr>
        <w:t>年1</w:t>
      </w:r>
      <w:r>
        <w:rPr>
          <w:rFonts w:ascii="仿宋_GB2312" w:eastAsia="仿宋_GB2312" w:cs="仿宋_GB2312"/>
          <w:color w:val="000000" w:themeColor="text1"/>
          <w:sz w:val="32"/>
          <w:szCs w:val="32"/>
          <w14:textFill>
            <w14:solidFill>
              <w14:schemeClr w14:val="tx1"/>
            </w14:solidFill>
          </w14:textFill>
        </w:rPr>
        <w:t>0</w:t>
      </w:r>
      <w:r>
        <w:rPr>
          <w:rFonts w:hint="eastAsia" w:ascii="仿宋_GB2312" w:eastAsia="仿宋_GB2312" w:cs="仿宋_GB2312"/>
          <w:color w:val="000000" w:themeColor="text1"/>
          <w:sz w:val="32"/>
          <w:szCs w:val="32"/>
          <w14:textFill>
            <w14:solidFill>
              <w14:schemeClr w14:val="tx1"/>
            </w14:solidFill>
          </w14:textFill>
        </w:rPr>
        <w:t>月份启动，经申请、评审、公示、公告，龙华区共评选出</w:t>
      </w:r>
      <w:r>
        <w:rPr>
          <w:rFonts w:ascii="仿宋_GB2312" w:eastAsia="仿宋_GB2312" w:cs="仿宋_GB2312"/>
          <w:color w:val="000000" w:themeColor="text1"/>
          <w:sz w:val="32"/>
          <w:szCs w:val="32"/>
          <w14:textFill>
            <w14:solidFill>
              <w14:schemeClr w14:val="tx1"/>
            </w14:solidFill>
          </w14:textFill>
        </w:rPr>
        <w:t>575</w:t>
      </w:r>
      <w:r>
        <w:rPr>
          <w:rFonts w:hint="eastAsia" w:ascii="仿宋_GB2312" w:eastAsia="仿宋_GB2312" w:cs="仿宋_GB2312"/>
          <w:color w:val="000000" w:themeColor="text1"/>
          <w:sz w:val="32"/>
          <w:szCs w:val="32"/>
          <w14:textFill>
            <w14:solidFill>
              <w14:schemeClr w14:val="tx1"/>
            </w14:solidFill>
          </w14:textFill>
        </w:rPr>
        <w:t>个“生活垃圾分类好家庭”、</w:t>
      </w:r>
      <w:r>
        <w:rPr>
          <w:rFonts w:ascii="仿宋_GB2312" w:eastAsia="仿宋_GB2312" w:cs="仿宋_GB2312"/>
          <w:color w:val="000000" w:themeColor="text1"/>
          <w:sz w:val="32"/>
          <w:szCs w:val="32"/>
          <w14:textFill>
            <w14:solidFill>
              <w14:schemeClr w14:val="tx1"/>
            </w14:solidFill>
          </w14:textFill>
        </w:rPr>
        <w:t>119</w:t>
      </w:r>
      <w:r>
        <w:rPr>
          <w:rFonts w:hint="eastAsia" w:ascii="仿宋_GB2312" w:eastAsia="仿宋_GB2312" w:cs="仿宋_GB2312"/>
          <w:color w:val="000000" w:themeColor="text1"/>
          <w:sz w:val="32"/>
          <w:szCs w:val="32"/>
          <w14:textFill>
            <w14:solidFill>
              <w14:schemeClr w14:val="tx1"/>
            </w14:solidFill>
          </w14:textFill>
        </w:rPr>
        <w:t>名“生活垃圾分类积极个人”、</w:t>
      </w:r>
      <w:r>
        <w:rPr>
          <w:rFonts w:ascii="仿宋_GB2312" w:eastAsia="仿宋_GB2312" w:cs="仿宋_GB2312"/>
          <w:color w:val="000000" w:themeColor="text1"/>
          <w:sz w:val="32"/>
          <w:szCs w:val="32"/>
          <w14:textFill>
            <w14:solidFill>
              <w14:schemeClr w14:val="tx1"/>
            </w14:solidFill>
          </w14:textFill>
        </w:rPr>
        <w:t>33</w:t>
      </w:r>
      <w:r>
        <w:rPr>
          <w:rFonts w:hint="eastAsia" w:ascii="仿宋_GB2312" w:eastAsia="仿宋_GB2312" w:cs="仿宋_GB2312"/>
          <w:color w:val="000000" w:themeColor="text1"/>
          <w:sz w:val="32"/>
          <w:szCs w:val="32"/>
          <w14:textFill>
            <w14:solidFill>
              <w14:schemeClr w14:val="tx1"/>
            </w14:solidFill>
          </w14:textFill>
        </w:rPr>
        <w:t>个“生活垃圾分类绿色小区”及</w:t>
      </w:r>
      <w:r>
        <w:rPr>
          <w:rFonts w:ascii="仿宋_GB2312" w:eastAsia="仿宋_GB2312" w:cs="仿宋_GB2312"/>
          <w:color w:val="000000" w:themeColor="text1"/>
          <w:sz w:val="32"/>
          <w:szCs w:val="32"/>
          <w14:textFill>
            <w14:solidFill>
              <w14:schemeClr w14:val="tx1"/>
            </w14:solidFill>
          </w14:textFill>
        </w:rPr>
        <w:t>45</w:t>
      </w:r>
      <w:r>
        <w:rPr>
          <w:rFonts w:hint="eastAsia" w:ascii="仿宋_GB2312" w:eastAsia="仿宋_GB2312" w:cs="仿宋_GB2312"/>
          <w:color w:val="000000" w:themeColor="text1"/>
          <w:sz w:val="32"/>
          <w:szCs w:val="32"/>
          <w14:textFill>
            <w14:solidFill>
              <w14:schemeClr w14:val="tx1"/>
            </w14:solidFill>
          </w14:textFill>
        </w:rPr>
        <w:t>个“生活垃圾分类绿色单位”。</w:t>
      </w:r>
    </w:p>
    <w:p>
      <w:pPr>
        <w:spacing w:line="600" w:lineRule="exact"/>
        <w:jc w:val="center"/>
        <w:rPr>
          <w:rFonts w:ascii="黑体" w:hAnsi="黑体" w:eastAsia="黑体" w:cs="仿宋_GB2312"/>
          <w:sz w:val="28"/>
          <w:szCs w:val="28"/>
        </w:rPr>
      </w:pPr>
      <w:r>
        <w:rPr>
          <w:rFonts w:ascii="黑体" w:hAnsi="黑体" w:eastAsia="黑体" w:cs="仿宋_GB2312"/>
          <w:sz w:val="28"/>
          <w:szCs w:val="28"/>
        </w:rPr>
        <w:t>表</w:t>
      </w:r>
      <w:r>
        <w:rPr>
          <w:rFonts w:hint="eastAsia" w:ascii="黑体" w:hAnsi="黑体" w:eastAsia="黑体" w:cs="仿宋_GB2312"/>
          <w:sz w:val="28"/>
          <w:szCs w:val="28"/>
        </w:rPr>
        <w:t>1</w:t>
      </w:r>
      <w:r>
        <w:rPr>
          <w:rFonts w:ascii="黑体" w:hAnsi="黑体" w:eastAsia="黑体" w:cs="仿宋_GB2312"/>
          <w:sz w:val="28"/>
          <w:szCs w:val="28"/>
        </w:rPr>
        <w:t>-3 龙华区2022年生活垃圾分类工作激励评审结果</w:t>
      </w:r>
    </w:p>
    <w:tbl>
      <w:tblPr>
        <w:tblStyle w:val="26"/>
        <w:tblW w:w="8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276"/>
        <w:gridCol w:w="851"/>
        <w:gridCol w:w="850"/>
        <w:gridCol w:w="851"/>
        <w:gridCol w:w="850"/>
        <w:gridCol w:w="851"/>
        <w:gridCol w:w="851"/>
        <w:gridCol w:w="851"/>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62" w:type="dxa"/>
            <w:vMerge w:val="restart"/>
            <w:noWrap/>
            <w:vAlign w:val="center"/>
          </w:tcPr>
          <w:p>
            <w:pPr>
              <w:spacing w:line="280" w:lineRule="exact"/>
              <w:jc w:val="center"/>
              <w:rPr>
                <w:rFonts w:ascii="宋体" w:hAnsi="宋体"/>
                <w:b/>
                <w:bCs/>
              </w:rPr>
            </w:pPr>
            <w:r>
              <w:rPr>
                <w:rFonts w:ascii="宋体" w:hAnsi="宋体"/>
                <w:b/>
                <w:bCs/>
              </w:rPr>
              <w:t>序号</w:t>
            </w:r>
          </w:p>
        </w:tc>
        <w:tc>
          <w:tcPr>
            <w:tcW w:w="1276" w:type="dxa"/>
            <w:vMerge w:val="restart"/>
            <w:noWrap/>
            <w:vAlign w:val="center"/>
          </w:tcPr>
          <w:p>
            <w:pPr>
              <w:spacing w:line="280" w:lineRule="exact"/>
              <w:jc w:val="center"/>
              <w:rPr>
                <w:rFonts w:ascii="宋体" w:hAnsi="宋体"/>
                <w:b/>
                <w:bCs/>
              </w:rPr>
            </w:pPr>
            <w:r>
              <w:rPr>
                <w:rFonts w:hint="eastAsia" w:ascii="宋体" w:hAnsi="宋体"/>
                <w:b/>
                <w:bCs/>
              </w:rPr>
              <w:t>辖区</w:t>
            </w:r>
          </w:p>
        </w:tc>
        <w:tc>
          <w:tcPr>
            <w:tcW w:w="1701" w:type="dxa"/>
            <w:gridSpan w:val="2"/>
            <w:noWrap/>
            <w:vAlign w:val="center"/>
          </w:tcPr>
          <w:p>
            <w:pPr>
              <w:spacing w:line="280" w:lineRule="exact"/>
              <w:jc w:val="center"/>
              <w:rPr>
                <w:rFonts w:ascii="宋体" w:hAnsi="宋体"/>
                <w:b/>
                <w:bCs/>
              </w:rPr>
            </w:pPr>
            <w:r>
              <w:rPr>
                <w:rFonts w:ascii="宋体" w:hAnsi="宋体"/>
                <w:b/>
                <w:bCs/>
              </w:rPr>
              <w:t>家庭（个）</w:t>
            </w:r>
          </w:p>
        </w:tc>
        <w:tc>
          <w:tcPr>
            <w:tcW w:w="1701" w:type="dxa"/>
            <w:gridSpan w:val="2"/>
            <w:noWrap/>
            <w:vAlign w:val="center"/>
          </w:tcPr>
          <w:p>
            <w:pPr>
              <w:spacing w:line="280" w:lineRule="exact"/>
              <w:jc w:val="center"/>
              <w:rPr>
                <w:rFonts w:ascii="宋体" w:hAnsi="宋体"/>
                <w:b/>
                <w:bCs/>
              </w:rPr>
            </w:pPr>
            <w:r>
              <w:rPr>
                <w:rFonts w:ascii="宋体" w:hAnsi="宋体"/>
                <w:b/>
                <w:bCs/>
              </w:rPr>
              <w:t>个人（个）</w:t>
            </w:r>
          </w:p>
        </w:tc>
        <w:tc>
          <w:tcPr>
            <w:tcW w:w="1702" w:type="dxa"/>
            <w:gridSpan w:val="2"/>
            <w:noWrap/>
            <w:vAlign w:val="center"/>
          </w:tcPr>
          <w:p>
            <w:pPr>
              <w:spacing w:line="280" w:lineRule="exact"/>
              <w:jc w:val="center"/>
              <w:rPr>
                <w:rFonts w:ascii="宋体" w:hAnsi="宋体"/>
                <w:b/>
                <w:bCs/>
              </w:rPr>
            </w:pPr>
            <w:r>
              <w:rPr>
                <w:rFonts w:ascii="宋体" w:hAnsi="宋体"/>
                <w:b/>
                <w:bCs/>
              </w:rPr>
              <w:t>住宅区（个）</w:t>
            </w:r>
          </w:p>
        </w:tc>
        <w:tc>
          <w:tcPr>
            <w:tcW w:w="1701" w:type="dxa"/>
            <w:gridSpan w:val="2"/>
            <w:vAlign w:val="center"/>
          </w:tcPr>
          <w:p>
            <w:pPr>
              <w:spacing w:line="280" w:lineRule="exact"/>
              <w:jc w:val="center"/>
              <w:rPr>
                <w:rFonts w:ascii="宋体" w:hAnsi="宋体"/>
                <w:b/>
                <w:bCs/>
              </w:rPr>
            </w:pPr>
            <w:r>
              <w:rPr>
                <w:rFonts w:ascii="宋体" w:hAnsi="宋体"/>
                <w:b/>
                <w:bCs/>
              </w:rPr>
              <w:t>单位（个）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62" w:type="dxa"/>
            <w:vMerge w:val="continue"/>
            <w:vAlign w:val="center"/>
          </w:tcPr>
          <w:p>
            <w:pPr>
              <w:spacing w:line="280" w:lineRule="exact"/>
              <w:jc w:val="center"/>
              <w:rPr>
                <w:rFonts w:ascii="宋体" w:hAnsi="宋体"/>
                <w:b/>
                <w:bCs/>
              </w:rPr>
            </w:pPr>
          </w:p>
        </w:tc>
        <w:tc>
          <w:tcPr>
            <w:tcW w:w="1276" w:type="dxa"/>
            <w:vMerge w:val="continue"/>
            <w:vAlign w:val="center"/>
          </w:tcPr>
          <w:p>
            <w:pPr>
              <w:spacing w:line="280" w:lineRule="exact"/>
              <w:jc w:val="center"/>
              <w:rPr>
                <w:rFonts w:ascii="宋体" w:hAnsi="宋体"/>
                <w:b/>
                <w:bCs/>
              </w:rPr>
            </w:pPr>
          </w:p>
        </w:tc>
        <w:tc>
          <w:tcPr>
            <w:tcW w:w="851" w:type="dxa"/>
            <w:noWrap/>
            <w:vAlign w:val="center"/>
          </w:tcPr>
          <w:p>
            <w:pPr>
              <w:spacing w:line="280" w:lineRule="exact"/>
              <w:jc w:val="center"/>
              <w:rPr>
                <w:rFonts w:ascii="宋体" w:hAnsi="宋体"/>
                <w:b/>
                <w:bCs/>
              </w:rPr>
            </w:pPr>
            <w:r>
              <w:rPr>
                <w:rFonts w:ascii="宋体" w:hAnsi="宋体"/>
                <w:b/>
                <w:bCs/>
              </w:rPr>
              <w:t>限定名额</w:t>
            </w:r>
          </w:p>
        </w:tc>
        <w:tc>
          <w:tcPr>
            <w:tcW w:w="850" w:type="dxa"/>
            <w:noWrap/>
            <w:vAlign w:val="center"/>
          </w:tcPr>
          <w:p>
            <w:pPr>
              <w:spacing w:line="280" w:lineRule="exact"/>
              <w:jc w:val="center"/>
              <w:rPr>
                <w:rFonts w:ascii="宋体" w:hAnsi="宋体"/>
                <w:b/>
                <w:bCs/>
              </w:rPr>
            </w:pPr>
            <w:r>
              <w:rPr>
                <w:rFonts w:ascii="宋体" w:hAnsi="宋体"/>
                <w:b/>
                <w:bCs/>
              </w:rPr>
              <w:t>实际名额</w:t>
            </w:r>
          </w:p>
        </w:tc>
        <w:tc>
          <w:tcPr>
            <w:tcW w:w="851" w:type="dxa"/>
            <w:noWrap/>
            <w:vAlign w:val="center"/>
          </w:tcPr>
          <w:p>
            <w:pPr>
              <w:spacing w:line="280" w:lineRule="exact"/>
              <w:jc w:val="center"/>
              <w:rPr>
                <w:rFonts w:ascii="宋体" w:hAnsi="宋体"/>
                <w:b/>
                <w:bCs/>
              </w:rPr>
            </w:pPr>
            <w:r>
              <w:rPr>
                <w:rFonts w:ascii="宋体" w:hAnsi="宋体"/>
                <w:b/>
                <w:bCs/>
              </w:rPr>
              <w:t>限定名额</w:t>
            </w:r>
          </w:p>
        </w:tc>
        <w:tc>
          <w:tcPr>
            <w:tcW w:w="850" w:type="dxa"/>
            <w:vAlign w:val="center"/>
          </w:tcPr>
          <w:p>
            <w:pPr>
              <w:spacing w:line="280" w:lineRule="exact"/>
              <w:jc w:val="center"/>
              <w:rPr>
                <w:rFonts w:ascii="宋体" w:hAnsi="宋体"/>
                <w:b/>
                <w:bCs/>
              </w:rPr>
            </w:pPr>
            <w:r>
              <w:rPr>
                <w:rFonts w:hint="eastAsia" w:ascii="宋体" w:hAnsi="宋体"/>
                <w:b/>
                <w:bCs/>
              </w:rPr>
              <w:t>实际</w:t>
            </w:r>
            <w:r>
              <w:rPr>
                <w:rFonts w:ascii="宋体" w:hAnsi="宋体"/>
                <w:b/>
                <w:bCs/>
              </w:rPr>
              <w:t>名额</w:t>
            </w:r>
          </w:p>
        </w:tc>
        <w:tc>
          <w:tcPr>
            <w:tcW w:w="851" w:type="dxa"/>
            <w:vAlign w:val="center"/>
          </w:tcPr>
          <w:p>
            <w:pPr>
              <w:spacing w:line="280" w:lineRule="exact"/>
              <w:jc w:val="center"/>
              <w:rPr>
                <w:rFonts w:ascii="宋体" w:hAnsi="宋体"/>
                <w:b/>
                <w:bCs/>
              </w:rPr>
            </w:pPr>
            <w:r>
              <w:rPr>
                <w:rFonts w:hint="eastAsia" w:ascii="宋体" w:hAnsi="宋体"/>
                <w:b/>
                <w:bCs/>
              </w:rPr>
              <w:t>限定</w:t>
            </w:r>
            <w:r>
              <w:rPr>
                <w:rFonts w:ascii="宋体" w:hAnsi="宋体"/>
                <w:b/>
                <w:bCs/>
              </w:rPr>
              <w:t>名额</w:t>
            </w:r>
          </w:p>
        </w:tc>
        <w:tc>
          <w:tcPr>
            <w:tcW w:w="851" w:type="dxa"/>
            <w:noWrap/>
            <w:vAlign w:val="center"/>
          </w:tcPr>
          <w:p>
            <w:pPr>
              <w:spacing w:line="280" w:lineRule="exact"/>
              <w:jc w:val="center"/>
              <w:rPr>
                <w:rFonts w:ascii="宋体" w:hAnsi="宋体"/>
                <w:b/>
                <w:bCs/>
              </w:rPr>
            </w:pPr>
            <w:r>
              <w:rPr>
                <w:rFonts w:ascii="宋体" w:hAnsi="宋体"/>
                <w:b/>
                <w:bCs/>
              </w:rPr>
              <w:t>实际名额</w:t>
            </w:r>
          </w:p>
        </w:tc>
        <w:tc>
          <w:tcPr>
            <w:tcW w:w="851" w:type="dxa"/>
            <w:noWrap/>
            <w:vAlign w:val="center"/>
          </w:tcPr>
          <w:p>
            <w:pPr>
              <w:spacing w:line="280" w:lineRule="exact"/>
              <w:jc w:val="center"/>
              <w:rPr>
                <w:rFonts w:ascii="宋体" w:hAnsi="宋体"/>
                <w:b/>
                <w:bCs/>
              </w:rPr>
            </w:pPr>
            <w:r>
              <w:rPr>
                <w:rFonts w:ascii="宋体" w:hAnsi="宋体"/>
                <w:b/>
                <w:bCs/>
              </w:rPr>
              <w:t>限定名额</w:t>
            </w:r>
          </w:p>
        </w:tc>
        <w:tc>
          <w:tcPr>
            <w:tcW w:w="850" w:type="dxa"/>
            <w:noWrap/>
            <w:vAlign w:val="center"/>
          </w:tcPr>
          <w:p>
            <w:pPr>
              <w:spacing w:line="280" w:lineRule="exact"/>
              <w:jc w:val="center"/>
              <w:rPr>
                <w:rFonts w:ascii="宋体" w:hAnsi="宋体"/>
                <w:b/>
                <w:bCs/>
              </w:rPr>
            </w:pPr>
            <w:r>
              <w:rPr>
                <w:rFonts w:ascii="宋体" w:hAnsi="宋体"/>
                <w:b/>
                <w:bCs/>
              </w:rPr>
              <w:t>实际名额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 w:type="dxa"/>
            <w:noWrap/>
            <w:vAlign w:val="center"/>
          </w:tcPr>
          <w:p>
            <w:pPr>
              <w:spacing w:line="280" w:lineRule="exact"/>
              <w:jc w:val="center"/>
              <w:rPr>
                <w:rFonts w:ascii="宋体" w:hAnsi="宋体"/>
              </w:rPr>
            </w:pPr>
            <w:r>
              <w:rPr>
                <w:rFonts w:ascii="宋体" w:hAnsi="宋体"/>
              </w:rPr>
              <w:t>1</w:t>
            </w:r>
          </w:p>
        </w:tc>
        <w:tc>
          <w:tcPr>
            <w:tcW w:w="1276" w:type="dxa"/>
            <w:noWrap/>
            <w:vAlign w:val="center"/>
          </w:tcPr>
          <w:p>
            <w:pPr>
              <w:spacing w:line="280" w:lineRule="exact"/>
              <w:jc w:val="center"/>
              <w:rPr>
                <w:rFonts w:ascii="宋体" w:hAnsi="宋体"/>
              </w:rPr>
            </w:pPr>
            <w:r>
              <w:rPr>
                <w:rFonts w:ascii="宋体" w:hAnsi="宋体"/>
              </w:rPr>
              <w:t>观湖</w:t>
            </w:r>
            <w:r>
              <w:rPr>
                <w:rFonts w:hint="eastAsia" w:ascii="宋体" w:hAnsi="宋体"/>
              </w:rPr>
              <w:t>街道</w:t>
            </w:r>
          </w:p>
        </w:tc>
        <w:tc>
          <w:tcPr>
            <w:tcW w:w="851" w:type="dxa"/>
            <w:noWrap/>
            <w:vAlign w:val="center"/>
          </w:tcPr>
          <w:p>
            <w:pPr>
              <w:spacing w:line="280" w:lineRule="exact"/>
              <w:jc w:val="center"/>
              <w:rPr>
                <w:rFonts w:ascii="宋体" w:hAnsi="宋体"/>
              </w:rPr>
            </w:pPr>
            <w:r>
              <w:rPr>
                <w:rFonts w:ascii="宋体" w:hAnsi="宋体"/>
              </w:rPr>
              <w:t>65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65</w:t>
            </w:r>
          </w:p>
        </w:tc>
        <w:tc>
          <w:tcPr>
            <w:tcW w:w="851" w:type="dxa"/>
            <w:noWrap/>
            <w:vAlign w:val="center"/>
          </w:tcPr>
          <w:p>
            <w:pPr>
              <w:spacing w:line="280" w:lineRule="exact"/>
              <w:jc w:val="center"/>
              <w:rPr>
                <w:rFonts w:ascii="宋体" w:hAnsi="宋体"/>
              </w:rPr>
            </w:pPr>
            <w:r>
              <w:rPr>
                <w:rFonts w:ascii="宋体" w:hAnsi="宋体"/>
              </w:rPr>
              <w:t>20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ascii="宋体" w:hAnsi="宋体"/>
              </w:rPr>
            </w:pPr>
            <w:r>
              <w:rPr>
                <w:rFonts w:hint="eastAsia" w:ascii="宋体" w:hAnsi="宋体"/>
              </w:rPr>
              <w:t>20</w:t>
            </w:r>
          </w:p>
        </w:tc>
        <w:tc>
          <w:tcPr>
            <w:tcW w:w="851" w:type="dxa"/>
            <w:vAlign w:val="center"/>
          </w:tcPr>
          <w:p>
            <w:pPr>
              <w:spacing w:line="280" w:lineRule="exact"/>
              <w:jc w:val="center"/>
              <w:rPr>
                <w:rFonts w:ascii="宋体" w:hAnsi="宋体"/>
              </w:rPr>
            </w:pPr>
            <w:r>
              <w:rPr>
                <w:rFonts w:ascii="宋体" w:hAnsi="宋体"/>
              </w:rPr>
              <w:t>5</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5</w:t>
            </w:r>
          </w:p>
        </w:tc>
        <w:tc>
          <w:tcPr>
            <w:tcW w:w="851" w:type="dxa"/>
            <w:noWrap/>
            <w:vAlign w:val="center"/>
          </w:tcPr>
          <w:p>
            <w:pPr>
              <w:spacing w:line="280" w:lineRule="exact"/>
              <w:jc w:val="center"/>
              <w:rPr>
                <w:rFonts w:ascii="宋体" w:hAnsi="宋体"/>
              </w:rPr>
            </w:pPr>
            <w:r>
              <w:rPr>
                <w:rFonts w:ascii="宋体" w:hAnsi="宋体"/>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 w:type="dxa"/>
            <w:noWrap/>
            <w:vAlign w:val="center"/>
          </w:tcPr>
          <w:p>
            <w:pPr>
              <w:spacing w:line="280" w:lineRule="exact"/>
              <w:jc w:val="center"/>
              <w:rPr>
                <w:rFonts w:ascii="宋体" w:hAnsi="宋体"/>
              </w:rPr>
            </w:pPr>
            <w:r>
              <w:rPr>
                <w:rFonts w:ascii="宋体" w:hAnsi="宋体"/>
              </w:rPr>
              <w:t>2</w:t>
            </w:r>
          </w:p>
        </w:tc>
        <w:tc>
          <w:tcPr>
            <w:tcW w:w="1276" w:type="dxa"/>
            <w:noWrap/>
            <w:vAlign w:val="center"/>
          </w:tcPr>
          <w:p>
            <w:pPr>
              <w:spacing w:line="280" w:lineRule="exact"/>
              <w:jc w:val="center"/>
              <w:rPr>
                <w:rFonts w:ascii="宋体" w:hAnsi="宋体"/>
              </w:rPr>
            </w:pPr>
            <w:r>
              <w:rPr>
                <w:rFonts w:ascii="宋体" w:hAnsi="宋体"/>
              </w:rPr>
              <w:t>民治</w:t>
            </w:r>
            <w:r>
              <w:rPr>
                <w:rFonts w:hint="eastAsia" w:ascii="宋体" w:hAnsi="宋体"/>
              </w:rPr>
              <w:t>街道</w:t>
            </w:r>
          </w:p>
        </w:tc>
        <w:tc>
          <w:tcPr>
            <w:tcW w:w="851" w:type="dxa"/>
            <w:noWrap/>
            <w:vAlign w:val="center"/>
          </w:tcPr>
          <w:p>
            <w:pPr>
              <w:spacing w:line="280" w:lineRule="exact"/>
              <w:jc w:val="center"/>
              <w:rPr>
                <w:rFonts w:ascii="宋体" w:hAnsi="宋体"/>
              </w:rPr>
            </w:pPr>
            <w:r>
              <w:rPr>
                <w:rFonts w:ascii="宋体" w:hAnsi="宋体"/>
              </w:rPr>
              <w:t>210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210</w:t>
            </w:r>
          </w:p>
        </w:tc>
        <w:tc>
          <w:tcPr>
            <w:tcW w:w="851" w:type="dxa"/>
            <w:noWrap/>
            <w:vAlign w:val="center"/>
          </w:tcPr>
          <w:p>
            <w:pPr>
              <w:spacing w:line="280" w:lineRule="exact"/>
              <w:jc w:val="center"/>
              <w:rPr>
                <w:rFonts w:ascii="宋体" w:hAnsi="宋体"/>
              </w:rPr>
            </w:pPr>
            <w:r>
              <w:rPr>
                <w:rFonts w:ascii="宋体" w:hAnsi="宋体"/>
              </w:rPr>
              <w:t>25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ascii="宋体" w:hAnsi="宋体"/>
              </w:rPr>
            </w:pPr>
            <w:r>
              <w:rPr>
                <w:rFonts w:hint="eastAsia" w:ascii="宋体" w:hAnsi="宋体"/>
              </w:rPr>
              <w:t>25</w:t>
            </w:r>
          </w:p>
        </w:tc>
        <w:tc>
          <w:tcPr>
            <w:tcW w:w="851" w:type="dxa"/>
            <w:vAlign w:val="center"/>
          </w:tcPr>
          <w:p>
            <w:pPr>
              <w:spacing w:line="280" w:lineRule="exact"/>
              <w:jc w:val="center"/>
              <w:rPr>
                <w:rFonts w:ascii="宋体" w:hAnsi="宋体"/>
              </w:rPr>
            </w:pPr>
            <w:r>
              <w:rPr>
                <w:rFonts w:ascii="宋体" w:hAnsi="宋体"/>
              </w:rPr>
              <w:t>9</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9</w:t>
            </w:r>
          </w:p>
        </w:tc>
        <w:tc>
          <w:tcPr>
            <w:tcW w:w="851" w:type="dxa"/>
            <w:noWrap/>
            <w:vAlign w:val="center"/>
          </w:tcPr>
          <w:p>
            <w:pPr>
              <w:spacing w:line="280" w:lineRule="exact"/>
              <w:jc w:val="center"/>
              <w:rPr>
                <w:rFonts w:ascii="宋体" w:hAnsi="宋体"/>
              </w:rPr>
            </w:pPr>
            <w:r>
              <w:rPr>
                <w:rFonts w:ascii="宋体" w:hAnsi="宋体"/>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 w:type="dxa"/>
            <w:noWrap/>
            <w:vAlign w:val="center"/>
          </w:tcPr>
          <w:p>
            <w:pPr>
              <w:spacing w:line="280" w:lineRule="exact"/>
              <w:jc w:val="center"/>
              <w:rPr>
                <w:rFonts w:ascii="宋体" w:hAnsi="宋体"/>
              </w:rPr>
            </w:pPr>
            <w:r>
              <w:rPr>
                <w:rFonts w:ascii="宋体" w:hAnsi="宋体"/>
              </w:rPr>
              <w:t>3</w:t>
            </w:r>
          </w:p>
        </w:tc>
        <w:tc>
          <w:tcPr>
            <w:tcW w:w="1276" w:type="dxa"/>
            <w:noWrap/>
            <w:vAlign w:val="center"/>
          </w:tcPr>
          <w:p>
            <w:pPr>
              <w:spacing w:line="280" w:lineRule="exact"/>
              <w:jc w:val="center"/>
              <w:rPr>
                <w:rFonts w:ascii="宋体" w:hAnsi="宋体"/>
              </w:rPr>
            </w:pPr>
            <w:r>
              <w:rPr>
                <w:rFonts w:ascii="宋体" w:hAnsi="宋体"/>
              </w:rPr>
              <w:t>龙华</w:t>
            </w:r>
            <w:r>
              <w:rPr>
                <w:rFonts w:hint="eastAsia" w:ascii="宋体" w:hAnsi="宋体"/>
              </w:rPr>
              <w:t>街道</w:t>
            </w:r>
          </w:p>
        </w:tc>
        <w:tc>
          <w:tcPr>
            <w:tcW w:w="851" w:type="dxa"/>
            <w:noWrap/>
            <w:vAlign w:val="center"/>
          </w:tcPr>
          <w:p>
            <w:pPr>
              <w:spacing w:line="280" w:lineRule="exact"/>
              <w:jc w:val="center"/>
              <w:rPr>
                <w:rFonts w:ascii="宋体" w:hAnsi="宋体"/>
              </w:rPr>
            </w:pPr>
            <w:r>
              <w:rPr>
                <w:rFonts w:ascii="宋体" w:hAnsi="宋体"/>
              </w:rPr>
              <w:t>160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148</w:t>
            </w:r>
          </w:p>
        </w:tc>
        <w:tc>
          <w:tcPr>
            <w:tcW w:w="851" w:type="dxa"/>
            <w:noWrap/>
            <w:vAlign w:val="center"/>
          </w:tcPr>
          <w:p>
            <w:pPr>
              <w:spacing w:line="280" w:lineRule="exact"/>
              <w:jc w:val="center"/>
              <w:rPr>
                <w:rFonts w:ascii="宋体" w:hAnsi="宋体"/>
              </w:rPr>
            </w:pPr>
            <w:r>
              <w:rPr>
                <w:rFonts w:ascii="宋体" w:hAnsi="宋体"/>
              </w:rPr>
              <w:t>25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ascii="宋体" w:hAnsi="宋体"/>
              </w:rPr>
            </w:pPr>
            <w:r>
              <w:rPr>
                <w:rFonts w:hint="eastAsia" w:ascii="宋体" w:hAnsi="宋体"/>
              </w:rPr>
              <w:t>25</w:t>
            </w:r>
          </w:p>
        </w:tc>
        <w:tc>
          <w:tcPr>
            <w:tcW w:w="851" w:type="dxa"/>
            <w:vAlign w:val="center"/>
          </w:tcPr>
          <w:p>
            <w:pPr>
              <w:spacing w:line="280" w:lineRule="exact"/>
              <w:jc w:val="center"/>
              <w:rPr>
                <w:rFonts w:ascii="宋体" w:hAnsi="宋体"/>
              </w:rPr>
            </w:pPr>
            <w:r>
              <w:rPr>
                <w:rFonts w:ascii="宋体" w:hAnsi="宋体"/>
              </w:rPr>
              <w:t>10</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10</w:t>
            </w:r>
          </w:p>
        </w:tc>
        <w:tc>
          <w:tcPr>
            <w:tcW w:w="851" w:type="dxa"/>
            <w:noWrap/>
            <w:vAlign w:val="center"/>
          </w:tcPr>
          <w:p>
            <w:pPr>
              <w:spacing w:line="280" w:lineRule="exact"/>
              <w:jc w:val="center"/>
              <w:rPr>
                <w:rFonts w:ascii="宋体" w:hAnsi="宋体"/>
              </w:rPr>
            </w:pPr>
            <w:r>
              <w:rPr>
                <w:rFonts w:ascii="宋体" w:hAnsi="宋体"/>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 w:type="dxa"/>
            <w:noWrap/>
            <w:vAlign w:val="center"/>
          </w:tcPr>
          <w:p>
            <w:pPr>
              <w:spacing w:line="280" w:lineRule="exact"/>
              <w:jc w:val="center"/>
              <w:rPr>
                <w:rFonts w:ascii="宋体" w:hAnsi="宋体"/>
              </w:rPr>
            </w:pPr>
            <w:r>
              <w:rPr>
                <w:rFonts w:ascii="宋体" w:hAnsi="宋体"/>
              </w:rPr>
              <w:t>4</w:t>
            </w:r>
          </w:p>
        </w:tc>
        <w:tc>
          <w:tcPr>
            <w:tcW w:w="1276" w:type="dxa"/>
            <w:noWrap/>
            <w:vAlign w:val="center"/>
          </w:tcPr>
          <w:p>
            <w:pPr>
              <w:spacing w:line="280" w:lineRule="exact"/>
              <w:jc w:val="center"/>
              <w:rPr>
                <w:rFonts w:ascii="宋体" w:hAnsi="宋体"/>
              </w:rPr>
            </w:pPr>
            <w:r>
              <w:rPr>
                <w:rFonts w:ascii="宋体" w:hAnsi="宋体"/>
              </w:rPr>
              <w:t>大浪</w:t>
            </w:r>
            <w:r>
              <w:rPr>
                <w:rFonts w:hint="eastAsia" w:ascii="宋体" w:hAnsi="宋体"/>
              </w:rPr>
              <w:t>街道</w:t>
            </w:r>
          </w:p>
        </w:tc>
        <w:tc>
          <w:tcPr>
            <w:tcW w:w="851" w:type="dxa"/>
            <w:noWrap/>
            <w:vAlign w:val="center"/>
          </w:tcPr>
          <w:p>
            <w:pPr>
              <w:spacing w:line="280" w:lineRule="exact"/>
              <w:jc w:val="center"/>
              <w:rPr>
                <w:rFonts w:ascii="宋体" w:hAnsi="宋体"/>
              </w:rPr>
            </w:pPr>
            <w:r>
              <w:rPr>
                <w:rFonts w:ascii="宋体" w:hAnsi="宋体"/>
              </w:rPr>
              <w:t>120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120</w:t>
            </w:r>
          </w:p>
        </w:tc>
        <w:tc>
          <w:tcPr>
            <w:tcW w:w="851" w:type="dxa"/>
            <w:noWrap/>
            <w:vAlign w:val="center"/>
          </w:tcPr>
          <w:p>
            <w:pPr>
              <w:spacing w:line="280" w:lineRule="exact"/>
              <w:jc w:val="center"/>
              <w:rPr>
                <w:rFonts w:ascii="宋体" w:hAnsi="宋体"/>
              </w:rPr>
            </w:pPr>
            <w:r>
              <w:rPr>
                <w:rFonts w:ascii="宋体" w:hAnsi="宋体"/>
              </w:rPr>
              <w:t>20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ascii="宋体" w:hAnsi="宋体"/>
              </w:rPr>
            </w:pPr>
            <w:r>
              <w:rPr>
                <w:rFonts w:hint="eastAsia" w:ascii="宋体" w:hAnsi="宋体"/>
              </w:rPr>
              <w:t>20</w:t>
            </w:r>
          </w:p>
        </w:tc>
        <w:tc>
          <w:tcPr>
            <w:tcW w:w="851" w:type="dxa"/>
            <w:vAlign w:val="center"/>
          </w:tcPr>
          <w:p>
            <w:pPr>
              <w:spacing w:line="280" w:lineRule="exact"/>
              <w:jc w:val="center"/>
              <w:rPr>
                <w:rFonts w:ascii="宋体" w:hAnsi="宋体"/>
              </w:rPr>
            </w:pPr>
            <w:r>
              <w:rPr>
                <w:rFonts w:ascii="宋体" w:hAnsi="宋体"/>
              </w:rPr>
              <w:t>6</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6</w:t>
            </w:r>
          </w:p>
        </w:tc>
        <w:tc>
          <w:tcPr>
            <w:tcW w:w="851" w:type="dxa"/>
            <w:noWrap/>
            <w:vAlign w:val="center"/>
          </w:tcPr>
          <w:p>
            <w:pPr>
              <w:spacing w:line="280" w:lineRule="exact"/>
              <w:jc w:val="center"/>
              <w:rPr>
                <w:rFonts w:ascii="宋体" w:hAnsi="宋体"/>
              </w:rPr>
            </w:pPr>
            <w:r>
              <w:rPr>
                <w:rFonts w:ascii="宋体" w:hAnsi="宋体"/>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 w:type="dxa"/>
            <w:noWrap/>
            <w:vAlign w:val="center"/>
          </w:tcPr>
          <w:p>
            <w:pPr>
              <w:spacing w:line="280" w:lineRule="exact"/>
              <w:jc w:val="center"/>
              <w:rPr>
                <w:rFonts w:ascii="宋体" w:hAnsi="宋体"/>
              </w:rPr>
            </w:pPr>
            <w:r>
              <w:rPr>
                <w:rFonts w:ascii="宋体" w:hAnsi="宋体"/>
              </w:rPr>
              <w:t>5</w:t>
            </w:r>
          </w:p>
        </w:tc>
        <w:tc>
          <w:tcPr>
            <w:tcW w:w="1276" w:type="dxa"/>
            <w:noWrap/>
            <w:vAlign w:val="center"/>
          </w:tcPr>
          <w:p>
            <w:pPr>
              <w:spacing w:line="280" w:lineRule="exact"/>
              <w:jc w:val="center"/>
              <w:rPr>
                <w:rFonts w:ascii="宋体" w:hAnsi="宋体"/>
              </w:rPr>
            </w:pPr>
            <w:r>
              <w:rPr>
                <w:rFonts w:ascii="宋体" w:hAnsi="宋体"/>
              </w:rPr>
              <w:t>福城</w:t>
            </w:r>
            <w:r>
              <w:rPr>
                <w:rFonts w:hint="eastAsia" w:ascii="宋体" w:hAnsi="宋体"/>
              </w:rPr>
              <w:t>街道</w:t>
            </w:r>
          </w:p>
        </w:tc>
        <w:tc>
          <w:tcPr>
            <w:tcW w:w="851" w:type="dxa"/>
            <w:noWrap/>
            <w:vAlign w:val="center"/>
          </w:tcPr>
          <w:p>
            <w:pPr>
              <w:spacing w:line="280" w:lineRule="exact"/>
              <w:jc w:val="center"/>
              <w:rPr>
                <w:rFonts w:ascii="宋体" w:hAnsi="宋体"/>
              </w:rPr>
            </w:pPr>
            <w:r>
              <w:rPr>
                <w:rFonts w:ascii="宋体" w:hAnsi="宋体"/>
              </w:rPr>
              <w:t>50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17</w:t>
            </w:r>
          </w:p>
        </w:tc>
        <w:tc>
          <w:tcPr>
            <w:tcW w:w="851" w:type="dxa"/>
            <w:noWrap/>
            <w:vAlign w:val="center"/>
          </w:tcPr>
          <w:p>
            <w:pPr>
              <w:spacing w:line="280" w:lineRule="exact"/>
              <w:jc w:val="center"/>
              <w:rPr>
                <w:rFonts w:ascii="宋体" w:hAnsi="宋体"/>
              </w:rPr>
            </w:pPr>
            <w:r>
              <w:rPr>
                <w:rFonts w:ascii="宋体" w:hAnsi="宋体"/>
              </w:rPr>
              <w:t>20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ascii="宋体" w:hAnsi="宋体"/>
              </w:rPr>
            </w:pPr>
            <w:r>
              <w:rPr>
                <w:rFonts w:hint="eastAsia" w:ascii="宋体" w:hAnsi="宋体"/>
              </w:rPr>
              <w:t>20</w:t>
            </w:r>
          </w:p>
        </w:tc>
        <w:tc>
          <w:tcPr>
            <w:tcW w:w="851" w:type="dxa"/>
            <w:vAlign w:val="center"/>
          </w:tcPr>
          <w:p>
            <w:pPr>
              <w:spacing w:line="280" w:lineRule="exact"/>
              <w:jc w:val="center"/>
              <w:rPr>
                <w:rFonts w:ascii="宋体" w:hAnsi="宋体"/>
              </w:rPr>
            </w:pPr>
            <w:r>
              <w:rPr>
                <w:rFonts w:ascii="宋体" w:hAnsi="宋体"/>
              </w:rPr>
              <w:t>4</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1</w:t>
            </w:r>
          </w:p>
        </w:tc>
        <w:tc>
          <w:tcPr>
            <w:tcW w:w="851" w:type="dxa"/>
            <w:noWrap/>
            <w:vAlign w:val="center"/>
          </w:tcPr>
          <w:p>
            <w:pPr>
              <w:spacing w:line="280" w:lineRule="exact"/>
              <w:jc w:val="center"/>
              <w:rPr>
                <w:rFonts w:ascii="宋体" w:hAnsi="宋体"/>
              </w:rPr>
            </w:pPr>
            <w:r>
              <w:rPr>
                <w:rFonts w:ascii="宋体" w:hAnsi="宋体"/>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 w:type="dxa"/>
            <w:noWrap/>
            <w:vAlign w:val="center"/>
          </w:tcPr>
          <w:p>
            <w:pPr>
              <w:spacing w:line="280" w:lineRule="exact"/>
              <w:jc w:val="center"/>
              <w:rPr>
                <w:rFonts w:ascii="宋体" w:hAnsi="宋体"/>
              </w:rPr>
            </w:pPr>
            <w:r>
              <w:rPr>
                <w:rFonts w:ascii="宋体" w:hAnsi="宋体"/>
              </w:rPr>
              <w:t>6</w:t>
            </w:r>
          </w:p>
        </w:tc>
        <w:tc>
          <w:tcPr>
            <w:tcW w:w="1276" w:type="dxa"/>
            <w:noWrap/>
            <w:vAlign w:val="center"/>
          </w:tcPr>
          <w:p>
            <w:pPr>
              <w:spacing w:line="280" w:lineRule="exact"/>
              <w:jc w:val="center"/>
              <w:rPr>
                <w:rFonts w:ascii="宋体" w:hAnsi="宋体"/>
              </w:rPr>
            </w:pPr>
            <w:r>
              <w:rPr>
                <w:rFonts w:ascii="宋体" w:hAnsi="宋体"/>
              </w:rPr>
              <w:t>观澜</w:t>
            </w:r>
            <w:r>
              <w:rPr>
                <w:rFonts w:hint="eastAsia" w:ascii="宋体" w:hAnsi="宋体"/>
              </w:rPr>
              <w:t>街道</w:t>
            </w:r>
          </w:p>
        </w:tc>
        <w:tc>
          <w:tcPr>
            <w:tcW w:w="851" w:type="dxa"/>
            <w:noWrap/>
            <w:vAlign w:val="center"/>
          </w:tcPr>
          <w:p>
            <w:pPr>
              <w:spacing w:line="280" w:lineRule="exact"/>
              <w:jc w:val="center"/>
              <w:rPr>
                <w:rFonts w:ascii="宋体" w:hAnsi="宋体"/>
              </w:rPr>
            </w:pPr>
            <w:r>
              <w:rPr>
                <w:rFonts w:ascii="宋体" w:hAnsi="宋体"/>
              </w:rPr>
              <w:t>40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15</w:t>
            </w:r>
          </w:p>
        </w:tc>
        <w:tc>
          <w:tcPr>
            <w:tcW w:w="851" w:type="dxa"/>
            <w:noWrap/>
            <w:vAlign w:val="center"/>
          </w:tcPr>
          <w:p>
            <w:pPr>
              <w:spacing w:line="280" w:lineRule="exact"/>
              <w:jc w:val="center"/>
              <w:rPr>
                <w:rFonts w:ascii="宋体" w:hAnsi="宋体"/>
              </w:rPr>
            </w:pPr>
            <w:r>
              <w:rPr>
                <w:rFonts w:ascii="宋体" w:hAnsi="宋体"/>
              </w:rPr>
              <w:t>20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ascii="宋体" w:hAnsi="宋体"/>
              </w:rPr>
            </w:pPr>
            <w:r>
              <w:rPr>
                <w:rFonts w:hint="eastAsia" w:ascii="宋体" w:hAnsi="宋体"/>
              </w:rPr>
              <w:t>9</w:t>
            </w:r>
          </w:p>
        </w:tc>
        <w:tc>
          <w:tcPr>
            <w:tcW w:w="851" w:type="dxa"/>
            <w:vAlign w:val="center"/>
          </w:tcPr>
          <w:p>
            <w:pPr>
              <w:spacing w:line="280" w:lineRule="exact"/>
              <w:jc w:val="center"/>
              <w:rPr>
                <w:rFonts w:ascii="宋体" w:hAnsi="宋体"/>
              </w:rPr>
            </w:pPr>
            <w:r>
              <w:rPr>
                <w:rFonts w:ascii="宋体" w:hAnsi="宋体"/>
              </w:rPr>
              <w:t>6</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2</w:t>
            </w:r>
          </w:p>
        </w:tc>
        <w:tc>
          <w:tcPr>
            <w:tcW w:w="851" w:type="dxa"/>
            <w:noWrap/>
            <w:vAlign w:val="center"/>
          </w:tcPr>
          <w:p>
            <w:pPr>
              <w:spacing w:line="280" w:lineRule="exact"/>
              <w:jc w:val="center"/>
              <w:rPr>
                <w:rFonts w:ascii="宋体" w:hAnsi="宋体"/>
              </w:rPr>
            </w:pPr>
            <w:r>
              <w:rPr>
                <w:rFonts w:ascii="宋体" w:hAnsi="宋体"/>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ascii="宋体" w:hAnsi="宋体"/>
              </w:rPr>
            </w:pPr>
            <w:r>
              <w:rPr>
                <w:rFonts w:hint="eastAsia" w:ascii="宋体" w:hAnsi="宋体"/>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 w:type="dxa"/>
            <w:noWrap/>
            <w:vAlign w:val="center"/>
          </w:tcPr>
          <w:p>
            <w:pPr>
              <w:spacing w:line="280" w:lineRule="exact"/>
              <w:jc w:val="center"/>
              <w:rPr>
                <w:rFonts w:ascii="宋体" w:hAnsi="宋体"/>
              </w:rPr>
            </w:pPr>
            <w:r>
              <w:rPr>
                <w:rFonts w:ascii="宋体" w:hAnsi="宋体"/>
              </w:rPr>
              <w:t>7</w:t>
            </w:r>
          </w:p>
        </w:tc>
        <w:tc>
          <w:tcPr>
            <w:tcW w:w="1276" w:type="dxa"/>
            <w:noWrap/>
            <w:vAlign w:val="center"/>
          </w:tcPr>
          <w:p>
            <w:pPr>
              <w:spacing w:line="280" w:lineRule="exact"/>
              <w:jc w:val="center"/>
              <w:rPr>
                <w:rFonts w:ascii="宋体" w:hAnsi="宋体"/>
              </w:rPr>
            </w:pPr>
            <w:r>
              <w:rPr>
                <w:rFonts w:ascii="宋体" w:hAnsi="宋体"/>
              </w:rPr>
              <w:t>区教育局</w:t>
            </w:r>
          </w:p>
        </w:tc>
        <w:tc>
          <w:tcPr>
            <w:tcW w:w="851" w:type="dxa"/>
            <w:noWrap/>
            <w:vAlign w:val="center"/>
          </w:tcPr>
          <w:p>
            <w:pPr>
              <w:spacing w:line="280" w:lineRule="exact"/>
              <w:jc w:val="center"/>
              <w:rPr>
                <w:rFonts w:ascii="宋体" w:hAnsi="宋体"/>
              </w:rPr>
            </w:pPr>
            <w:r>
              <w:rPr>
                <w:rFonts w:ascii="宋体" w:hAnsi="宋体"/>
              </w:rPr>
              <w:t>/</w:t>
            </w:r>
          </w:p>
        </w:tc>
        <w:tc>
          <w:tcPr>
            <w:tcW w:w="850" w:type="dxa"/>
            <w:noWrap/>
            <w:vAlign w:val="center"/>
          </w:tcPr>
          <w:p>
            <w:pPr>
              <w:spacing w:line="280" w:lineRule="exact"/>
              <w:jc w:val="center"/>
              <w:rPr>
                <w:rFonts w:ascii="宋体" w:hAnsi="宋体"/>
              </w:rPr>
            </w:pPr>
            <w:r>
              <w:rPr>
                <w:rFonts w:ascii="宋体" w:hAnsi="宋体"/>
              </w:rPr>
              <w:t>/</w:t>
            </w:r>
          </w:p>
        </w:tc>
        <w:tc>
          <w:tcPr>
            <w:tcW w:w="851" w:type="dxa"/>
            <w:noWrap/>
            <w:vAlign w:val="center"/>
          </w:tcPr>
          <w:p>
            <w:pPr>
              <w:spacing w:line="280" w:lineRule="exact"/>
              <w:jc w:val="center"/>
              <w:rPr>
                <w:rFonts w:ascii="宋体" w:hAnsi="宋体"/>
              </w:rPr>
            </w:pPr>
            <w:r>
              <w:rPr>
                <w:rFonts w:ascii="宋体" w:hAnsi="宋体"/>
              </w:rPr>
              <w:t>/</w:t>
            </w:r>
          </w:p>
        </w:tc>
        <w:tc>
          <w:tcPr>
            <w:tcW w:w="850" w:type="dxa"/>
            <w:vAlign w:val="center"/>
          </w:tcPr>
          <w:p>
            <w:pPr>
              <w:spacing w:line="280" w:lineRule="exact"/>
              <w:jc w:val="center"/>
              <w:rPr>
                <w:rFonts w:ascii="宋体" w:hAnsi="宋体"/>
              </w:rPr>
            </w:pPr>
            <w:r>
              <w:rPr>
                <w:rFonts w:ascii="宋体" w:hAnsi="宋体"/>
              </w:rPr>
              <w:t>/</w:t>
            </w:r>
          </w:p>
        </w:tc>
        <w:tc>
          <w:tcPr>
            <w:tcW w:w="851" w:type="dxa"/>
            <w:vAlign w:val="center"/>
          </w:tcPr>
          <w:p>
            <w:pPr>
              <w:spacing w:line="280" w:lineRule="exact"/>
              <w:jc w:val="center"/>
              <w:rPr>
                <w:rFonts w:ascii="宋体" w:hAnsi="宋体"/>
              </w:rPr>
            </w:pPr>
            <w:r>
              <w:rPr>
                <w:rFonts w:ascii="宋体" w:hAnsi="宋体"/>
              </w:rPr>
              <w:t>/</w:t>
            </w:r>
          </w:p>
        </w:tc>
        <w:tc>
          <w:tcPr>
            <w:tcW w:w="851" w:type="dxa"/>
            <w:noWrap/>
            <w:vAlign w:val="center"/>
          </w:tcPr>
          <w:p>
            <w:pPr>
              <w:spacing w:line="280" w:lineRule="exact"/>
              <w:jc w:val="center"/>
              <w:rPr>
                <w:rFonts w:ascii="宋体" w:hAnsi="宋体"/>
              </w:rPr>
            </w:pPr>
            <w:r>
              <w:rPr>
                <w:rFonts w:ascii="宋体" w:hAnsi="宋体"/>
              </w:rPr>
              <w:t>/</w:t>
            </w:r>
          </w:p>
        </w:tc>
        <w:tc>
          <w:tcPr>
            <w:tcW w:w="851" w:type="dxa"/>
            <w:noWrap/>
            <w:vAlign w:val="center"/>
          </w:tcPr>
          <w:p>
            <w:pPr>
              <w:spacing w:line="280" w:lineRule="exact"/>
              <w:jc w:val="center"/>
              <w:rPr>
                <w:rFonts w:ascii="宋体" w:hAnsi="宋体"/>
              </w:rPr>
            </w:pPr>
            <w:r>
              <w:rPr>
                <w:rFonts w:ascii="宋体" w:hAnsi="宋体"/>
              </w:rPr>
              <w:t>5</w:t>
            </w:r>
          </w:p>
        </w:tc>
        <w:tc>
          <w:tcPr>
            <w:tcW w:w="850" w:type="dxa"/>
            <w:noWrap/>
            <w:vAlign w:val="center"/>
          </w:tcPr>
          <w:p>
            <w:pPr>
              <w:spacing w:line="280" w:lineRule="exact"/>
              <w:jc w:val="center"/>
              <w:rPr>
                <w:rFonts w:ascii="宋体" w:hAnsi="宋体"/>
              </w:rPr>
            </w:pPr>
            <w:r>
              <w:rPr>
                <w:rFonts w:ascii="宋体" w:hAns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 w:type="dxa"/>
            <w:noWrap/>
            <w:vAlign w:val="center"/>
          </w:tcPr>
          <w:p>
            <w:pPr>
              <w:spacing w:line="280" w:lineRule="exact"/>
              <w:jc w:val="center"/>
              <w:rPr>
                <w:rFonts w:ascii="宋体" w:hAnsi="宋体"/>
              </w:rPr>
            </w:pPr>
            <w:r>
              <w:rPr>
                <w:rFonts w:ascii="宋体" w:hAnsi="宋体"/>
              </w:rPr>
              <w:t>8</w:t>
            </w:r>
          </w:p>
        </w:tc>
        <w:tc>
          <w:tcPr>
            <w:tcW w:w="1276" w:type="dxa"/>
            <w:noWrap/>
            <w:vAlign w:val="center"/>
          </w:tcPr>
          <w:p>
            <w:pPr>
              <w:spacing w:line="280" w:lineRule="exact"/>
              <w:jc w:val="center"/>
              <w:rPr>
                <w:rFonts w:ascii="宋体" w:hAnsi="宋体"/>
              </w:rPr>
            </w:pPr>
            <w:r>
              <w:rPr>
                <w:rFonts w:ascii="宋体" w:hAnsi="宋体"/>
              </w:rPr>
              <w:t>区城管</w:t>
            </w:r>
            <w:r>
              <w:rPr>
                <w:rFonts w:hint="eastAsia" w:ascii="宋体" w:hAnsi="宋体"/>
              </w:rPr>
              <w:t>和综合执法局</w:t>
            </w:r>
          </w:p>
        </w:tc>
        <w:tc>
          <w:tcPr>
            <w:tcW w:w="851" w:type="dxa"/>
            <w:noWrap/>
            <w:vAlign w:val="center"/>
          </w:tcPr>
          <w:p>
            <w:pPr>
              <w:spacing w:line="280" w:lineRule="exact"/>
              <w:jc w:val="center"/>
              <w:rPr>
                <w:rFonts w:ascii="宋体" w:hAnsi="宋体"/>
              </w:rPr>
            </w:pPr>
            <w:r>
              <w:rPr>
                <w:rFonts w:ascii="宋体" w:hAnsi="宋体"/>
              </w:rPr>
              <w:t>/</w:t>
            </w:r>
          </w:p>
        </w:tc>
        <w:tc>
          <w:tcPr>
            <w:tcW w:w="850" w:type="dxa"/>
            <w:noWrap/>
            <w:vAlign w:val="center"/>
          </w:tcPr>
          <w:p>
            <w:pPr>
              <w:spacing w:line="280" w:lineRule="exact"/>
              <w:jc w:val="center"/>
              <w:rPr>
                <w:rFonts w:ascii="宋体" w:hAnsi="宋体"/>
              </w:rPr>
            </w:pPr>
            <w:r>
              <w:rPr>
                <w:rFonts w:ascii="宋体" w:hAnsi="宋体"/>
              </w:rPr>
              <w:t>/</w:t>
            </w:r>
          </w:p>
        </w:tc>
        <w:tc>
          <w:tcPr>
            <w:tcW w:w="851" w:type="dxa"/>
            <w:noWrap/>
            <w:vAlign w:val="center"/>
          </w:tcPr>
          <w:p>
            <w:pPr>
              <w:spacing w:line="280" w:lineRule="exact"/>
              <w:jc w:val="center"/>
              <w:rPr>
                <w:rFonts w:ascii="宋体" w:hAnsi="宋体"/>
              </w:rPr>
            </w:pPr>
            <w:r>
              <w:rPr>
                <w:rFonts w:ascii="宋体" w:hAnsi="宋体"/>
              </w:rPr>
              <w:t>/</w:t>
            </w:r>
          </w:p>
        </w:tc>
        <w:tc>
          <w:tcPr>
            <w:tcW w:w="850" w:type="dxa"/>
            <w:vAlign w:val="center"/>
          </w:tcPr>
          <w:p>
            <w:pPr>
              <w:spacing w:line="280" w:lineRule="exact"/>
              <w:jc w:val="center"/>
              <w:rPr>
                <w:rFonts w:ascii="宋体" w:hAnsi="宋体"/>
              </w:rPr>
            </w:pPr>
            <w:r>
              <w:rPr>
                <w:rFonts w:ascii="宋体" w:hAnsi="宋体"/>
              </w:rPr>
              <w:t>/</w:t>
            </w:r>
          </w:p>
        </w:tc>
        <w:tc>
          <w:tcPr>
            <w:tcW w:w="851" w:type="dxa"/>
            <w:vAlign w:val="center"/>
          </w:tcPr>
          <w:p>
            <w:pPr>
              <w:spacing w:line="280" w:lineRule="exact"/>
              <w:jc w:val="center"/>
              <w:rPr>
                <w:rFonts w:ascii="宋体" w:hAnsi="宋体"/>
              </w:rPr>
            </w:pPr>
            <w:r>
              <w:rPr>
                <w:rFonts w:ascii="宋体" w:hAnsi="宋体"/>
              </w:rPr>
              <w:t>/</w:t>
            </w:r>
          </w:p>
        </w:tc>
        <w:tc>
          <w:tcPr>
            <w:tcW w:w="851" w:type="dxa"/>
            <w:noWrap/>
            <w:vAlign w:val="center"/>
          </w:tcPr>
          <w:p>
            <w:pPr>
              <w:spacing w:line="280" w:lineRule="exact"/>
              <w:jc w:val="center"/>
              <w:rPr>
                <w:rFonts w:ascii="宋体" w:hAnsi="宋体"/>
              </w:rPr>
            </w:pPr>
            <w:r>
              <w:rPr>
                <w:rFonts w:ascii="宋体" w:hAnsi="宋体"/>
              </w:rPr>
              <w:t>/</w:t>
            </w:r>
          </w:p>
        </w:tc>
        <w:tc>
          <w:tcPr>
            <w:tcW w:w="851" w:type="dxa"/>
            <w:noWrap/>
            <w:vAlign w:val="center"/>
          </w:tcPr>
          <w:p>
            <w:pPr>
              <w:spacing w:line="280" w:lineRule="exact"/>
              <w:jc w:val="center"/>
              <w:rPr>
                <w:rFonts w:ascii="宋体" w:hAnsi="宋体"/>
              </w:rPr>
            </w:pPr>
            <w:r>
              <w:rPr>
                <w:rFonts w:ascii="宋体" w:hAnsi="宋体"/>
              </w:rPr>
              <w:t>3</w:t>
            </w:r>
          </w:p>
        </w:tc>
        <w:tc>
          <w:tcPr>
            <w:tcW w:w="850" w:type="dxa"/>
            <w:noWrap/>
            <w:vAlign w:val="center"/>
          </w:tcPr>
          <w:p>
            <w:pPr>
              <w:spacing w:line="280" w:lineRule="exact"/>
              <w:jc w:val="center"/>
              <w:rPr>
                <w:rFonts w:ascii="宋体" w:hAnsi="宋体"/>
              </w:rPr>
            </w:pPr>
            <w:r>
              <w:rPr>
                <w:rFonts w:ascii="宋体" w:hAns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8" w:type="dxa"/>
            <w:gridSpan w:val="2"/>
            <w:noWrap/>
            <w:vAlign w:val="center"/>
          </w:tcPr>
          <w:p>
            <w:pPr>
              <w:spacing w:line="280" w:lineRule="exact"/>
              <w:jc w:val="center"/>
              <w:rPr>
                <w:rFonts w:ascii="宋体" w:hAnsi="宋体"/>
                <w:b/>
                <w:bCs/>
              </w:rPr>
            </w:pPr>
            <w:r>
              <w:rPr>
                <w:rFonts w:ascii="宋体" w:hAnsi="宋体"/>
                <w:b/>
                <w:bCs/>
              </w:rPr>
              <w:t>合计</w:t>
            </w:r>
          </w:p>
        </w:tc>
        <w:tc>
          <w:tcPr>
            <w:tcW w:w="851" w:type="dxa"/>
            <w:noWrap/>
            <w:vAlign w:val="center"/>
          </w:tcPr>
          <w:p>
            <w:pPr>
              <w:spacing w:line="280" w:lineRule="exact"/>
              <w:jc w:val="center"/>
              <w:rPr>
                <w:rFonts w:ascii="宋体" w:hAnsi="宋体"/>
                <w:b/>
                <w:bCs/>
              </w:rPr>
            </w:pPr>
            <w:r>
              <w:rPr>
                <w:rFonts w:hint="eastAsia" w:ascii="宋体" w:hAnsi="宋体"/>
                <w:b/>
                <w:bCs/>
              </w:rPr>
              <w:t>6</w:t>
            </w:r>
            <w:r>
              <w:rPr>
                <w:rFonts w:ascii="宋体" w:hAnsi="宋体"/>
                <w:b/>
                <w:bCs/>
              </w:rPr>
              <w:t>45</w:t>
            </w:r>
          </w:p>
        </w:tc>
        <w:tc>
          <w:tcPr>
            <w:tcW w:w="850" w:type="dxa"/>
            <w:noWrap/>
            <w:vAlign w:val="center"/>
          </w:tcPr>
          <w:p>
            <w:pPr>
              <w:spacing w:line="280" w:lineRule="exact"/>
              <w:jc w:val="center"/>
              <w:rPr>
                <w:rFonts w:ascii="宋体" w:hAnsi="宋体"/>
                <w:b/>
                <w:bCs/>
              </w:rPr>
            </w:pPr>
            <w:r>
              <w:rPr>
                <w:rFonts w:hint="eastAsia" w:ascii="宋体" w:hAnsi="宋体"/>
                <w:b/>
                <w:bCs/>
              </w:rPr>
              <w:t>5</w:t>
            </w:r>
            <w:r>
              <w:rPr>
                <w:rFonts w:ascii="宋体" w:hAnsi="宋体"/>
                <w:b/>
                <w:bCs/>
              </w:rPr>
              <w:t>75</w:t>
            </w:r>
          </w:p>
        </w:tc>
        <w:tc>
          <w:tcPr>
            <w:tcW w:w="851" w:type="dxa"/>
            <w:noWrap/>
            <w:vAlign w:val="center"/>
          </w:tcPr>
          <w:p>
            <w:pPr>
              <w:spacing w:line="280" w:lineRule="exact"/>
              <w:jc w:val="center"/>
              <w:rPr>
                <w:rFonts w:ascii="宋体" w:hAnsi="宋体"/>
                <w:b/>
                <w:bCs/>
              </w:rPr>
            </w:pPr>
            <w:r>
              <w:rPr>
                <w:rFonts w:ascii="宋体" w:hAnsi="宋体"/>
                <w:b/>
                <w:bCs/>
              </w:rPr>
              <w:t>130</w:t>
            </w:r>
          </w:p>
        </w:tc>
        <w:tc>
          <w:tcPr>
            <w:tcW w:w="850" w:type="dxa"/>
            <w:noWrap/>
            <w:vAlign w:val="center"/>
          </w:tcPr>
          <w:p>
            <w:pPr>
              <w:spacing w:line="280" w:lineRule="exact"/>
              <w:jc w:val="center"/>
              <w:rPr>
                <w:rFonts w:ascii="宋体" w:hAnsi="宋体"/>
                <w:b/>
                <w:bCs/>
              </w:rPr>
            </w:pPr>
            <w:r>
              <w:rPr>
                <w:rFonts w:hint="eastAsia" w:ascii="宋体" w:hAnsi="宋体"/>
                <w:b/>
                <w:bCs/>
              </w:rPr>
              <w:t>1</w:t>
            </w:r>
            <w:r>
              <w:rPr>
                <w:rFonts w:ascii="宋体" w:hAnsi="宋体"/>
                <w:b/>
                <w:bCs/>
              </w:rPr>
              <w:t>19</w:t>
            </w:r>
          </w:p>
        </w:tc>
        <w:tc>
          <w:tcPr>
            <w:tcW w:w="851" w:type="dxa"/>
            <w:vAlign w:val="center"/>
          </w:tcPr>
          <w:p>
            <w:pPr>
              <w:spacing w:line="280" w:lineRule="exact"/>
              <w:jc w:val="center"/>
              <w:rPr>
                <w:rFonts w:ascii="宋体" w:hAnsi="宋体"/>
                <w:b/>
                <w:bCs/>
              </w:rPr>
            </w:pPr>
            <w:r>
              <w:rPr>
                <w:rFonts w:ascii="宋体" w:hAnsi="宋体"/>
                <w:b/>
                <w:bCs/>
              </w:rPr>
              <w:t>40</w:t>
            </w:r>
          </w:p>
        </w:tc>
        <w:tc>
          <w:tcPr>
            <w:tcW w:w="851" w:type="dxa"/>
            <w:vAlign w:val="center"/>
          </w:tcPr>
          <w:p>
            <w:pPr>
              <w:spacing w:line="280" w:lineRule="exact"/>
              <w:jc w:val="center"/>
              <w:rPr>
                <w:rFonts w:ascii="宋体" w:hAnsi="宋体"/>
                <w:b/>
                <w:bCs/>
              </w:rPr>
            </w:pPr>
            <w:r>
              <w:rPr>
                <w:rFonts w:hint="eastAsia" w:ascii="宋体" w:hAnsi="宋体"/>
                <w:b/>
                <w:bCs/>
              </w:rPr>
              <w:t>3</w:t>
            </w:r>
            <w:r>
              <w:rPr>
                <w:rFonts w:ascii="宋体" w:hAnsi="宋体"/>
                <w:b/>
                <w:bCs/>
              </w:rPr>
              <w:t>3</w:t>
            </w:r>
          </w:p>
        </w:tc>
        <w:tc>
          <w:tcPr>
            <w:tcW w:w="851" w:type="dxa"/>
            <w:noWrap/>
            <w:vAlign w:val="center"/>
          </w:tcPr>
          <w:p>
            <w:pPr>
              <w:spacing w:line="280" w:lineRule="exact"/>
              <w:jc w:val="center"/>
              <w:rPr>
                <w:rFonts w:ascii="宋体" w:hAnsi="宋体"/>
                <w:b/>
                <w:bCs/>
              </w:rPr>
            </w:pPr>
            <w:r>
              <w:rPr>
                <w:rFonts w:hint="eastAsia" w:ascii="宋体" w:hAnsi="宋体"/>
                <w:b/>
                <w:bCs/>
              </w:rPr>
              <w:t>5</w:t>
            </w:r>
            <w:r>
              <w:rPr>
                <w:rFonts w:ascii="宋体" w:hAnsi="宋体"/>
                <w:b/>
                <w:bCs/>
              </w:rPr>
              <w:t>0</w:t>
            </w:r>
          </w:p>
        </w:tc>
        <w:tc>
          <w:tcPr>
            <w:tcW w:w="850" w:type="dxa"/>
            <w:noWrap/>
            <w:vAlign w:val="center"/>
          </w:tcPr>
          <w:p>
            <w:pPr>
              <w:spacing w:line="280" w:lineRule="exact"/>
              <w:jc w:val="center"/>
              <w:rPr>
                <w:rFonts w:ascii="宋体" w:hAnsi="宋体"/>
                <w:b/>
                <w:bCs/>
              </w:rPr>
            </w:pPr>
            <w:r>
              <w:rPr>
                <w:rFonts w:hint="eastAsia" w:ascii="宋体" w:hAnsi="宋体"/>
                <w:b/>
                <w:bCs/>
              </w:rPr>
              <w:t>4</w:t>
            </w:r>
            <w:r>
              <w:rPr>
                <w:rFonts w:ascii="宋体" w:hAnsi="宋体"/>
                <w:b/>
                <w:bCs/>
              </w:rPr>
              <w:t>5</w:t>
            </w:r>
          </w:p>
        </w:tc>
      </w:tr>
    </w:tbl>
    <w:p>
      <w:pPr>
        <w:spacing w:line="560" w:lineRule="exact"/>
        <w:ind w:firstLine="642" w:firstLineChars="200"/>
        <w:outlineLvl w:val="1"/>
        <w:rPr>
          <w:rFonts w:ascii="楷体_GB2312" w:eastAsia="楷体_GB2312" w:cs="仿宋_GB2312"/>
          <w:b/>
          <w:bCs/>
          <w:sz w:val="32"/>
          <w:szCs w:val="32"/>
        </w:rPr>
      </w:pPr>
      <w:bookmarkStart w:id="6" w:name="_Toc148104144"/>
      <w:r>
        <w:rPr>
          <w:rFonts w:hint="eastAsia" w:ascii="楷体_GB2312" w:eastAsia="楷体_GB2312" w:cs="仿宋_GB2312"/>
          <w:b/>
          <w:bCs/>
          <w:sz w:val="32"/>
          <w:szCs w:val="32"/>
        </w:rPr>
        <w:t>（三）预算及执行情况</w:t>
      </w:r>
      <w:bookmarkEnd w:id="6"/>
    </w:p>
    <w:p>
      <w:pPr>
        <w:spacing w:line="560" w:lineRule="exact"/>
        <w:ind w:firstLine="640" w:firstLineChars="200"/>
        <w:rPr>
          <w:rFonts w:ascii="仿宋_GB2312" w:eastAsia="仿宋_GB2312" w:cs="仿宋_GB2312"/>
          <w:sz w:val="32"/>
          <w:szCs w:val="32"/>
          <w:lang w:val="en-GB"/>
        </w:rPr>
      </w:pPr>
      <w:r>
        <w:rPr>
          <w:rFonts w:hint="eastAsia" w:ascii="仿宋_GB2312" w:eastAsia="仿宋_GB2312" w:cs="仿宋_GB2312"/>
          <w:sz w:val="32"/>
          <w:szCs w:val="32"/>
        </w:rPr>
        <w:t>本项目2</w:t>
      </w:r>
      <w:r>
        <w:rPr>
          <w:rFonts w:ascii="仿宋_GB2312" w:eastAsia="仿宋_GB2312" w:cs="仿宋_GB2312"/>
          <w:sz w:val="32"/>
          <w:szCs w:val="32"/>
        </w:rPr>
        <w:t>022</w:t>
      </w:r>
      <w:r>
        <w:rPr>
          <w:rFonts w:hint="eastAsia" w:ascii="仿宋_GB2312" w:eastAsia="仿宋_GB2312" w:cs="仿宋_GB2312"/>
          <w:sz w:val="32"/>
          <w:szCs w:val="32"/>
        </w:rPr>
        <w:t>年年初预算金额</w:t>
      </w:r>
      <w:r>
        <w:rPr>
          <w:rFonts w:ascii="仿宋_GB2312" w:eastAsia="仿宋_GB2312" w:cs="仿宋_GB2312"/>
          <w:sz w:val="32"/>
          <w:szCs w:val="32"/>
        </w:rPr>
        <w:t>557</w:t>
      </w:r>
      <w:r>
        <w:rPr>
          <w:rFonts w:hint="eastAsia" w:ascii="仿宋_GB2312" w:eastAsia="仿宋_GB2312" w:cs="仿宋_GB2312"/>
          <w:sz w:val="32"/>
          <w:szCs w:val="32"/>
        </w:rPr>
        <w:t>万元，年中无预算调整，实际发放补助资金</w:t>
      </w:r>
      <w:r>
        <w:rPr>
          <w:rFonts w:ascii="仿宋_GB2312" w:eastAsia="仿宋_GB2312" w:cs="仿宋_GB2312"/>
          <w:sz w:val="32"/>
          <w:szCs w:val="32"/>
        </w:rPr>
        <w:t>477.48</w:t>
      </w:r>
      <w:r>
        <w:rPr>
          <w:rFonts w:hint="eastAsia" w:ascii="仿宋_GB2312" w:eastAsia="仿宋_GB2312" w:cs="仿宋_GB2312"/>
          <w:sz w:val="32"/>
          <w:szCs w:val="32"/>
        </w:rPr>
        <w:t>万元，项目执行率为</w:t>
      </w:r>
      <w:r>
        <w:rPr>
          <w:rFonts w:ascii="仿宋_GB2312" w:eastAsia="仿宋_GB2312" w:cs="仿宋_GB2312"/>
          <w:sz w:val="32"/>
          <w:szCs w:val="32"/>
        </w:rPr>
        <w:t>85.72%</w:t>
      </w:r>
      <w:r>
        <w:rPr>
          <w:rFonts w:hint="eastAsia" w:ascii="仿宋_GB2312" w:eastAsia="仿宋_GB2312" w:cs="仿宋_GB2312"/>
          <w:sz w:val="32"/>
          <w:szCs w:val="32"/>
        </w:rPr>
        <w:t>。</w:t>
      </w:r>
    </w:p>
    <w:p>
      <w:pPr>
        <w:spacing w:line="600" w:lineRule="exact"/>
        <w:jc w:val="center"/>
        <w:rPr>
          <w:rFonts w:ascii="黑体" w:hAnsi="黑体" w:eastAsia="黑体" w:cs="仿宋_GB2312"/>
          <w:sz w:val="28"/>
          <w:szCs w:val="28"/>
        </w:rPr>
      </w:pPr>
      <w:r>
        <w:rPr>
          <w:rFonts w:hint="eastAsia" w:ascii="黑体" w:hAnsi="黑体" w:eastAsia="黑体" w:cs="仿宋_GB2312"/>
          <w:sz w:val="28"/>
          <w:szCs w:val="28"/>
        </w:rPr>
        <w:t>表1</w:t>
      </w:r>
      <w:r>
        <w:rPr>
          <w:rFonts w:ascii="黑体" w:hAnsi="黑体" w:eastAsia="黑体" w:cs="仿宋_GB2312"/>
          <w:sz w:val="28"/>
          <w:szCs w:val="28"/>
        </w:rPr>
        <w:t xml:space="preserve">-4 </w:t>
      </w:r>
      <w:r>
        <w:rPr>
          <w:rFonts w:hint="eastAsia" w:ascii="黑体" w:hAnsi="黑体" w:eastAsia="黑体" w:cs="仿宋_GB2312"/>
          <w:sz w:val="28"/>
          <w:szCs w:val="28"/>
        </w:rPr>
        <w:t>龙华区2022年生活垃圾分类工作激励资金支出情况表</w:t>
      </w:r>
    </w:p>
    <w:tbl>
      <w:tblPr>
        <w:tblStyle w:val="25"/>
        <w:tblW w:w="5000" w:type="pct"/>
        <w:jc w:val="center"/>
        <w:tblLayout w:type="autofit"/>
        <w:tblCellMar>
          <w:top w:w="0" w:type="dxa"/>
          <w:left w:w="108" w:type="dxa"/>
          <w:bottom w:w="0" w:type="dxa"/>
          <w:right w:w="108" w:type="dxa"/>
        </w:tblCellMar>
      </w:tblPr>
      <w:tblGrid>
        <w:gridCol w:w="884"/>
        <w:gridCol w:w="2028"/>
        <w:gridCol w:w="885"/>
        <w:gridCol w:w="893"/>
        <w:gridCol w:w="1181"/>
        <w:gridCol w:w="1185"/>
        <w:gridCol w:w="1466"/>
      </w:tblGrid>
      <w:tr>
        <w:tblPrEx>
          <w:tblCellMar>
            <w:top w:w="0" w:type="dxa"/>
            <w:left w:w="108" w:type="dxa"/>
            <w:bottom w:w="0" w:type="dxa"/>
            <w:right w:w="108" w:type="dxa"/>
          </w:tblCellMar>
        </w:tblPrEx>
        <w:trPr>
          <w:trHeight w:val="312" w:hRule="atLeast"/>
          <w:jc w:val="center"/>
        </w:trPr>
        <w:tc>
          <w:tcPr>
            <w:tcW w:w="51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序号</w:t>
            </w:r>
          </w:p>
        </w:tc>
        <w:tc>
          <w:tcPr>
            <w:tcW w:w="119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辖区</w:t>
            </w:r>
          </w:p>
        </w:tc>
        <w:tc>
          <w:tcPr>
            <w:tcW w:w="24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rPr>
            </w:pPr>
            <w:r>
              <w:rPr>
                <w:rFonts w:hint="eastAsia" w:ascii="宋体" w:hAnsi="宋体" w:cs="宋体"/>
                <w:b/>
                <w:bCs/>
                <w:color w:val="000000"/>
              </w:rPr>
              <w:t>发放补助资金（万元）</w:t>
            </w:r>
          </w:p>
        </w:tc>
        <w:tc>
          <w:tcPr>
            <w:tcW w:w="8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rPr>
            </w:pPr>
            <w:r>
              <w:rPr>
                <w:rFonts w:hint="eastAsia" w:ascii="宋体" w:hAnsi="宋体" w:cs="宋体"/>
                <w:b/>
                <w:bCs/>
                <w:color w:val="000000"/>
              </w:rPr>
              <w:t>小计（万元）</w:t>
            </w:r>
          </w:p>
        </w:tc>
      </w:tr>
      <w:tr>
        <w:tblPrEx>
          <w:tblCellMar>
            <w:top w:w="0" w:type="dxa"/>
            <w:left w:w="108" w:type="dxa"/>
            <w:bottom w:w="0" w:type="dxa"/>
            <w:right w:w="108" w:type="dxa"/>
          </w:tblCellMar>
        </w:tblPrEx>
        <w:trPr>
          <w:trHeight w:val="312" w:hRule="atLeast"/>
          <w:jc w:val="center"/>
        </w:trPr>
        <w:tc>
          <w:tcPr>
            <w:tcW w:w="519"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rPr>
            </w:pPr>
          </w:p>
        </w:tc>
        <w:tc>
          <w:tcPr>
            <w:tcW w:w="1190"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rPr>
            </w:pP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家庭</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个人</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b/>
                <w:bCs/>
                <w:color w:val="000000"/>
              </w:rPr>
            </w:pPr>
            <w:r>
              <w:rPr>
                <w:rFonts w:hint="eastAsia" w:ascii="宋体" w:hAnsi="宋体" w:cs="宋体"/>
                <w:b/>
                <w:bCs/>
                <w:color w:val="000000"/>
              </w:rPr>
              <w:t>住宅区</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单位</w:t>
            </w:r>
          </w:p>
        </w:tc>
        <w:tc>
          <w:tcPr>
            <w:tcW w:w="860"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rPr>
            </w:pPr>
          </w:p>
        </w:tc>
      </w:tr>
      <w:tr>
        <w:tblPrEx>
          <w:tblCellMar>
            <w:top w:w="0" w:type="dxa"/>
            <w:left w:w="108" w:type="dxa"/>
            <w:bottom w:w="0" w:type="dxa"/>
            <w:right w:w="108" w:type="dxa"/>
          </w:tblCellMar>
        </w:tblPrEx>
        <w:trPr>
          <w:trHeight w:val="454" w:hRule="atLeast"/>
          <w:jc w:val="center"/>
        </w:trPr>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1</w:t>
            </w:r>
          </w:p>
        </w:tc>
        <w:tc>
          <w:tcPr>
            <w:tcW w:w="11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观湖街道</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13</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r>
              <w:rPr>
                <w:rFonts w:hint="eastAsia" w:ascii="宋体" w:hAnsi="宋体" w:cs="宋体"/>
                <w:color w:val="000000"/>
              </w:rPr>
              <w:t>50</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2.1</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67.1</w:t>
            </w:r>
          </w:p>
        </w:tc>
      </w:tr>
      <w:tr>
        <w:tblPrEx>
          <w:tblCellMar>
            <w:top w:w="0" w:type="dxa"/>
            <w:left w:w="108" w:type="dxa"/>
            <w:bottom w:w="0" w:type="dxa"/>
            <w:right w:w="108" w:type="dxa"/>
          </w:tblCellMar>
        </w:tblPrEx>
        <w:trPr>
          <w:trHeight w:val="454" w:hRule="atLeast"/>
          <w:jc w:val="center"/>
        </w:trPr>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w:t>
            </w:r>
          </w:p>
        </w:tc>
        <w:tc>
          <w:tcPr>
            <w:tcW w:w="11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民治街道</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42</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2.5</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r>
              <w:rPr>
                <w:rFonts w:hint="eastAsia" w:ascii="宋体" w:hAnsi="宋体" w:cs="宋体"/>
                <w:color w:val="000000"/>
              </w:rPr>
              <w:t>89.98</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1.9</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136.38</w:t>
            </w:r>
          </w:p>
        </w:tc>
      </w:tr>
      <w:tr>
        <w:tblPrEx>
          <w:tblCellMar>
            <w:top w:w="0" w:type="dxa"/>
            <w:left w:w="108" w:type="dxa"/>
            <w:bottom w:w="0" w:type="dxa"/>
            <w:right w:w="108" w:type="dxa"/>
          </w:tblCellMar>
        </w:tblPrEx>
        <w:trPr>
          <w:trHeight w:val="454" w:hRule="atLeast"/>
          <w:jc w:val="center"/>
        </w:trPr>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3</w:t>
            </w:r>
          </w:p>
        </w:tc>
        <w:tc>
          <w:tcPr>
            <w:tcW w:w="11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龙华街道</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29.6</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2.5</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r>
              <w:rPr>
                <w:rFonts w:hint="eastAsia" w:ascii="宋体" w:hAnsi="宋体" w:cs="宋体"/>
                <w:color w:val="000000"/>
              </w:rPr>
              <w:t>103</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1.5</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136.6</w:t>
            </w:r>
          </w:p>
        </w:tc>
      </w:tr>
      <w:tr>
        <w:tblPrEx>
          <w:tblCellMar>
            <w:top w:w="0" w:type="dxa"/>
            <w:left w:w="108" w:type="dxa"/>
            <w:bottom w:w="0" w:type="dxa"/>
            <w:right w:w="108" w:type="dxa"/>
          </w:tblCellMar>
        </w:tblPrEx>
        <w:trPr>
          <w:trHeight w:val="454" w:hRule="atLeast"/>
          <w:jc w:val="center"/>
        </w:trPr>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4</w:t>
            </w:r>
          </w:p>
        </w:tc>
        <w:tc>
          <w:tcPr>
            <w:tcW w:w="11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大浪街道</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24</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r>
              <w:rPr>
                <w:rFonts w:hint="eastAsia" w:ascii="宋体" w:hAnsi="宋体" w:cs="宋体"/>
                <w:color w:val="000000"/>
              </w:rPr>
              <w:t>61</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1.1</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88.1</w:t>
            </w:r>
          </w:p>
        </w:tc>
      </w:tr>
      <w:tr>
        <w:tblPrEx>
          <w:tblCellMar>
            <w:top w:w="0" w:type="dxa"/>
            <w:left w:w="108" w:type="dxa"/>
            <w:bottom w:w="0" w:type="dxa"/>
            <w:right w:w="108" w:type="dxa"/>
          </w:tblCellMar>
        </w:tblPrEx>
        <w:trPr>
          <w:trHeight w:val="454" w:hRule="atLeast"/>
          <w:jc w:val="center"/>
        </w:trPr>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5</w:t>
            </w:r>
          </w:p>
        </w:tc>
        <w:tc>
          <w:tcPr>
            <w:tcW w:w="11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福城街道</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3.4</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r>
              <w:rPr>
                <w:rFonts w:hint="eastAsia" w:ascii="宋体" w:hAnsi="宋体" w:cs="宋体"/>
                <w:color w:val="000000"/>
              </w:rPr>
              <w:t>23.5</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28.9</w:t>
            </w:r>
          </w:p>
        </w:tc>
      </w:tr>
      <w:tr>
        <w:tblPrEx>
          <w:tblCellMar>
            <w:top w:w="0" w:type="dxa"/>
            <w:left w:w="108" w:type="dxa"/>
            <w:bottom w:w="0" w:type="dxa"/>
            <w:right w:w="108" w:type="dxa"/>
          </w:tblCellMar>
        </w:tblPrEx>
        <w:trPr>
          <w:trHeight w:val="454" w:hRule="atLeast"/>
          <w:jc w:val="center"/>
        </w:trPr>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6</w:t>
            </w:r>
          </w:p>
        </w:tc>
        <w:tc>
          <w:tcPr>
            <w:tcW w:w="11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观澜街道</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3</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0.9</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r>
              <w:rPr>
                <w:rFonts w:hint="eastAsia" w:ascii="宋体" w:hAnsi="宋体" w:cs="宋体"/>
                <w:color w:val="000000"/>
              </w:rPr>
              <w:t>14.5</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1</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19.4</w:t>
            </w:r>
          </w:p>
        </w:tc>
      </w:tr>
      <w:tr>
        <w:tblPrEx>
          <w:tblCellMar>
            <w:top w:w="0" w:type="dxa"/>
            <w:left w:w="108" w:type="dxa"/>
            <w:bottom w:w="0" w:type="dxa"/>
            <w:right w:w="108" w:type="dxa"/>
          </w:tblCellMar>
        </w:tblPrEx>
        <w:trPr>
          <w:trHeight w:val="454" w:hRule="atLeast"/>
          <w:jc w:val="center"/>
        </w:trPr>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7</w:t>
            </w:r>
          </w:p>
        </w:tc>
        <w:tc>
          <w:tcPr>
            <w:tcW w:w="11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区教育局</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r>
              <w:rPr>
                <w:rFonts w:hint="eastAsia" w:ascii="宋体" w:hAnsi="宋体" w:cs="宋体"/>
                <w:color w:val="000000"/>
              </w:rPr>
              <w:t>0</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0.8</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 xml:space="preserve">0.8 </w:t>
            </w:r>
          </w:p>
        </w:tc>
      </w:tr>
      <w:tr>
        <w:tblPrEx>
          <w:tblCellMar>
            <w:top w:w="0" w:type="dxa"/>
            <w:left w:w="108" w:type="dxa"/>
            <w:bottom w:w="0" w:type="dxa"/>
            <w:right w:w="108" w:type="dxa"/>
          </w:tblCellMar>
        </w:tblPrEx>
        <w:trPr>
          <w:trHeight w:val="454" w:hRule="atLeast"/>
          <w:jc w:val="center"/>
        </w:trPr>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8</w:t>
            </w:r>
          </w:p>
        </w:tc>
        <w:tc>
          <w:tcPr>
            <w:tcW w:w="11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区卫生健康局</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r>
              <w:rPr>
                <w:rFonts w:hint="eastAsia" w:ascii="宋体" w:hAnsi="宋体" w:cs="宋体"/>
                <w:color w:val="000000"/>
              </w:rPr>
              <w:t>0</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0.1</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 xml:space="preserve">0.1 </w:t>
            </w:r>
          </w:p>
        </w:tc>
      </w:tr>
      <w:tr>
        <w:tblPrEx>
          <w:tblCellMar>
            <w:top w:w="0" w:type="dxa"/>
            <w:left w:w="108" w:type="dxa"/>
            <w:bottom w:w="0" w:type="dxa"/>
            <w:right w:w="108" w:type="dxa"/>
          </w:tblCellMar>
        </w:tblPrEx>
        <w:trPr>
          <w:trHeight w:val="312" w:hRule="atLeast"/>
          <w:jc w:val="center"/>
        </w:trPr>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9</w:t>
            </w:r>
          </w:p>
        </w:tc>
        <w:tc>
          <w:tcPr>
            <w:tcW w:w="11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区机关事务</w:t>
            </w:r>
          </w:p>
          <w:p>
            <w:pPr>
              <w:widowControl/>
              <w:jc w:val="center"/>
              <w:rPr>
                <w:rFonts w:ascii="宋体" w:hAnsi="宋体" w:cs="宋体"/>
                <w:color w:val="000000"/>
              </w:rPr>
            </w:pPr>
            <w:r>
              <w:rPr>
                <w:rFonts w:hint="eastAsia" w:ascii="宋体" w:hAnsi="宋体" w:cs="宋体"/>
                <w:color w:val="000000"/>
              </w:rPr>
              <w:t>管理中心</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r>
              <w:rPr>
                <w:rFonts w:hint="eastAsia" w:ascii="宋体" w:hAnsi="宋体" w:cs="宋体"/>
                <w:color w:val="000000"/>
              </w:rPr>
              <w:t>0</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0.1</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 xml:space="preserve">0.1 </w:t>
            </w:r>
          </w:p>
        </w:tc>
      </w:tr>
      <w:tr>
        <w:tblPrEx>
          <w:tblCellMar>
            <w:top w:w="0" w:type="dxa"/>
            <w:left w:w="108" w:type="dxa"/>
            <w:bottom w:w="0" w:type="dxa"/>
            <w:right w:w="108" w:type="dxa"/>
          </w:tblCellMar>
        </w:tblPrEx>
        <w:trPr>
          <w:trHeight w:val="454" w:hRule="atLeast"/>
          <w:jc w:val="center"/>
        </w:trPr>
        <w:tc>
          <w:tcPr>
            <w:tcW w:w="170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合计</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115</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11.9</w:t>
            </w:r>
          </w:p>
        </w:tc>
        <w:tc>
          <w:tcPr>
            <w:tcW w:w="693" w:type="pc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b/>
                <w:bCs/>
                <w:color w:val="000000"/>
              </w:rPr>
            </w:pPr>
            <w:r>
              <w:rPr>
                <w:rFonts w:hint="eastAsia" w:ascii="宋体" w:hAnsi="宋体" w:cs="宋体"/>
                <w:b/>
                <w:bCs/>
                <w:color w:val="000000"/>
              </w:rPr>
              <w:t>341.98</w:t>
            </w:r>
          </w:p>
        </w:tc>
        <w:tc>
          <w:tcPr>
            <w:tcW w:w="6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8.6</w:t>
            </w:r>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4</w:t>
            </w:r>
            <w:r>
              <w:rPr>
                <w:rFonts w:ascii="宋体" w:hAnsi="宋体" w:cs="宋体"/>
                <w:b/>
                <w:bCs/>
                <w:color w:val="000000"/>
              </w:rPr>
              <w:t>77.48</w:t>
            </w:r>
          </w:p>
        </w:tc>
      </w:tr>
    </w:tbl>
    <w:p>
      <w:pPr>
        <w:spacing w:line="560" w:lineRule="exact"/>
        <w:ind w:firstLine="640" w:firstLineChars="200"/>
        <w:outlineLvl w:val="0"/>
        <w:rPr>
          <w:rFonts w:ascii="黑体" w:hAnsi="黑体" w:eastAsia="黑体" w:cs="黑体"/>
          <w:sz w:val="32"/>
          <w:szCs w:val="32"/>
        </w:rPr>
      </w:pPr>
      <w:bookmarkStart w:id="7" w:name="_Toc148104145"/>
      <w:r>
        <w:rPr>
          <w:rFonts w:hint="eastAsia" w:ascii="黑体" w:hAnsi="黑体" w:eastAsia="黑体" w:cs="黑体"/>
          <w:sz w:val="32"/>
          <w:szCs w:val="32"/>
        </w:rPr>
        <w:t>二、绩效评价工作开展情况</w:t>
      </w:r>
      <w:bookmarkEnd w:id="7"/>
    </w:p>
    <w:p>
      <w:pPr>
        <w:spacing w:line="560" w:lineRule="exact"/>
        <w:ind w:firstLine="642" w:firstLineChars="200"/>
        <w:outlineLvl w:val="1"/>
        <w:rPr>
          <w:rFonts w:ascii="楷体_GB2312" w:eastAsia="楷体_GB2312" w:cs="仿宋_GB2312"/>
          <w:b/>
          <w:bCs/>
          <w:sz w:val="32"/>
          <w:szCs w:val="32"/>
        </w:rPr>
      </w:pPr>
      <w:bookmarkStart w:id="8" w:name="_Toc148104146"/>
      <w:r>
        <w:rPr>
          <w:rFonts w:hint="eastAsia" w:ascii="楷体_GB2312" w:eastAsia="楷体_GB2312" w:cs="仿宋_GB2312"/>
          <w:b/>
          <w:bCs/>
          <w:sz w:val="32"/>
          <w:szCs w:val="32"/>
        </w:rPr>
        <w:t>（一）绩效评价目的、对象和范围</w:t>
      </w:r>
      <w:bookmarkEnd w:id="8"/>
    </w:p>
    <w:p>
      <w:pPr>
        <w:spacing w:line="560" w:lineRule="exact"/>
        <w:ind w:firstLine="642" w:firstLineChars="200"/>
        <w:outlineLvl w:val="2"/>
        <w:rPr>
          <w:rFonts w:ascii="仿宋_GB2312" w:eastAsia="仿宋_GB2312" w:cs="仿宋_GB2312"/>
          <w:b/>
          <w:bCs/>
          <w:sz w:val="32"/>
          <w:szCs w:val="32"/>
        </w:rPr>
      </w:pPr>
      <w:r>
        <w:rPr>
          <w:rFonts w:hint="eastAsia" w:ascii="仿宋_GB2312" w:eastAsia="仿宋_GB2312" w:cs="仿宋_GB2312"/>
          <w:b/>
          <w:bCs/>
          <w:sz w:val="32"/>
          <w:szCs w:val="32"/>
        </w:rPr>
        <w:t>1.绩效评价目的</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通过开展绩效评价工作，在全面了解项目实施情况的基础上，对龙华区2022年生活垃圾分类工作激励资金项目决策的科学性、过程管理的规范性、有效性，以及项目产出和产出效益等进行评价，总结项目取得的成效和经验，指出项目存在的问题和不足，结合财政预算管理和项目管理政策的相关要求，针对存在的问题和不足提出改进管理的相关建议，并将绩效评价结果应用于以后年度项目的预算编制，实现预算和绩效管理一体化，进一步提升财政资金的使用效率、效益。</w:t>
      </w:r>
    </w:p>
    <w:p>
      <w:pPr>
        <w:spacing w:line="560" w:lineRule="exact"/>
        <w:ind w:firstLine="642" w:firstLineChars="200"/>
        <w:outlineLvl w:val="2"/>
        <w:rPr>
          <w:rFonts w:ascii="仿宋_GB2312" w:eastAsia="仿宋_GB2312" w:cs="仿宋_GB2312"/>
          <w:b/>
          <w:bCs/>
          <w:sz w:val="32"/>
          <w:szCs w:val="32"/>
        </w:rPr>
      </w:pPr>
      <w:r>
        <w:rPr>
          <w:rFonts w:hint="eastAsia" w:ascii="仿宋_GB2312" w:eastAsia="仿宋_GB2312" w:cs="仿宋_GB2312"/>
          <w:b/>
          <w:bCs/>
          <w:sz w:val="32"/>
          <w:szCs w:val="32"/>
        </w:rPr>
        <w:t>2.评价对象和范围</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评价对象：龙华区2022年生活垃圾分类工作激励资金项目，涉及财政资金</w:t>
      </w:r>
      <w:r>
        <w:rPr>
          <w:rFonts w:ascii="仿宋_GB2312" w:eastAsia="仿宋_GB2312" w:cs="仿宋_GB2312"/>
          <w:sz w:val="32"/>
          <w:szCs w:val="32"/>
        </w:rPr>
        <w:t>477.48</w:t>
      </w:r>
      <w:r>
        <w:rPr>
          <w:rFonts w:hint="eastAsia" w:ascii="仿宋_GB2312" w:eastAsia="仿宋_GB2312" w:cs="仿宋_GB2312"/>
          <w:color w:val="000000" w:themeColor="text1"/>
          <w:sz w:val="32"/>
          <w:szCs w:val="32"/>
          <w14:textFill>
            <w14:solidFill>
              <w14:schemeClr w14:val="tx1"/>
            </w14:solidFill>
          </w14:textFill>
        </w:rPr>
        <w:t>万元。</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评价时间范围：202</w:t>
      </w:r>
      <w:r>
        <w:rPr>
          <w:rFonts w:ascii="仿宋_GB2312" w:eastAsia="仿宋_GB2312" w:cs="仿宋_GB2312"/>
          <w:sz w:val="32"/>
          <w:szCs w:val="32"/>
        </w:rPr>
        <w:t>2</w:t>
      </w:r>
      <w:r>
        <w:rPr>
          <w:rFonts w:hint="eastAsia" w:ascii="仿宋_GB2312" w:eastAsia="仿宋_GB2312" w:cs="仿宋_GB2312"/>
          <w:sz w:val="32"/>
          <w:szCs w:val="32"/>
        </w:rPr>
        <w:t>年1月1日-202</w:t>
      </w:r>
      <w:r>
        <w:rPr>
          <w:rFonts w:ascii="仿宋_GB2312" w:eastAsia="仿宋_GB2312" w:cs="仿宋_GB2312"/>
          <w:sz w:val="32"/>
          <w:szCs w:val="32"/>
        </w:rPr>
        <w:t>2</w:t>
      </w:r>
      <w:r>
        <w:rPr>
          <w:rFonts w:hint="eastAsia" w:ascii="仿宋_GB2312" w:eastAsia="仿宋_GB2312" w:cs="仿宋_GB2312"/>
          <w:sz w:val="32"/>
          <w:szCs w:val="32"/>
        </w:rPr>
        <w:t>年12月31日，根据项目情况适当回溯到2</w:t>
      </w:r>
      <w:r>
        <w:rPr>
          <w:rFonts w:ascii="仿宋_GB2312" w:eastAsia="仿宋_GB2312" w:cs="仿宋_GB2312"/>
          <w:sz w:val="32"/>
          <w:szCs w:val="32"/>
        </w:rPr>
        <w:t>021</w:t>
      </w:r>
      <w:r>
        <w:rPr>
          <w:rFonts w:hint="eastAsia" w:ascii="仿宋_GB2312" w:eastAsia="仿宋_GB2312" w:cs="仿宋_GB2312"/>
          <w:sz w:val="32"/>
          <w:szCs w:val="32"/>
        </w:rPr>
        <w:t>年。</w:t>
      </w:r>
    </w:p>
    <w:p>
      <w:pPr>
        <w:spacing w:line="560" w:lineRule="exact"/>
        <w:ind w:firstLine="642" w:firstLineChars="200"/>
        <w:outlineLvl w:val="1"/>
        <w:rPr>
          <w:rFonts w:ascii="楷体_GB2312" w:eastAsia="楷体_GB2312" w:cs="仿宋_GB2312"/>
          <w:b/>
          <w:bCs/>
          <w:sz w:val="32"/>
          <w:szCs w:val="32"/>
        </w:rPr>
      </w:pPr>
      <w:bookmarkStart w:id="9" w:name="_Toc148104147"/>
      <w:r>
        <w:rPr>
          <w:rFonts w:hint="eastAsia" w:ascii="楷体_GB2312" w:eastAsia="楷体_GB2312" w:cs="仿宋_GB2312"/>
          <w:b/>
          <w:bCs/>
          <w:sz w:val="32"/>
          <w:szCs w:val="32"/>
        </w:rPr>
        <w:t>（二）绩效评价原则、评价指标体系、评价方法、评价标准等</w:t>
      </w:r>
      <w:bookmarkEnd w:id="9"/>
    </w:p>
    <w:p>
      <w:pPr>
        <w:spacing w:line="560" w:lineRule="exact"/>
        <w:ind w:firstLine="642" w:firstLineChars="200"/>
        <w:outlineLvl w:val="2"/>
        <w:rPr>
          <w:rFonts w:ascii="仿宋_GB2312" w:eastAsia="仿宋_GB2312" w:cs="仿宋_GB2312"/>
          <w:b/>
          <w:bCs/>
          <w:sz w:val="32"/>
          <w:szCs w:val="32"/>
        </w:rPr>
      </w:pPr>
      <w:r>
        <w:rPr>
          <w:rFonts w:hint="eastAsia" w:ascii="仿宋_GB2312" w:eastAsia="仿宋_GB2312" w:cs="仿宋_GB2312"/>
          <w:b/>
          <w:bCs/>
          <w:sz w:val="32"/>
          <w:szCs w:val="32"/>
        </w:rPr>
        <w:t>1.绩效评价原则</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本次绩效评价遵循科学规范、客观公正的原则，在全面了解龙华区2022年生活垃圾分类工作激励资金</w:t>
      </w:r>
      <w:r>
        <w:rPr>
          <w:rFonts w:hint="eastAsia" w:ascii="仿宋_GB2312" w:eastAsia="仿宋_GB2312" w:cs="仿宋_GB2312"/>
          <w:color w:val="000000" w:themeColor="text1"/>
          <w:sz w:val="32"/>
          <w:szCs w:val="32"/>
          <w14:textFill>
            <w14:solidFill>
              <w14:schemeClr w14:val="tx1"/>
            </w14:solidFill>
          </w14:textFill>
        </w:rPr>
        <w:t>项目</w:t>
      </w:r>
      <w:r>
        <w:rPr>
          <w:rFonts w:hint="eastAsia" w:ascii="仿宋_GB2312" w:eastAsia="仿宋_GB2312" w:cs="仿宋_GB2312"/>
          <w:sz w:val="32"/>
          <w:szCs w:val="32"/>
        </w:rPr>
        <w:t>实施基本情况的前提下，构建评价指标体系对项目实施效果进行绩效评价。</w:t>
      </w:r>
    </w:p>
    <w:p>
      <w:pPr>
        <w:spacing w:line="560" w:lineRule="exact"/>
        <w:ind w:firstLine="642" w:firstLineChars="200"/>
        <w:outlineLvl w:val="2"/>
        <w:rPr>
          <w:rFonts w:ascii="仿宋_GB2312" w:eastAsia="仿宋_GB2312" w:cs="仿宋_GB2312"/>
          <w:b/>
          <w:bCs/>
          <w:sz w:val="32"/>
          <w:szCs w:val="32"/>
        </w:rPr>
      </w:pPr>
      <w:r>
        <w:rPr>
          <w:rFonts w:hint="eastAsia" w:ascii="仿宋_GB2312" w:eastAsia="仿宋_GB2312" w:cs="仿宋_GB2312"/>
          <w:b/>
          <w:bCs/>
          <w:sz w:val="32"/>
          <w:szCs w:val="32"/>
        </w:rPr>
        <w:t>2.绩效评价指标体系</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本次绩效评价指标体系根据《项目支出绩效评价管理办法》（财预〔2020〕10号）的相关要求，结合本项目实际情况，在分析绩效目标申报表的基础上，制定</w:t>
      </w:r>
      <w:r>
        <w:rPr>
          <w:rFonts w:hint="eastAsia" w:ascii="仿宋_GB2312" w:eastAsia="仿宋_GB2312" w:cs="仿宋_GB2312"/>
          <w:sz w:val="32"/>
          <w:szCs w:val="32"/>
        </w:rPr>
        <w:t>龙华区2022年生活垃圾分类工作激励资金</w:t>
      </w:r>
      <w:r>
        <w:rPr>
          <w:rFonts w:hint="eastAsia" w:ascii="仿宋_GB2312" w:eastAsia="仿宋_GB2312" w:cs="仿宋_GB2312"/>
          <w:color w:val="000000" w:themeColor="text1"/>
          <w:sz w:val="32"/>
          <w:szCs w:val="32"/>
          <w14:textFill>
            <w14:solidFill>
              <w14:schemeClr w14:val="tx1"/>
            </w14:solidFill>
          </w14:textFill>
        </w:rPr>
        <w:t>绩效评价指标体系（见附件1）。</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决策指标主要关注龙华区2022年生活垃圾分类工作激励资金项目立项依据充分性、立项程序规范性、绩效目标合理性以及绩效指标明确性。同时，在资金投入环节关注预算编制科学性、资金分配合理性。</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过程指标主要从资金管理、组织实施两个维度评价龙华区2022年生活垃圾分类工作激励资金工作的管理效果。</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产出指标主要从数量、质量、时效、成本四个维度评价龙华区2022年生活垃圾分类工作激励资金项目的实际产出情况。</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效益指标主要从社会效益、生态效益、可持续性影响及满意度等层面考察龙华区2022年生活垃圾分类工作激励资金项目实施带来的实际效果。</w:t>
      </w:r>
    </w:p>
    <w:p>
      <w:pPr>
        <w:spacing w:line="560" w:lineRule="exact"/>
        <w:ind w:firstLine="642" w:firstLineChars="200"/>
        <w:outlineLvl w:val="2"/>
        <w:rPr>
          <w:rFonts w:ascii="仿宋_GB2312" w:eastAsia="仿宋_GB2312" w:cs="仿宋_GB2312"/>
          <w:b/>
          <w:bCs/>
          <w:sz w:val="32"/>
          <w:szCs w:val="32"/>
        </w:rPr>
      </w:pPr>
      <w:r>
        <w:rPr>
          <w:rFonts w:hint="eastAsia" w:ascii="仿宋_GB2312" w:eastAsia="仿宋_GB2312" w:cs="仿宋_GB2312"/>
          <w:b/>
          <w:bCs/>
          <w:sz w:val="32"/>
          <w:szCs w:val="32"/>
        </w:rPr>
        <w:t>3.绩效评价方法</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本次绩效评价主要采取文献法、穿行测试法、公众评判法、因素分析法、成本效益分析。</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sz w:val="32"/>
          <w:szCs w:val="32"/>
        </w:rPr>
        <w:t>（1）</w:t>
      </w:r>
      <w:r>
        <w:rPr>
          <w:rFonts w:hint="eastAsia" w:ascii="仿宋_GB2312" w:eastAsia="仿宋_GB2312" w:cs="仿宋_GB2312"/>
          <w:color w:val="000000" w:themeColor="text1"/>
          <w:sz w:val="32"/>
          <w:szCs w:val="32"/>
          <w14:textFill>
            <w14:solidFill>
              <w14:schemeClr w14:val="tx1"/>
            </w14:solidFill>
          </w14:textFill>
        </w:rPr>
        <w:t>文献法：对龙华区2022年生活垃圾分类工作激励资金项目工作相关的政策文件、项目实施情况资料以及本项目相关的研究成果进行资料收集，了解本项目立项、实施基本情况。</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color w:val="000000" w:themeColor="text1"/>
          <w:sz w:val="32"/>
          <w:szCs w:val="32"/>
          <w14:textFill>
            <w14:solidFill>
              <w14:schemeClr w14:val="tx1"/>
            </w14:solidFill>
          </w14:textFill>
        </w:rPr>
        <w:t>（2）穿行测试法：通过追踪龙华区2022年生活垃圾分类工作激励资金项目实施内容在财务信息中的处理过程，采用询问、观察、检查等方式以确定是否与初始认知一致，了解项目的真实情况，评价前期投入及过程管理的规范性。</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3</w:t>
      </w:r>
      <w:r>
        <w:rPr>
          <w:rFonts w:hint="eastAsia" w:ascii="仿宋_GB2312" w:eastAsia="仿宋_GB2312" w:cs="仿宋_GB2312"/>
          <w:sz w:val="32"/>
          <w:szCs w:val="32"/>
        </w:rPr>
        <w:t>）公众评判法：通过满意度问卷调研，对</w:t>
      </w:r>
      <w:r>
        <w:rPr>
          <w:rFonts w:hint="eastAsia" w:ascii="仿宋_GB2312" w:eastAsia="仿宋_GB2312" w:cs="仿宋_GB2312"/>
          <w:color w:val="000000" w:themeColor="text1"/>
          <w:sz w:val="32"/>
          <w:szCs w:val="32"/>
          <w14:textFill>
            <w14:solidFill>
              <w14:schemeClr w14:val="tx1"/>
            </w14:solidFill>
          </w14:textFill>
        </w:rPr>
        <w:t>龙华区2022年生活垃圾分类工作激励资金</w:t>
      </w:r>
      <w:r>
        <w:rPr>
          <w:rFonts w:hint="eastAsia" w:ascii="仿宋_GB2312" w:eastAsia="仿宋_GB2312" w:cs="仿宋_GB2312"/>
          <w:sz w:val="32"/>
          <w:szCs w:val="32"/>
        </w:rPr>
        <w:t>项目实施效果进行评判。</w:t>
      </w:r>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sz w:val="32"/>
          <w:szCs w:val="32"/>
        </w:rPr>
        <w:t>（</w:t>
      </w:r>
      <w:r>
        <w:rPr>
          <w:rFonts w:ascii="仿宋_GB2312" w:eastAsia="仿宋_GB2312" w:cs="仿宋_GB2312"/>
          <w:sz w:val="32"/>
          <w:szCs w:val="32"/>
        </w:rPr>
        <w:t>4</w:t>
      </w:r>
      <w:r>
        <w:rPr>
          <w:rFonts w:hint="eastAsia" w:ascii="仿宋_GB2312" w:eastAsia="仿宋_GB2312" w:cs="仿宋_GB2312"/>
          <w:sz w:val="32"/>
          <w:szCs w:val="32"/>
        </w:rPr>
        <w:t>）因素分析法：综</w:t>
      </w:r>
      <w:r>
        <w:rPr>
          <w:rFonts w:hint="eastAsia" w:ascii="仿宋_GB2312" w:eastAsia="仿宋_GB2312" w:cs="仿宋_GB2312"/>
          <w:color w:val="000000" w:themeColor="text1"/>
          <w:sz w:val="32"/>
          <w:szCs w:val="32"/>
          <w14:textFill>
            <w14:solidFill>
              <w14:schemeClr w14:val="tx1"/>
            </w14:solidFill>
          </w14:textFill>
        </w:rPr>
        <w:t>合分析影响龙华区2022年生活垃圾分类工作激励资金项目工作实施效果的内部、外部因素。</w:t>
      </w:r>
    </w:p>
    <w:p>
      <w:pPr>
        <w:spacing w:line="560" w:lineRule="exact"/>
        <w:ind w:firstLine="640" w:firstLineChars="200"/>
        <w:rPr>
          <w:rFonts w:eastAsia="仿宋_GB2312" w:cs="Calibri"/>
          <w:sz w:val="32"/>
          <w:szCs w:val="32"/>
        </w:rPr>
      </w:pPr>
      <w:r>
        <w:rPr>
          <w:rFonts w:hint="eastAsia" w:ascii="仿宋_GB2312" w:eastAsia="仿宋_GB2312" w:cs="仿宋_GB2312"/>
          <w:color w:val="000000" w:themeColor="text1"/>
          <w:sz w:val="32"/>
          <w:szCs w:val="32"/>
          <w14:textFill>
            <w14:solidFill>
              <w14:schemeClr w14:val="tx1"/>
            </w14:solidFill>
          </w14:textFill>
        </w:rPr>
        <w:t>（5）成本效益分析：将龙华区2022年生活垃圾分类工作激励资金</w:t>
      </w:r>
      <w:r>
        <w:rPr>
          <w:rFonts w:hint="eastAsia" w:ascii="仿宋_GB2312" w:eastAsia="仿宋_GB2312" w:cs="仿宋_GB2312"/>
          <w:sz w:val="32"/>
          <w:szCs w:val="32"/>
        </w:rPr>
        <w:t>项目投入与产出、效益进行关联性分析</w:t>
      </w:r>
      <w:r>
        <w:rPr>
          <w:rFonts w:hint="eastAsia" w:ascii="仿宋_GB2312" w:eastAsia="仿宋_GB2312" w:cs="仿宋_GB2312"/>
          <w:color w:val="000000" w:themeColor="text1"/>
          <w:sz w:val="32"/>
          <w:szCs w:val="32"/>
          <w14:textFill>
            <w14:solidFill>
              <w14:schemeClr w14:val="tx1"/>
            </w14:solidFill>
          </w14:textFill>
        </w:rPr>
        <w:t>。</w:t>
      </w:r>
    </w:p>
    <w:p>
      <w:pPr>
        <w:spacing w:line="560" w:lineRule="exact"/>
        <w:ind w:firstLine="642" w:firstLineChars="200"/>
        <w:outlineLvl w:val="2"/>
        <w:rPr>
          <w:rFonts w:ascii="仿宋_GB2312" w:eastAsia="仿宋_GB2312" w:cs="仿宋_GB2312"/>
          <w:b/>
          <w:bCs/>
          <w:sz w:val="32"/>
          <w:szCs w:val="32"/>
        </w:rPr>
      </w:pPr>
      <w:r>
        <w:rPr>
          <w:rFonts w:hint="eastAsia" w:ascii="仿宋_GB2312" w:eastAsia="仿宋_GB2312" w:cs="仿宋_GB2312"/>
          <w:b/>
          <w:bCs/>
          <w:sz w:val="32"/>
          <w:szCs w:val="32"/>
        </w:rPr>
        <w:t>4.绩效评价标准</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本次绩效评价标准是依据绩效评价基本原理，分别按照计划标准、历史标准、行业标准等制定，分为定性指标和定量指标。</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项目支出绩效评价管理办法》（财预〔2020〕10号），本次绩效评价结果采取评分和评级相结合的方式，将绩效评价等级划分为四档：90（含）-100分为“优”、80（含）-90分为“良”、60（含）-80分为“中”、60分以下为“差”。</w:t>
      </w:r>
    </w:p>
    <w:p>
      <w:pPr>
        <w:spacing w:line="560" w:lineRule="exact"/>
        <w:ind w:firstLine="642" w:firstLineChars="200"/>
        <w:outlineLvl w:val="1"/>
        <w:rPr>
          <w:rFonts w:ascii="楷体_GB2312" w:eastAsia="楷体_GB2312" w:cs="仿宋_GB2312"/>
          <w:b/>
          <w:bCs/>
          <w:sz w:val="32"/>
          <w:szCs w:val="32"/>
        </w:rPr>
      </w:pPr>
      <w:bookmarkStart w:id="10" w:name="_Toc148104148"/>
      <w:r>
        <w:rPr>
          <w:rFonts w:hint="eastAsia" w:ascii="楷体_GB2312" w:eastAsia="楷体_GB2312" w:cs="仿宋_GB2312"/>
          <w:b/>
          <w:bCs/>
          <w:sz w:val="32"/>
          <w:szCs w:val="32"/>
        </w:rPr>
        <w:t>（三）绩效评价工作过程</w:t>
      </w:r>
      <w:bookmarkEnd w:id="10"/>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本次评价工作实施步骤包括资料收集与梳理、现场访谈与实地调查、指标体系设计与综合评价等3个阶段，具体如下：</w:t>
      </w:r>
    </w:p>
    <w:p>
      <w:pPr>
        <w:spacing w:line="560" w:lineRule="exact"/>
        <w:ind w:firstLine="642" w:firstLineChars="200"/>
        <w:outlineLvl w:val="2"/>
        <w:rPr>
          <w:rFonts w:ascii="仿宋_GB2312" w:eastAsia="仿宋_GB2312" w:cs="仿宋_GB2312"/>
          <w:b/>
          <w:bCs/>
          <w:sz w:val="32"/>
          <w:szCs w:val="32"/>
        </w:rPr>
      </w:pPr>
      <w:r>
        <w:rPr>
          <w:rFonts w:hint="eastAsia" w:ascii="仿宋_GB2312" w:eastAsia="仿宋_GB2312" w:cs="仿宋_GB2312"/>
          <w:b/>
          <w:bCs/>
          <w:sz w:val="32"/>
          <w:szCs w:val="32"/>
        </w:rPr>
        <w:t>1.资料收集梳理</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收集并梳理分析龙华区2022年生活垃圾分类工作激励资金项目相关政策、管理制度及实施资料等，了解项目立项、资金申请与审批、资金拨付等程序要求及具体执行情况。</w:t>
      </w:r>
    </w:p>
    <w:p>
      <w:pPr>
        <w:spacing w:line="560" w:lineRule="exact"/>
        <w:ind w:firstLine="642" w:firstLineChars="200"/>
        <w:outlineLvl w:val="2"/>
        <w:rPr>
          <w:rFonts w:ascii="仿宋_GB2312" w:eastAsia="仿宋_GB2312" w:cs="仿宋_GB2312"/>
          <w:b/>
          <w:bCs/>
          <w:sz w:val="32"/>
          <w:szCs w:val="32"/>
        </w:rPr>
      </w:pPr>
      <w:r>
        <w:rPr>
          <w:rFonts w:hint="eastAsia" w:ascii="仿宋_GB2312" w:eastAsia="仿宋_GB2312" w:cs="仿宋_GB2312"/>
          <w:b/>
          <w:bCs/>
          <w:sz w:val="32"/>
          <w:szCs w:val="32"/>
        </w:rPr>
        <w:t>2.现场访谈与实地调查</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（1）业务访谈。评价小组对区城管和综合执法局相关人员进行访谈，了解政策落实、资金投入、资金使用、项目实施、项目监管、项目经验做法及成效，项目实施存在的困难或问题等内容。</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（2）合规性检查。评价小组抽取了龙华区2022年生活垃圾分类工作激励资金项目明细账和原始会计凭证，检查资金支付的合规性。</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w:t>
      </w:r>
      <w:r>
        <w:rPr>
          <w:rFonts w:ascii="仿宋_GB2312" w:eastAsia="仿宋_GB2312" w:cs="仿宋_GB2312"/>
          <w:bCs/>
          <w:sz w:val="32"/>
          <w:szCs w:val="32"/>
        </w:rPr>
        <w:t>3</w:t>
      </w:r>
      <w:r>
        <w:rPr>
          <w:rFonts w:hint="eastAsia" w:ascii="仿宋_GB2312" w:eastAsia="仿宋_GB2312" w:cs="仿宋_GB2312"/>
          <w:bCs/>
          <w:sz w:val="32"/>
          <w:szCs w:val="32"/>
        </w:rPr>
        <w:t>）问卷调查。评价小组面向深圳市龙华区居民群众开展了满意度调查，采用“问卷星”网络方式，通过区城管和综合执法局、各街道等途径发放调查问卷。调查问卷周期为2</w:t>
      </w:r>
      <w:r>
        <w:rPr>
          <w:rFonts w:ascii="仿宋_GB2312" w:eastAsia="仿宋_GB2312" w:cs="仿宋_GB2312"/>
          <w:bCs/>
          <w:sz w:val="32"/>
          <w:szCs w:val="32"/>
        </w:rPr>
        <w:t>023</w:t>
      </w:r>
      <w:r>
        <w:rPr>
          <w:rFonts w:hint="eastAsia" w:ascii="仿宋_GB2312" w:eastAsia="仿宋_GB2312" w:cs="仿宋_GB2312"/>
          <w:bCs/>
          <w:sz w:val="32"/>
          <w:szCs w:val="32"/>
        </w:rPr>
        <w:t>年1</w:t>
      </w:r>
      <w:r>
        <w:rPr>
          <w:rFonts w:ascii="仿宋_GB2312" w:eastAsia="仿宋_GB2312" w:cs="仿宋_GB2312"/>
          <w:bCs/>
          <w:sz w:val="32"/>
          <w:szCs w:val="32"/>
        </w:rPr>
        <w:t>0</w:t>
      </w:r>
      <w:r>
        <w:rPr>
          <w:rFonts w:hint="eastAsia" w:ascii="仿宋_GB2312" w:eastAsia="仿宋_GB2312" w:cs="仿宋_GB2312"/>
          <w:bCs/>
          <w:sz w:val="32"/>
          <w:szCs w:val="32"/>
        </w:rPr>
        <w:t>月8日-</w:t>
      </w:r>
      <w:r>
        <w:rPr>
          <w:rFonts w:ascii="仿宋_GB2312" w:eastAsia="仿宋_GB2312" w:cs="仿宋_GB2312"/>
          <w:bCs/>
          <w:sz w:val="32"/>
          <w:szCs w:val="32"/>
        </w:rPr>
        <w:t>2023</w:t>
      </w:r>
      <w:r>
        <w:rPr>
          <w:rFonts w:hint="eastAsia" w:ascii="仿宋_GB2312" w:eastAsia="仿宋_GB2312" w:cs="仿宋_GB2312"/>
          <w:bCs/>
          <w:sz w:val="32"/>
          <w:szCs w:val="32"/>
        </w:rPr>
        <w:t>年1</w:t>
      </w:r>
      <w:r>
        <w:rPr>
          <w:rFonts w:ascii="仿宋_GB2312" w:eastAsia="仿宋_GB2312" w:cs="仿宋_GB2312"/>
          <w:bCs/>
          <w:sz w:val="32"/>
          <w:szCs w:val="32"/>
        </w:rPr>
        <w:t>0</w:t>
      </w:r>
      <w:r>
        <w:rPr>
          <w:rFonts w:hint="eastAsia" w:ascii="仿宋_GB2312" w:eastAsia="仿宋_GB2312" w:cs="仿宋_GB2312"/>
          <w:bCs/>
          <w:sz w:val="32"/>
          <w:szCs w:val="32"/>
        </w:rPr>
        <w:t>月</w:t>
      </w:r>
      <w:r>
        <w:rPr>
          <w:rFonts w:ascii="仿宋_GB2312" w:eastAsia="仿宋_GB2312" w:cs="仿宋_GB2312"/>
          <w:bCs/>
          <w:sz w:val="32"/>
          <w:szCs w:val="32"/>
        </w:rPr>
        <w:t>13</w:t>
      </w:r>
      <w:r>
        <w:rPr>
          <w:rFonts w:hint="eastAsia" w:ascii="仿宋_GB2312" w:eastAsia="仿宋_GB2312" w:cs="仿宋_GB2312"/>
          <w:bCs/>
          <w:sz w:val="32"/>
          <w:szCs w:val="32"/>
        </w:rPr>
        <w:t>日，累计回收有效问卷</w:t>
      </w:r>
      <w:r>
        <w:rPr>
          <w:rFonts w:ascii="仿宋_GB2312" w:eastAsia="仿宋_GB2312" w:cs="仿宋_GB2312"/>
          <w:bCs/>
          <w:sz w:val="32"/>
          <w:szCs w:val="32"/>
        </w:rPr>
        <w:t>670</w:t>
      </w:r>
      <w:r>
        <w:rPr>
          <w:rFonts w:hint="eastAsia" w:ascii="仿宋_GB2312" w:eastAsia="仿宋_GB2312" w:cs="仿宋_GB2312"/>
          <w:bCs/>
          <w:sz w:val="32"/>
          <w:szCs w:val="32"/>
        </w:rPr>
        <w:t>份。问卷主要包括1</w:t>
      </w:r>
      <w:r>
        <w:rPr>
          <w:rFonts w:ascii="仿宋_GB2312" w:eastAsia="仿宋_GB2312" w:cs="仿宋_GB2312"/>
          <w:bCs/>
          <w:sz w:val="32"/>
          <w:szCs w:val="32"/>
        </w:rPr>
        <w:t>3</w:t>
      </w:r>
      <w:r>
        <w:rPr>
          <w:rFonts w:hint="eastAsia" w:ascii="仿宋_GB2312" w:eastAsia="仿宋_GB2312" w:cs="仿宋_GB2312"/>
          <w:bCs/>
          <w:sz w:val="32"/>
          <w:szCs w:val="32"/>
        </w:rPr>
        <w:t>个问题：垃圾分类习惯、对小区环境卫生满意情况、对生活垃圾分类宣传活动满意情况、对生活垃圾分类的整体工作满意情况、对生活垃圾分类激励政策了解情况、对生活垃圾分类激励的宣传工作满意情况、对生活垃圾分类激励补助资金的申报及审核程序满意情况、对生活垃圾分类激励的整体工作满意情况、对生活垃圾分类或相应的激励工作的意见或建议等。通过SPSS软件分析，本次调查问卷的Cronbach.</w:t>
      </w:r>
      <w:r>
        <w:rPr>
          <w:rFonts w:ascii="Cambria Math" w:hAnsi="Cambria Math" w:eastAsia="仿宋_GB2312" w:cs="Cambria Math"/>
          <w:bCs/>
          <w:sz w:val="32"/>
          <w:szCs w:val="32"/>
        </w:rPr>
        <w:t>𝛼</w:t>
      </w:r>
      <w:r>
        <w:rPr>
          <w:rFonts w:hint="eastAsia" w:ascii="仿宋_GB2312" w:eastAsia="仿宋_GB2312" w:cs="仿宋_GB2312"/>
          <w:bCs/>
          <w:sz w:val="32"/>
          <w:szCs w:val="32"/>
        </w:rPr>
        <w:t>系数</w:t>
      </w:r>
      <w:r>
        <w:rPr>
          <w:rStyle w:val="32"/>
          <w:rFonts w:ascii="仿宋_GB2312" w:eastAsia="仿宋_GB2312" w:cs="仿宋_GB2312"/>
          <w:bCs/>
          <w:sz w:val="32"/>
          <w:szCs w:val="32"/>
        </w:rPr>
        <w:footnoteReference w:id="0"/>
      </w:r>
      <w:r>
        <w:rPr>
          <w:rFonts w:hint="eastAsia" w:ascii="仿宋_GB2312" w:eastAsia="仿宋_GB2312" w:cs="仿宋_GB2312"/>
          <w:bCs/>
          <w:sz w:val="32"/>
          <w:szCs w:val="32"/>
        </w:rPr>
        <w:t>为</w:t>
      </w:r>
      <w:r>
        <w:rPr>
          <w:rFonts w:ascii="仿宋_GB2312" w:eastAsia="仿宋_GB2312" w:cs="仿宋_GB2312"/>
          <w:bCs/>
          <w:sz w:val="32"/>
          <w:szCs w:val="32"/>
        </w:rPr>
        <w:t>0.74</w:t>
      </w:r>
      <w:r>
        <w:rPr>
          <w:rFonts w:hint="eastAsia" w:ascii="仿宋_GB2312" w:eastAsia="仿宋_GB2312" w:cs="仿宋_GB2312"/>
          <w:bCs/>
          <w:sz w:val="32"/>
          <w:szCs w:val="32"/>
        </w:rPr>
        <w:t>，说明问卷具有良好的信度，内部一致性较好。调查问卷数据情况详见附件</w:t>
      </w:r>
      <w:r>
        <w:rPr>
          <w:rFonts w:ascii="仿宋_GB2312" w:eastAsia="仿宋_GB2312" w:cs="仿宋_GB2312"/>
          <w:bCs/>
          <w:sz w:val="32"/>
          <w:szCs w:val="32"/>
        </w:rPr>
        <w:t>2</w:t>
      </w:r>
      <w:r>
        <w:rPr>
          <w:rFonts w:hint="eastAsia" w:ascii="仿宋_GB2312" w:eastAsia="仿宋_GB2312" w:cs="仿宋_GB2312"/>
          <w:bCs/>
          <w:sz w:val="32"/>
          <w:szCs w:val="32"/>
        </w:rPr>
        <w:t>《项目调查问卷及数据》。</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w:t>
      </w:r>
      <w:r>
        <w:rPr>
          <w:rFonts w:ascii="仿宋_GB2312" w:eastAsia="仿宋_GB2312" w:cs="仿宋_GB2312"/>
          <w:bCs/>
          <w:sz w:val="32"/>
          <w:szCs w:val="32"/>
        </w:rPr>
        <w:t>4</w:t>
      </w:r>
      <w:r>
        <w:rPr>
          <w:rFonts w:hint="eastAsia" w:ascii="仿宋_GB2312" w:eastAsia="仿宋_GB2312" w:cs="仿宋_GB2312"/>
          <w:bCs/>
          <w:sz w:val="32"/>
          <w:szCs w:val="32"/>
        </w:rPr>
        <w:t>）实地检查。评价小组实地调查龙华区</w:t>
      </w:r>
      <w:r>
        <w:rPr>
          <w:rFonts w:ascii="仿宋_GB2312" w:eastAsia="仿宋_GB2312" w:cs="仿宋_GB2312"/>
          <w:bCs/>
          <w:sz w:val="32"/>
          <w:szCs w:val="32"/>
        </w:rPr>
        <w:t>12</w:t>
      </w:r>
      <w:r>
        <w:rPr>
          <w:rFonts w:hint="eastAsia" w:ascii="仿宋_GB2312" w:eastAsia="仿宋_GB2312" w:cs="仿宋_GB2312"/>
          <w:bCs/>
          <w:sz w:val="32"/>
          <w:szCs w:val="32"/>
        </w:rPr>
        <w:t>个小区，包括6个“生活垃圾分类绿色小区”，对比分析、了解垃圾分类工作的实际执行情况和实施效果。实地检查内容主要包括现场观察垃圾投放情况、垃圾投放点管理情况，如群众现场是否进行垃圾分类投放；集中分类投放点分类收集容器是否按照标准整齐摆放，垃圾桶桶身是否清洁，是否满溢；投放点现场是否整洁、是否散落垃圾、是否积水等。现场调研情况详见附件3《现场调研情况分析》。</w:t>
      </w:r>
    </w:p>
    <w:p>
      <w:pPr>
        <w:spacing w:line="560" w:lineRule="exact"/>
        <w:ind w:firstLine="642" w:firstLineChars="200"/>
        <w:outlineLvl w:val="2"/>
        <w:rPr>
          <w:rFonts w:ascii="仿宋_GB2312" w:eastAsia="仿宋_GB2312" w:cs="仿宋_GB2312"/>
          <w:b/>
          <w:bCs/>
          <w:sz w:val="32"/>
          <w:szCs w:val="32"/>
        </w:rPr>
      </w:pPr>
      <w:r>
        <w:rPr>
          <w:rFonts w:hint="eastAsia" w:ascii="仿宋_GB2312" w:eastAsia="仿宋_GB2312" w:cs="仿宋_GB2312"/>
          <w:b/>
          <w:bCs/>
          <w:sz w:val="32"/>
          <w:szCs w:val="32"/>
        </w:rPr>
        <w:t>3.指标体系设计与综合评价</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bCs/>
          <w:sz w:val="32"/>
          <w:szCs w:val="32"/>
        </w:rPr>
        <w:t>评价小组基于项目有关政策背景、现场访谈及检查情况，修订完善评价指标体系，并组织开展综合评价，撰写及探讨商定综合评价意见，以保证评价意见客观、详细、明确及具有建设性。</w:t>
      </w:r>
    </w:p>
    <w:p>
      <w:pPr>
        <w:spacing w:line="560" w:lineRule="exact"/>
        <w:ind w:firstLine="640" w:firstLineChars="200"/>
        <w:outlineLvl w:val="0"/>
        <w:rPr>
          <w:rFonts w:ascii="黑体" w:hAnsi="黑体" w:eastAsia="黑体" w:cs="黑体"/>
          <w:sz w:val="32"/>
          <w:szCs w:val="32"/>
        </w:rPr>
      </w:pPr>
      <w:bookmarkStart w:id="11" w:name="_Toc148104149"/>
      <w:r>
        <w:rPr>
          <w:rFonts w:hint="eastAsia" w:ascii="黑体" w:hAnsi="黑体" w:eastAsia="黑体" w:cs="黑体"/>
          <w:sz w:val="32"/>
          <w:szCs w:val="32"/>
        </w:rPr>
        <w:t>三、总体评价及评分分析</w:t>
      </w:r>
      <w:bookmarkEnd w:id="11"/>
    </w:p>
    <w:p>
      <w:pPr>
        <w:spacing w:line="560" w:lineRule="exact"/>
        <w:ind w:firstLine="642" w:firstLineChars="200"/>
        <w:outlineLvl w:val="1"/>
        <w:rPr>
          <w:rFonts w:ascii="楷体_GB2312" w:eastAsia="楷体_GB2312" w:cs="仿宋_GB2312"/>
          <w:b/>
          <w:bCs/>
          <w:sz w:val="32"/>
          <w:szCs w:val="32"/>
        </w:rPr>
      </w:pPr>
      <w:bookmarkStart w:id="12" w:name="_Toc148104150"/>
      <w:r>
        <w:rPr>
          <w:rFonts w:hint="eastAsia" w:ascii="楷体_GB2312" w:eastAsia="楷体_GB2312" w:cs="仿宋_GB2312"/>
          <w:b/>
          <w:bCs/>
          <w:sz w:val="32"/>
          <w:szCs w:val="32"/>
        </w:rPr>
        <w:t>（一）总体评价</w:t>
      </w:r>
      <w:bookmarkEnd w:id="12"/>
    </w:p>
    <w:p>
      <w:pPr>
        <w:spacing w:line="56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sz w:val="32"/>
          <w:szCs w:val="32"/>
          <w:lang w:val="en-GB"/>
        </w:rPr>
        <w:t>本次对</w:t>
      </w:r>
      <w:r>
        <w:rPr>
          <w:rFonts w:hint="eastAsia" w:ascii="仿宋_GB2312" w:eastAsia="仿宋_GB2312" w:cs="仿宋_GB2312"/>
          <w:sz w:val="32"/>
          <w:szCs w:val="32"/>
        </w:rPr>
        <w:t>龙华区2022年生活垃圾分类工作激励资金</w:t>
      </w:r>
      <w:r>
        <w:rPr>
          <w:rFonts w:hint="eastAsia" w:ascii="仿宋_GB2312" w:eastAsia="仿宋_GB2312" w:cs="仿宋_GB2312"/>
          <w:color w:val="000000" w:themeColor="text1"/>
          <w:sz w:val="32"/>
          <w:szCs w:val="32"/>
          <w14:textFill>
            <w14:solidFill>
              <w14:schemeClr w14:val="tx1"/>
            </w14:solidFill>
          </w14:textFill>
        </w:rPr>
        <w:t>项目绩效评价得分为</w:t>
      </w:r>
      <w:r>
        <w:rPr>
          <w:rFonts w:ascii="仿宋_GB2312" w:eastAsia="仿宋_GB2312" w:cs="仿宋_GB2312"/>
          <w:color w:val="000000" w:themeColor="text1"/>
          <w:sz w:val="32"/>
          <w:szCs w:val="32"/>
          <w14:textFill>
            <w14:solidFill>
              <w14:schemeClr w14:val="tx1"/>
            </w14:solidFill>
          </w14:textFill>
        </w:rPr>
        <w:t>92.25</w:t>
      </w:r>
      <w:r>
        <w:rPr>
          <w:rFonts w:hint="eastAsia" w:ascii="仿宋_GB2312" w:eastAsia="仿宋_GB2312" w:cs="仿宋_GB2312"/>
          <w:color w:val="000000" w:themeColor="text1"/>
          <w:sz w:val="32"/>
          <w:szCs w:val="32"/>
          <w14:textFill>
            <w14:solidFill>
              <w14:schemeClr w14:val="tx1"/>
            </w14:solidFill>
          </w14:textFill>
        </w:rPr>
        <w:t>分，绩效评级为“优”。其中，决策维度绩效评价得分为</w:t>
      </w:r>
      <w:r>
        <w:rPr>
          <w:rFonts w:ascii="仿宋_GB2312" w:eastAsia="仿宋_GB2312" w:cs="仿宋_GB2312"/>
          <w:color w:val="000000" w:themeColor="text1"/>
          <w:sz w:val="32"/>
          <w:szCs w:val="32"/>
          <w14:textFill>
            <w14:solidFill>
              <w14:schemeClr w14:val="tx1"/>
            </w14:solidFill>
          </w14:textFill>
        </w:rPr>
        <w:t>16</w:t>
      </w:r>
      <w:r>
        <w:rPr>
          <w:rFonts w:hint="eastAsia" w:ascii="仿宋_GB2312" w:eastAsia="仿宋_GB2312" w:cs="仿宋_GB2312"/>
          <w:color w:val="000000" w:themeColor="text1"/>
          <w:sz w:val="32"/>
          <w:szCs w:val="32"/>
          <w14:textFill>
            <w14:solidFill>
              <w14:schemeClr w14:val="tx1"/>
            </w14:solidFill>
          </w14:textFill>
        </w:rPr>
        <w:t>分，得分率为88.89%；过程维度绩效评价得分为得分21.71分，得分率为98.68%；产出维度绩效评价得分为19.54分，得分率为97.70%；效益维度绩效评价得分为35分，得分率为87.5%。</w:t>
      </w:r>
    </w:p>
    <w:p>
      <w:pPr>
        <w:spacing w:line="600" w:lineRule="exact"/>
        <w:ind w:firstLine="562" w:firstLineChars="200"/>
        <w:jc w:val="center"/>
        <w:rPr>
          <w:rFonts w:ascii="黑体" w:hAnsi="黑体" w:eastAsia="黑体" w:cs="仿宋_GB2312"/>
          <w:b/>
          <w:bCs/>
          <w:sz w:val="28"/>
          <w:szCs w:val="28"/>
        </w:rPr>
      </w:pPr>
      <w:r>
        <w:rPr>
          <w:rFonts w:hint="eastAsia" w:ascii="黑体" w:hAnsi="黑体" w:eastAsia="黑体" w:cs="仿宋_GB2312"/>
          <w:b/>
          <w:bCs/>
          <w:sz w:val="28"/>
          <w:szCs w:val="28"/>
        </w:rPr>
        <w:t>表</w:t>
      </w:r>
      <w:r>
        <w:rPr>
          <w:rFonts w:ascii="黑体" w:hAnsi="黑体" w:eastAsia="黑体" w:cs="仿宋_GB2312"/>
          <w:b/>
          <w:bCs/>
          <w:sz w:val="28"/>
          <w:szCs w:val="28"/>
        </w:rPr>
        <w:t>3-1</w:t>
      </w:r>
      <w:r>
        <w:rPr>
          <w:rFonts w:hint="eastAsia" w:ascii="黑体" w:hAnsi="黑体" w:eastAsia="黑体" w:cs="仿宋_GB2312"/>
          <w:b/>
          <w:bCs/>
          <w:sz w:val="28"/>
          <w:szCs w:val="28"/>
        </w:rPr>
        <w:t>项目绩效评价指标得分汇总表</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861"/>
        <w:gridCol w:w="1151"/>
        <w:gridCol w:w="716"/>
        <w:gridCol w:w="2170"/>
        <w:gridCol w:w="861"/>
        <w:gridCol w:w="948"/>
        <w:gridCol w:w="1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923"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一级指标</w:t>
            </w:r>
          </w:p>
        </w:tc>
        <w:tc>
          <w:tcPr>
            <w:tcW w:w="1095"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二级指标</w:t>
            </w:r>
          </w:p>
        </w:tc>
        <w:tc>
          <w:tcPr>
            <w:tcW w:w="1778"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三级指标</w:t>
            </w:r>
          </w:p>
        </w:tc>
        <w:tc>
          <w:tcPr>
            <w:tcW w:w="556" w:type="pct"/>
            <w:vMerge w:val="restar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得分</w:t>
            </w:r>
          </w:p>
        </w:tc>
        <w:tc>
          <w:tcPr>
            <w:tcW w:w="647" w:type="pct"/>
            <w:vMerge w:val="restart"/>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blHeader/>
        </w:trPr>
        <w:tc>
          <w:tcPr>
            <w:tcW w:w="418"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67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420"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1273"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556" w:type="pct"/>
            <w:vMerge w:val="continue"/>
            <w:vAlign w:val="center"/>
          </w:tcPr>
          <w:p>
            <w:pPr>
              <w:widowControl/>
              <w:jc w:val="center"/>
              <w:rPr>
                <w:rFonts w:cs="宋体" w:asciiTheme="minorEastAsia" w:hAnsiTheme="minorEastAsia" w:eastAsiaTheme="minorEastAsia"/>
                <w:b/>
                <w:bCs/>
                <w:color w:val="000000"/>
              </w:rPr>
            </w:pPr>
          </w:p>
        </w:tc>
        <w:tc>
          <w:tcPr>
            <w:tcW w:w="647" w:type="pct"/>
            <w:vMerge w:val="continue"/>
            <w:vAlign w:val="center"/>
          </w:tcPr>
          <w:p>
            <w:pPr>
              <w:widowControl/>
              <w:jc w:val="center"/>
              <w:rPr>
                <w:rFonts w:cs="宋体" w:asciiTheme="minorEastAsia" w:hAnsiTheme="minorEastAsia" w:eastAsiaTheme="minorEastAsia"/>
                <w:b/>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决策</w:t>
            </w:r>
          </w:p>
        </w:tc>
        <w:tc>
          <w:tcPr>
            <w:tcW w:w="50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18</w:t>
            </w: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项目立项</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立项依据充分性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立项程序规范性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绩效目标</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绩效目标合理性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3</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r>
              <w:rPr>
                <w:rFonts w:cs="宋体" w:asciiTheme="minorEastAsia" w:hAnsiTheme="minorEastAsia" w:eastAsiaTheme="minorEastAsia"/>
                <w:color w:val="000000"/>
              </w:rPr>
              <w:t>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绩效指标明确性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3</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r>
              <w:rPr>
                <w:rFonts w:cs="宋体" w:asciiTheme="minorEastAsia" w:hAnsiTheme="minorEastAsia" w:eastAsiaTheme="minorEastAsia"/>
                <w:color w:val="000000"/>
              </w:rPr>
              <w:t>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资金投入</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预算编制科学性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资金分配合理性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过程</w:t>
            </w:r>
          </w:p>
        </w:tc>
        <w:tc>
          <w:tcPr>
            <w:tcW w:w="50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22</w:t>
            </w: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预算管理</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预算执行率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1.71</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预算管理规范性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财务管理</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财务制度健全性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资金使用规范性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组织实施</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12</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项目实施制度健全性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项目实施执行有效性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产出</w:t>
            </w:r>
          </w:p>
        </w:tc>
        <w:tc>
          <w:tcPr>
            <w:tcW w:w="50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w:t>
            </w:r>
          </w:p>
        </w:tc>
        <w:tc>
          <w:tcPr>
            <w:tcW w:w="67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产出数量</w:t>
            </w:r>
          </w:p>
        </w:tc>
        <w:tc>
          <w:tcPr>
            <w:tcW w:w="420"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实际完成率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3.54</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产出质量</w:t>
            </w:r>
          </w:p>
        </w:tc>
        <w:tc>
          <w:tcPr>
            <w:tcW w:w="420"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质量达标率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产出时效</w:t>
            </w:r>
          </w:p>
        </w:tc>
        <w:tc>
          <w:tcPr>
            <w:tcW w:w="420"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完成及时性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47" w:type="pct"/>
            <w:tcBorders>
              <w:top w:val="single" w:color="000000" w:sz="4" w:space="0"/>
              <w:left w:val="single" w:color="000000" w:sz="4" w:space="0"/>
              <w:bottom w:val="single" w:color="000000" w:sz="4" w:space="0"/>
              <w:right w:val="single" w:color="000000" w:sz="4" w:space="0"/>
            </w:tcBorders>
            <w:shd w:val="clear" w:color="auto" w:fill="auto"/>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产出成本</w:t>
            </w:r>
          </w:p>
        </w:tc>
        <w:tc>
          <w:tcPr>
            <w:tcW w:w="420"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补助标准</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47" w:type="pct"/>
            <w:tcBorders>
              <w:top w:val="single" w:color="000000" w:sz="4" w:space="0"/>
              <w:left w:val="single" w:color="000000" w:sz="4" w:space="0"/>
              <w:bottom w:val="single" w:color="000000" w:sz="4" w:space="0"/>
              <w:right w:val="single" w:color="000000" w:sz="4" w:space="0"/>
            </w:tcBorders>
            <w:shd w:val="clear" w:color="auto" w:fill="auto"/>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效益</w:t>
            </w:r>
          </w:p>
        </w:tc>
        <w:tc>
          <w:tcPr>
            <w:tcW w:w="50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40</w:t>
            </w: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社会效益</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12</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生活垃圾分类覆盖率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住宅区垃圾分类入户宣传率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激励政策知晓率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3</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r>
              <w:rPr>
                <w:rFonts w:cs="宋体" w:asciiTheme="minorEastAsia" w:hAnsiTheme="minorEastAsia" w:eastAsiaTheme="minor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生态效益</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14</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厨余垃圾分类率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生活垃圾回收利用率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可持续影响</w:t>
            </w:r>
          </w:p>
        </w:tc>
        <w:tc>
          <w:tcPr>
            <w:tcW w:w="420"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落实垃圾分类要求持续性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cs="宋体" w:asciiTheme="minorEastAsia" w:hAnsiTheme="minorEastAsia" w:eastAsiaTheme="minorEastAsia"/>
                <w:color w:val="000000"/>
              </w:rPr>
              <w:t>2</w:t>
            </w:r>
          </w:p>
        </w:tc>
        <w:tc>
          <w:tcPr>
            <w:tcW w:w="647" w:type="pct"/>
            <w:shd w:val="clear" w:color="auto" w:fill="auto"/>
            <w:vAlign w:val="center"/>
          </w:tcPr>
          <w:p>
            <w:pPr>
              <w:widowControl/>
              <w:jc w:val="center"/>
              <w:rPr>
                <w:rFonts w:cs="宋体" w:asciiTheme="minorEastAsia" w:hAnsiTheme="minorEastAsia" w:eastAsiaTheme="minorEastAsia"/>
                <w:color w:val="000000"/>
              </w:rPr>
            </w:pPr>
            <w:r>
              <w:rPr>
                <w:rFonts w:cs="宋体" w:asciiTheme="minorEastAsia" w:hAnsiTheme="minorEastAsia" w:eastAsiaTheme="minorEastAsia"/>
                <w:color w:val="00000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满意度</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公众对垃圾分类激励工作满意度</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w:t>
            </w:r>
            <w:r>
              <w:rPr>
                <w:rFonts w:cs="宋体" w:asciiTheme="minorEastAsia" w:hAnsiTheme="minorEastAsia" w:eastAsiaTheme="minor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公众对垃圾分类工作满意度</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总分</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100</w:t>
            </w:r>
          </w:p>
        </w:tc>
        <w:tc>
          <w:tcPr>
            <w:tcW w:w="67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w:t>
            </w:r>
          </w:p>
        </w:tc>
        <w:tc>
          <w:tcPr>
            <w:tcW w:w="420"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100</w:t>
            </w:r>
          </w:p>
        </w:tc>
        <w:tc>
          <w:tcPr>
            <w:tcW w:w="1273"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100</w:t>
            </w:r>
          </w:p>
        </w:tc>
        <w:tc>
          <w:tcPr>
            <w:tcW w:w="556" w:type="pct"/>
            <w:shd w:val="clear" w:color="auto" w:fill="auto"/>
            <w:noWrap/>
            <w:vAlign w:val="center"/>
          </w:tcPr>
          <w:p>
            <w:pPr>
              <w:widowControl/>
              <w:jc w:val="center"/>
              <w:rPr>
                <w:rFonts w:cs="宋体" w:asciiTheme="minorEastAsia" w:hAnsiTheme="minorEastAsia" w:eastAsiaTheme="minorEastAsia"/>
                <w:b/>
                <w:bCs/>
                <w:color w:val="000000"/>
              </w:rPr>
            </w:pPr>
            <w:r>
              <w:rPr>
                <w:rFonts w:cs="宋体" w:asciiTheme="minorEastAsia" w:hAnsiTheme="minorEastAsia" w:eastAsiaTheme="minorEastAsia"/>
                <w:b/>
                <w:bCs/>
                <w:color w:val="000000"/>
              </w:rPr>
              <w:t>92.25</w:t>
            </w:r>
          </w:p>
        </w:tc>
        <w:tc>
          <w:tcPr>
            <w:tcW w:w="647" w:type="pct"/>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9</w:t>
            </w:r>
            <w:r>
              <w:rPr>
                <w:rFonts w:cs="宋体" w:asciiTheme="minorEastAsia" w:hAnsiTheme="minorEastAsia" w:eastAsiaTheme="minorEastAsia"/>
                <w:b/>
                <w:bCs/>
                <w:color w:val="000000"/>
              </w:rPr>
              <w:t>2.25%</w:t>
            </w:r>
          </w:p>
        </w:tc>
      </w:tr>
    </w:tbl>
    <w:p>
      <w:pPr>
        <w:spacing w:line="560" w:lineRule="exact"/>
        <w:ind w:firstLine="642" w:firstLineChars="200"/>
        <w:outlineLvl w:val="1"/>
        <w:rPr>
          <w:rFonts w:ascii="楷体_GB2312" w:eastAsia="楷体_GB2312" w:cs="仿宋_GB2312"/>
          <w:b/>
          <w:bCs/>
          <w:sz w:val="32"/>
          <w:szCs w:val="32"/>
        </w:rPr>
      </w:pPr>
      <w:bookmarkStart w:id="13" w:name="_Toc148104151"/>
      <w:r>
        <w:rPr>
          <w:rFonts w:hint="eastAsia" w:ascii="楷体_GB2312" w:eastAsia="楷体_GB2312" w:cs="仿宋_GB2312"/>
          <w:b/>
          <w:bCs/>
          <w:sz w:val="32"/>
          <w:szCs w:val="32"/>
        </w:rPr>
        <w:t>（二）指标评分分析</w:t>
      </w:r>
      <w:bookmarkEnd w:id="13"/>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本次绩效评价主要从“项目决策情况”、“项目过程情况”、“项目产出情况”和“项目效益情况”四个一级指标进行评分，具体指标得分情况分析如下：</w:t>
      </w:r>
    </w:p>
    <w:p>
      <w:pPr>
        <w:spacing w:line="560" w:lineRule="exact"/>
        <w:ind w:firstLine="642" w:firstLineChars="200"/>
        <w:outlineLvl w:val="2"/>
        <w:rPr>
          <w:rFonts w:ascii="仿宋_GB2312" w:eastAsia="仿宋_GB2312" w:cs="仿宋_GB2312"/>
          <w:b/>
          <w:bCs/>
          <w:sz w:val="32"/>
          <w:szCs w:val="32"/>
        </w:rPr>
      </w:pPr>
      <w:bookmarkStart w:id="14" w:name="_Toc143870180"/>
      <w:r>
        <w:rPr>
          <w:rFonts w:hint="eastAsia" w:ascii="仿宋_GB2312" w:eastAsia="仿宋_GB2312" w:cs="仿宋_GB2312"/>
          <w:b/>
          <w:bCs/>
          <w:sz w:val="32"/>
          <w:szCs w:val="32"/>
        </w:rPr>
        <w:t>1</w:t>
      </w:r>
      <w:r>
        <w:rPr>
          <w:rFonts w:ascii="仿宋_GB2312" w:eastAsia="仿宋_GB2312" w:cs="仿宋_GB2312"/>
          <w:b/>
          <w:bCs/>
          <w:sz w:val="32"/>
          <w:szCs w:val="32"/>
        </w:rPr>
        <w:t>.</w:t>
      </w:r>
      <w:r>
        <w:rPr>
          <w:rFonts w:hint="eastAsia" w:ascii="仿宋_GB2312" w:eastAsia="仿宋_GB2312" w:cs="仿宋_GB2312"/>
          <w:b/>
          <w:bCs/>
          <w:sz w:val="32"/>
          <w:szCs w:val="32"/>
        </w:rPr>
        <w:t>项目决策情况</w:t>
      </w:r>
      <w:bookmarkEnd w:id="14"/>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一级指标“项目决策”满分为</w:t>
      </w:r>
      <w:r>
        <w:rPr>
          <w:rFonts w:ascii="仿宋_GB2312" w:eastAsia="仿宋_GB2312" w:cs="仿宋_GB2312"/>
          <w:bCs/>
          <w:sz w:val="32"/>
          <w:szCs w:val="32"/>
        </w:rPr>
        <w:t>18</w:t>
      </w:r>
      <w:r>
        <w:rPr>
          <w:rFonts w:hint="eastAsia" w:ascii="仿宋_GB2312" w:eastAsia="仿宋_GB2312" w:cs="仿宋_GB2312"/>
          <w:bCs/>
          <w:sz w:val="32"/>
          <w:szCs w:val="32"/>
        </w:rPr>
        <w:t>分，得分</w:t>
      </w:r>
      <w:r>
        <w:rPr>
          <w:rFonts w:ascii="仿宋_GB2312" w:eastAsia="仿宋_GB2312" w:cs="仿宋_GB2312"/>
          <w:bCs/>
          <w:sz w:val="32"/>
          <w:szCs w:val="32"/>
        </w:rPr>
        <w:t>16</w:t>
      </w:r>
      <w:r>
        <w:rPr>
          <w:rFonts w:hint="eastAsia" w:ascii="仿宋_GB2312" w:eastAsia="仿宋_GB2312" w:cs="仿宋_GB2312"/>
          <w:bCs/>
          <w:sz w:val="32"/>
          <w:szCs w:val="32"/>
        </w:rPr>
        <w:t>分，得分率为</w:t>
      </w:r>
      <w:r>
        <w:rPr>
          <w:rFonts w:ascii="仿宋_GB2312" w:eastAsia="仿宋_GB2312" w:cs="仿宋_GB2312"/>
          <w:bCs/>
          <w:sz w:val="32"/>
          <w:szCs w:val="32"/>
        </w:rPr>
        <w:t>88.89</w:t>
      </w:r>
      <w:r>
        <w:rPr>
          <w:rFonts w:hint="eastAsia" w:ascii="仿宋_GB2312" w:eastAsia="仿宋_GB2312" w:cs="仿宋_GB2312"/>
          <w:bCs/>
          <w:sz w:val="32"/>
          <w:szCs w:val="32"/>
        </w:rPr>
        <w:t>%。</w:t>
      </w:r>
    </w:p>
    <w:p>
      <w:pPr>
        <w:spacing w:line="600" w:lineRule="exact"/>
        <w:ind w:firstLine="562" w:firstLineChars="200"/>
        <w:jc w:val="center"/>
        <w:rPr>
          <w:rFonts w:ascii="黑体" w:hAnsi="黑体" w:eastAsia="黑体" w:cs="仿宋_GB2312"/>
          <w:b/>
          <w:bCs/>
          <w:sz w:val="28"/>
          <w:szCs w:val="28"/>
        </w:rPr>
      </w:pPr>
      <w:r>
        <w:rPr>
          <w:rFonts w:hint="eastAsia" w:ascii="黑体" w:hAnsi="黑体" w:eastAsia="黑体" w:cs="仿宋_GB2312"/>
          <w:b/>
          <w:bCs/>
          <w:sz w:val="28"/>
          <w:szCs w:val="28"/>
        </w:rPr>
        <w:t>表</w:t>
      </w:r>
      <w:r>
        <w:rPr>
          <w:rFonts w:ascii="黑体" w:hAnsi="黑体" w:eastAsia="黑体" w:cs="仿宋_GB2312"/>
          <w:b/>
          <w:bCs/>
          <w:sz w:val="28"/>
          <w:szCs w:val="28"/>
        </w:rPr>
        <w:t xml:space="preserve">3-2 </w:t>
      </w:r>
      <w:r>
        <w:rPr>
          <w:rFonts w:hint="eastAsia" w:ascii="黑体" w:hAnsi="黑体" w:eastAsia="黑体" w:cs="仿宋_GB2312"/>
          <w:b/>
          <w:bCs/>
          <w:sz w:val="28"/>
          <w:szCs w:val="28"/>
        </w:rPr>
        <w:t>项目决策指标得分汇总表</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61"/>
        <w:gridCol w:w="1150"/>
        <w:gridCol w:w="716"/>
        <w:gridCol w:w="2170"/>
        <w:gridCol w:w="861"/>
        <w:gridCol w:w="948"/>
        <w:gridCol w:w="1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4"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一级指标</w:t>
            </w:r>
          </w:p>
        </w:tc>
        <w:tc>
          <w:tcPr>
            <w:tcW w:w="1095"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二级指标</w:t>
            </w:r>
          </w:p>
        </w:tc>
        <w:tc>
          <w:tcPr>
            <w:tcW w:w="1778"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三级指标</w:t>
            </w:r>
          </w:p>
        </w:tc>
        <w:tc>
          <w:tcPr>
            <w:tcW w:w="556" w:type="pct"/>
            <w:vMerge w:val="restar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得分</w:t>
            </w:r>
          </w:p>
        </w:tc>
        <w:tc>
          <w:tcPr>
            <w:tcW w:w="648" w:type="pct"/>
            <w:vMerge w:val="restart"/>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67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419"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1273"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556" w:type="pct"/>
            <w:vMerge w:val="continue"/>
            <w:vAlign w:val="center"/>
          </w:tcPr>
          <w:p>
            <w:pPr>
              <w:widowControl/>
              <w:jc w:val="center"/>
              <w:rPr>
                <w:rFonts w:cs="宋体" w:asciiTheme="minorEastAsia" w:hAnsiTheme="minorEastAsia" w:eastAsiaTheme="minorEastAsia"/>
                <w:b/>
                <w:bCs/>
                <w:color w:val="000000"/>
              </w:rPr>
            </w:pPr>
          </w:p>
        </w:tc>
        <w:tc>
          <w:tcPr>
            <w:tcW w:w="648" w:type="pct"/>
            <w:vMerge w:val="continue"/>
            <w:vAlign w:val="center"/>
          </w:tcPr>
          <w:p>
            <w:pPr>
              <w:widowControl/>
              <w:jc w:val="center"/>
              <w:rPr>
                <w:rFonts w:cs="宋体" w:asciiTheme="minorEastAsia" w:hAnsiTheme="minorEastAsia" w:eastAsiaTheme="minorEastAsia"/>
                <w:b/>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决策</w:t>
            </w:r>
          </w:p>
        </w:tc>
        <w:tc>
          <w:tcPr>
            <w:tcW w:w="50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18</w:t>
            </w: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项目立项</w:t>
            </w:r>
          </w:p>
        </w:tc>
        <w:tc>
          <w:tcPr>
            <w:tcW w:w="419"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立项依据充分性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48"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19"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立项程序规范性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8"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绩效目标</w:t>
            </w:r>
          </w:p>
        </w:tc>
        <w:tc>
          <w:tcPr>
            <w:tcW w:w="419"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绩效目标合理性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3</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8"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r>
              <w:rPr>
                <w:rFonts w:cs="宋体" w:asciiTheme="minorEastAsia" w:hAnsiTheme="minorEastAsia" w:eastAsiaTheme="minorEastAsia"/>
                <w:color w:val="000000"/>
              </w:rPr>
              <w:t>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19"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绩效指标明确性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3</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8"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r>
              <w:rPr>
                <w:rFonts w:cs="宋体" w:asciiTheme="minorEastAsia" w:hAnsiTheme="minorEastAsia" w:eastAsiaTheme="minorEastAsia"/>
                <w:color w:val="000000"/>
              </w:rPr>
              <w:t>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资金投入</w:t>
            </w:r>
          </w:p>
        </w:tc>
        <w:tc>
          <w:tcPr>
            <w:tcW w:w="419"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预算编制科学性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48"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19"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资金分配合理性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8"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小计</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cs="宋体" w:asciiTheme="minorEastAsia" w:hAnsiTheme="minorEastAsia" w:eastAsiaTheme="minorEastAsia"/>
                <w:b/>
                <w:bCs/>
                <w:color w:val="000000"/>
              </w:rPr>
              <w:t>18</w:t>
            </w:r>
          </w:p>
        </w:tc>
        <w:tc>
          <w:tcPr>
            <w:tcW w:w="67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w:t>
            </w:r>
          </w:p>
        </w:tc>
        <w:tc>
          <w:tcPr>
            <w:tcW w:w="419" w:type="pct"/>
            <w:shd w:val="clear" w:color="auto" w:fill="auto"/>
            <w:noWrap/>
            <w:vAlign w:val="center"/>
          </w:tcPr>
          <w:p>
            <w:pPr>
              <w:widowControl/>
              <w:jc w:val="center"/>
              <w:rPr>
                <w:rFonts w:cs="宋体" w:asciiTheme="minorEastAsia" w:hAnsiTheme="minorEastAsia" w:eastAsiaTheme="minorEastAsia"/>
                <w:b/>
                <w:bCs/>
                <w:color w:val="000000"/>
              </w:rPr>
            </w:pPr>
            <w:r>
              <w:rPr>
                <w:rFonts w:cs="宋体" w:asciiTheme="minorEastAsia" w:hAnsiTheme="minorEastAsia" w:eastAsiaTheme="minorEastAsia"/>
                <w:b/>
                <w:bCs/>
                <w:color w:val="000000"/>
              </w:rPr>
              <w:t>18</w:t>
            </w:r>
          </w:p>
        </w:tc>
        <w:tc>
          <w:tcPr>
            <w:tcW w:w="1273"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cs="宋体" w:asciiTheme="minorEastAsia" w:hAnsiTheme="minorEastAsia" w:eastAsiaTheme="minorEastAsia"/>
                <w:b/>
                <w:bCs/>
                <w:color w:val="000000"/>
              </w:rPr>
              <w:t>18</w:t>
            </w:r>
          </w:p>
        </w:tc>
        <w:tc>
          <w:tcPr>
            <w:tcW w:w="556"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1</w:t>
            </w:r>
            <w:r>
              <w:rPr>
                <w:rFonts w:cs="宋体" w:asciiTheme="minorEastAsia" w:hAnsiTheme="minorEastAsia" w:eastAsiaTheme="minorEastAsia"/>
                <w:b/>
                <w:bCs/>
                <w:color w:val="000000"/>
              </w:rPr>
              <w:t>6</w:t>
            </w:r>
          </w:p>
        </w:tc>
        <w:tc>
          <w:tcPr>
            <w:tcW w:w="648" w:type="pct"/>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8</w:t>
            </w:r>
            <w:r>
              <w:rPr>
                <w:rFonts w:cs="宋体" w:asciiTheme="minorEastAsia" w:hAnsiTheme="minorEastAsia" w:eastAsiaTheme="minorEastAsia"/>
                <w:b/>
                <w:bCs/>
                <w:color w:val="000000"/>
              </w:rPr>
              <w:t>8.89%</w:t>
            </w:r>
          </w:p>
        </w:tc>
      </w:tr>
    </w:tbl>
    <w:p>
      <w:pPr>
        <w:spacing w:line="560" w:lineRule="exact"/>
        <w:ind w:firstLine="640" w:firstLineChars="200"/>
        <w:rPr>
          <w:rFonts w:ascii="仿宋_GB2312" w:eastAsia="仿宋_GB2312" w:cs="仿宋_GB2312"/>
          <w:bCs/>
          <w:sz w:val="32"/>
          <w:szCs w:val="32"/>
        </w:rPr>
      </w:pPr>
      <w:bookmarkStart w:id="15" w:name="_Toc143870181"/>
      <w:r>
        <w:rPr>
          <w:rFonts w:hint="eastAsia" w:ascii="仿宋_GB2312" w:eastAsia="仿宋_GB2312" w:cs="仿宋_GB2312"/>
          <w:bCs/>
          <w:sz w:val="32"/>
          <w:szCs w:val="32"/>
        </w:rPr>
        <w:t>（1）项目立项</w:t>
      </w:r>
      <w:bookmarkEnd w:id="15"/>
      <w:r>
        <w:rPr>
          <w:rFonts w:hint="eastAsia" w:ascii="仿宋_GB2312" w:eastAsia="仿宋_GB2312" w:cs="仿宋_GB2312"/>
          <w:bCs/>
          <w:sz w:val="32"/>
          <w:szCs w:val="32"/>
        </w:rPr>
        <w:t>（满分6分，得分6分）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立项依据充分性：</w:t>
      </w:r>
      <w:r>
        <w:rPr>
          <w:rFonts w:hint="eastAsia" w:ascii="仿宋_GB2312" w:eastAsia="仿宋_GB2312" w:cs="仿宋_GB2312"/>
          <w:sz w:val="32"/>
          <w:szCs w:val="32"/>
        </w:rPr>
        <w:t>本项目依据《深圳市生活垃圾分类工作激励方法》（深城管规〔2019〕4号）《龙华区生活垃圾分类工作激励方法实施细则（试行）》（深龙华府办规〔2020〕7号）等相关文件设立，符合国家法律法规相关政策要求，与部门职责相符，属于公共财政支持范围。项目立项依据充分，</w:t>
      </w:r>
      <w:r>
        <w:rPr>
          <w:rFonts w:hint="eastAsia" w:ascii="仿宋_GB2312" w:eastAsia="仿宋_GB2312" w:cs="仿宋_GB2312"/>
          <w:bCs/>
          <w:sz w:val="32"/>
          <w:szCs w:val="32"/>
        </w:rPr>
        <w:t>该指标评价得分满分4分。</w:t>
      </w:r>
    </w:p>
    <w:p>
      <w:pPr>
        <w:spacing w:line="560" w:lineRule="exact"/>
        <w:ind w:firstLine="642" w:firstLineChars="200"/>
        <w:rPr>
          <w:rFonts w:ascii="仿宋_GB2312" w:eastAsia="仿宋_GB2312" w:cs="仿宋_GB2312"/>
          <w:sz w:val="32"/>
          <w:szCs w:val="32"/>
        </w:rPr>
      </w:pPr>
      <w:r>
        <w:rPr>
          <w:rFonts w:hint="eastAsia" w:ascii="仿宋_GB2312" w:eastAsia="仿宋_GB2312" w:cs="仿宋_GB2312"/>
          <w:b/>
          <w:sz w:val="32"/>
          <w:szCs w:val="32"/>
        </w:rPr>
        <w:t>立项程序规范性：</w:t>
      </w:r>
      <w:r>
        <w:rPr>
          <w:rFonts w:hint="eastAsia" w:ascii="仿宋_GB2312" w:eastAsia="仿宋_GB2312" w:cs="仿宋_GB2312"/>
          <w:sz w:val="32"/>
          <w:szCs w:val="32"/>
        </w:rPr>
        <w:t>依据财政部门要求，本项目纳入区城管和综合执法局2</w:t>
      </w:r>
      <w:r>
        <w:rPr>
          <w:rFonts w:ascii="仿宋_GB2312" w:eastAsia="仿宋_GB2312" w:cs="仿宋_GB2312"/>
          <w:sz w:val="32"/>
          <w:szCs w:val="32"/>
        </w:rPr>
        <w:t>022</w:t>
      </w:r>
      <w:r>
        <w:rPr>
          <w:rFonts w:hint="eastAsia" w:ascii="仿宋_GB2312" w:eastAsia="仿宋_GB2312" w:cs="仿宋_GB2312"/>
          <w:sz w:val="32"/>
          <w:szCs w:val="32"/>
        </w:rPr>
        <w:t>年度部门预算内，经办公室汇总并草拟全局预算方案，报请局党组会议集体审议，项目立项过程完整，程序规范。项目立项程序规范，</w:t>
      </w:r>
      <w:r>
        <w:rPr>
          <w:rFonts w:hint="eastAsia" w:ascii="仿宋_GB2312" w:eastAsia="仿宋_GB2312" w:cs="仿宋_GB2312"/>
          <w:bCs/>
          <w:sz w:val="32"/>
          <w:szCs w:val="32"/>
        </w:rPr>
        <w:t>该指标评价得分满分</w:t>
      </w:r>
      <w:r>
        <w:rPr>
          <w:rFonts w:ascii="仿宋_GB2312" w:eastAsia="仿宋_GB2312" w:cs="仿宋_GB2312"/>
          <w:bCs/>
          <w:sz w:val="32"/>
          <w:szCs w:val="32"/>
        </w:rPr>
        <w:t>2</w:t>
      </w:r>
      <w:r>
        <w:rPr>
          <w:rFonts w:hint="eastAsia" w:ascii="仿宋_GB2312" w:eastAsia="仿宋_GB2312" w:cs="仿宋_GB2312"/>
          <w:bCs/>
          <w:sz w:val="32"/>
          <w:szCs w:val="32"/>
        </w:rPr>
        <w:t>分。</w:t>
      </w:r>
    </w:p>
    <w:p>
      <w:pPr>
        <w:spacing w:line="560" w:lineRule="exact"/>
        <w:ind w:firstLine="640" w:firstLineChars="200"/>
        <w:rPr>
          <w:rFonts w:ascii="仿宋_GB2312" w:eastAsia="仿宋_GB2312" w:cs="仿宋_GB2312"/>
          <w:bCs/>
          <w:sz w:val="32"/>
          <w:szCs w:val="32"/>
        </w:rPr>
      </w:pPr>
      <w:bookmarkStart w:id="16" w:name="_Toc143870182"/>
      <w:r>
        <w:rPr>
          <w:rFonts w:hint="eastAsia" w:ascii="仿宋_GB2312" w:eastAsia="仿宋_GB2312" w:cs="仿宋_GB2312"/>
          <w:bCs/>
          <w:sz w:val="32"/>
          <w:szCs w:val="32"/>
        </w:rPr>
        <w:t>（2）绩效目标</w:t>
      </w:r>
      <w:bookmarkEnd w:id="16"/>
      <w:r>
        <w:rPr>
          <w:rFonts w:hint="eastAsia" w:ascii="仿宋_GB2312" w:eastAsia="仿宋_GB2312" w:cs="仿宋_GB2312"/>
          <w:bCs/>
          <w:sz w:val="32"/>
          <w:szCs w:val="32"/>
        </w:rPr>
        <w:t>（满分6分，得分</w:t>
      </w:r>
      <w:r>
        <w:rPr>
          <w:rFonts w:ascii="仿宋_GB2312" w:eastAsia="仿宋_GB2312" w:cs="仿宋_GB2312"/>
          <w:bCs/>
          <w:sz w:val="32"/>
          <w:szCs w:val="32"/>
        </w:rPr>
        <w:t>4</w:t>
      </w:r>
      <w:r>
        <w:rPr>
          <w:rFonts w:hint="eastAsia" w:ascii="仿宋_GB2312" w:eastAsia="仿宋_GB2312" w:cs="仿宋_GB2312"/>
          <w:bCs/>
          <w:sz w:val="32"/>
          <w:szCs w:val="32"/>
        </w:rPr>
        <w:t>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绩效目标合理性：</w:t>
      </w:r>
      <w:r>
        <w:rPr>
          <w:rFonts w:hint="eastAsia" w:ascii="仿宋_GB2312" w:eastAsia="仿宋_GB2312" w:cs="仿宋_GB2312"/>
          <w:sz w:val="32"/>
          <w:szCs w:val="32"/>
        </w:rPr>
        <w:t>区城管和综合执法局</w:t>
      </w:r>
      <w:r>
        <w:rPr>
          <w:rFonts w:hint="eastAsia" w:ascii="仿宋_GB2312" w:eastAsia="仿宋_GB2312" w:cs="仿宋_GB2312"/>
          <w:bCs/>
          <w:sz w:val="32"/>
          <w:szCs w:val="32"/>
        </w:rPr>
        <w:t>在编报本项目2022年度预算时同步设置了数量、质量、时效、成本、社会效益等绩效目标，项目绩效目标与实际工作内容具有相关性，项目预期产出效益和效果符合正常的业绩水平。但未设置生态效益目标，目标设置不完整。综合评价扣1分，得分2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绩效指标明确性：</w:t>
      </w:r>
      <w:r>
        <w:rPr>
          <w:rFonts w:hint="eastAsia" w:ascii="仿宋_GB2312" w:eastAsia="仿宋_GB2312" w:cs="仿宋_GB2312"/>
          <w:bCs/>
          <w:sz w:val="32"/>
          <w:szCs w:val="32"/>
        </w:rPr>
        <w:t>本项目根据绩效目标设置了</w:t>
      </w:r>
      <w:r>
        <w:rPr>
          <w:rFonts w:ascii="仿宋_GB2312" w:eastAsia="仿宋_GB2312" w:cs="仿宋_GB2312"/>
          <w:bCs/>
          <w:sz w:val="32"/>
          <w:szCs w:val="32"/>
        </w:rPr>
        <w:t>10</w:t>
      </w:r>
      <w:r>
        <w:rPr>
          <w:rFonts w:hint="eastAsia" w:ascii="仿宋_GB2312" w:eastAsia="仿宋_GB2312" w:cs="仿宋_GB2312"/>
          <w:bCs/>
          <w:sz w:val="32"/>
          <w:szCs w:val="32"/>
        </w:rPr>
        <w:t>个三级指标，已将项目绩效目标细化分解为具体的绩效指标，整体设置全面，且与项目目标任务数或计划数相对应。但数量指标目标值缺少计量单位；社会效益指标目标值可衡量性不足。综合评价扣1分，得分2分。</w:t>
      </w:r>
    </w:p>
    <w:p>
      <w:pPr>
        <w:spacing w:line="600" w:lineRule="exact"/>
        <w:ind w:firstLine="562" w:firstLineChars="200"/>
        <w:jc w:val="center"/>
        <w:rPr>
          <w:rFonts w:ascii="黑体" w:hAnsi="黑体" w:eastAsia="黑体" w:cs="仿宋_GB2312"/>
          <w:b/>
          <w:bCs/>
          <w:sz w:val="28"/>
          <w:szCs w:val="28"/>
        </w:rPr>
      </w:pPr>
      <w:r>
        <w:rPr>
          <w:rFonts w:hint="eastAsia" w:ascii="黑体" w:hAnsi="黑体" w:eastAsia="黑体" w:cs="仿宋_GB2312"/>
          <w:b/>
          <w:bCs/>
          <w:sz w:val="28"/>
          <w:szCs w:val="28"/>
        </w:rPr>
        <w:t>表</w:t>
      </w:r>
      <w:r>
        <w:rPr>
          <w:rFonts w:ascii="黑体" w:hAnsi="黑体" w:eastAsia="黑体" w:cs="仿宋_GB2312"/>
          <w:b/>
          <w:bCs/>
          <w:sz w:val="28"/>
          <w:szCs w:val="28"/>
        </w:rPr>
        <w:t xml:space="preserve">3-3 </w:t>
      </w:r>
      <w:r>
        <w:rPr>
          <w:rFonts w:hint="eastAsia" w:ascii="黑体" w:hAnsi="黑体" w:eastAsia="黑体" w:cs="仿宋_GB2312"/>
          <w:b/>
          <w:bCs/>
          <w:sz w:val="28"/>
          <w:szCs w:val="28"/>
        </w:rPr>
        <w:t>项目2</w:t>
      </w:r>
      <w:r>
        <w:rPr>
          <w:rFonts w:ascii="黑体" w:hAnsi="黑体" w:eastAsia="黑体" w:cs="仿宋_GB2312"/>
          <w:b/>
          <w:bCs/>
          <w:sz w:val="28"/>
          <w:szCs w:val="28"/>
        </w:rPr>
        <w:t>022</w:t>
      </w:r>
      <w:r>
        <w:rPr>
          <w:rFonts w:hint="eastAsia" w:ascii="黑体" w:hAnsi="黑体" w:eastAsia="黑体" w:cs="仿宋_GB2312"/>
          <w:b/>
          <w:bCs/>
          <w:sz w:val="28"/>
          <w:szCs w:val="28"/>
        </w:rPr>
        <w:t>年度绩效目标表</w:t>
      </w:r>
    </w:p>
    <w:tbl>
      <w:tblPr>
        <w:tblStyle w:val="25"/>
        <w:tblW w:w="5000" w:type="pct"/>
        <w:tblInd w:w="0" w:type="dxa"/>
        <w:tblLayout w:type="autofit"/>
        <w:tblCellMar>
          <w:top w:w="0" w:type="dxa"/>
          <w:left w:w="108" w:type="dxa"/>
          <w:bottom w:w="0" w:type="dxa"/>
          <w:right w:w="108" w:type="dxa"/>
        </w:tblCellMar>
      </w:tblPr>
      <w:tblGrid>
        <w:gridCol w:w="1450"/>
        <w:gridCol w:w="1897"/>
        <w:gridCol w:w="2618"/>
        <w:gridCol w:w="2557"/>
      </w:tblGrid>
      <w:tr>
        <w:tblPrEx>
          <w:tblCellMar>
            <w:top w:w="0" w:type="dxa"/>
            <w:left w:w="108" w:type="dxa"/>
            <w:bottom w:w="0" w:type="dxa"/>
            <w:right w:w="108" w:type="dxa"/>
          </w:tblCellMar>
        </w:tblPrEx>
        <w:trPr>
          <w:trHeight w:val="454" w:hRule="atLeast"/>
          <w:tblHeader/>
        </w:trPr>
        <w:tc>
          <w:tcPr>
            <w:tcW w:w="85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rPr>
            </w:pPr>
            <w:r>
              <w:rPr>
                <w:rFonts w:hint="eastAsia" w:ascii="宋体" w:hAnsi="宋体" w:cs="宋体"/>
                <w:b/>
                <w:bCs/>
                <w:color w:val="000000"/>
              </w:rPr>
              <w:t>一级指标</w:t>
            </w:r>
          </w:p>
        </w:tc>
        <w:tc>
          <w:tcPr>
            <w:tcW w:w="11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二级指标</w:t>
            </w:r>
          </w:p>
        </w:tc>
        <w:tc>
          <w:tcPr>
            <w:tcW w:w="15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三级指标</w:t>
            </w:r>
          </w:p>
        </w:tc>
        <w:tc>
          <w:tcPr>
            <w:tcW w:w="1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rPr>
            </w:pPr>
            <w:r>
              <w:rPr>
                <w:rFonts w:hint="eastAsia" w:ascii="宋体" w:hAnsi="宋体" w:cs="宋体"/>
                <w:b/>
                <w:bCs/>
                <w:color w:val="000000"/>
              </w:rPr>
              <w:t>指标值</w:t>
            </w:r>
          </w:p>
        </w:tc>
      </w:tr>
      <w:tr>
        <w:tblPrEx>
          <w:tblCellMar>
            <w:top w:w="0" w:type="dxa"/>
            <w:left w:w="108" w:type="dxa"/>
            <w:bottom w:w="0" w:type="dxa"/>
            <w:right w:w="108" w:type="dxa"/>
          </w:tblCellMar>
        </w:tblPrEx>
        <w:trPr>
          <w:trHeight w:val="454" w:hRule="atLeast"/>
        </w:trPr>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产出</w:t>
            </w:r>
          </w:p>
        </w:tc>
        <w:tc>
          <w:tcPr>
            <w:tcW w:w="111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数量</w:t>
            </w: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家庭激励数量</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≤645</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113"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个人激励数量</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≤130</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113"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住宅区激励数量</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≤40</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113"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单位的激励数量</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≤50</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1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质量</w:t>
            </w: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发放准确率</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1</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11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时效</w:t>
            </w: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补贴发放及时性</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≥80%</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113"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工作及时完成率</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100%</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1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成本</w:t>
            </w: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成本控制率</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≤100%</w:t>
            </w:r>
          </w:p>
        </w:tc>
      </w:tr>
      <w:tr>
        <w:tblPrEx>
          <w:tblCellMar>
            <w:top w:w="0" w:type="dxa"/>
            <w:left w:w="108" w:type="dxa"/>
            <w:bottom w:w="0" w:type="dxa"/>
            <w:right w:w="108" w:type="dxa"/>
          </w:tblCellMar>
        </w:tblPrEx>
        <w:trPr>
          <w:trHeight w:val="454" w:hRule="atLeast"/>
        </w:trPr>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效益</w:t>
            </w:r>
          </w:p>
        </w:tc>
        <w:tc>
          <w:tcPr>
            <w:tcW w:w="11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经济效益</w:t>
            </w: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不适用</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不适用</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1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社会效益</w:t>
            </w: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提高社会各界参与垃圾分类的积极性</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提高垃圾分类积极性</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1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生态效益</w:t>
            </w: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不适用</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不适用</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rPr>
            </w:pPr>
          </w:p>
        </w:tc>
        <w:tc>
          <w:tcPr>
            <w:tcW w:w="11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可持续影响</w:t>
            </w: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不适用</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不适用</w:t>
            </w:r>
          </w:p>
        </w:tc>
      </w:tr>
      <w:tr>
        <w:tblPrEx>
          <w:tblCellMar>
            <w:top w:w="0" w:type="dxa"/>
            <w:left w:w="108" w:type="dxa"/>
            <w:bottom w:w="0" w:type="dxa"/>
            <w:right w:w="108" w:type="dxa"/>
          </w:tblCellMar>
        </w:tblPrEx>
        <w:trPr>
          <w:trHeight w:val="454" w:hRule="atLeast"/>
        </w:trPr>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满意度</w:t>
            </w:r>
          </w:p>
        </w:tc>
        <w:tc>
          <w:tcPr>
            <w:tcW w:w="11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服务对象满意度</w:t>
            </w: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公众满意度</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≥80%</w:t>
            </w:r>
          </w:p>
        </w:tc>
      </w:tr>
      <w:tr>
        <w:tblPrEx>
          <w:tblCellMar>
            <w:top w:w="0" w:type="dxa"/>
            <w:left w:w="108" w:type="dxa"/>
            <w:bottom w:w="0" w:type="dxa"/>
            <w:right w:w="108" w:type="dxa"/>
          </w:tblCellMar>
        </w:tblPrEx>
        <w:trPr>
          <w:trHeight w:val="454" w:hRule="atLeast"/>
        </w:trPr>
        <w:tc>
          <w:tcPr>
            <w:tcW w:w="851" w:type="pct"/>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rPr>
            </w:pPr>
          </w:p>
        </w:tc>
        <w:tc>
          <w:tcPr>
            <w:tcW w:w="11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其他满意度</w:t>
            </w:r>
          </w:p>
        </w:tc>
        <w:tc>
          <w:tcPr>
            <w:tcW w:w="153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不适用</w:t>
            </w:r>
          </w:p>
        </w:tc>
        <w:tc>
          <w:tcPr>
            <w:tcW w:w="15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rPr>
            </w:pPr>
            <w:r>
              <w:rPr>
                <w:rFonts w:hint="eastAsia" w:ascii="宋体" w:hAnsi="宋体" w:cs="宋体"/>
                <w:color w:val="000000"/>
              </w:rPr>
              <w:t>不适用</w:t>
            </w:r>
          </w:p>
        </w:tc>
      </w:tr>
    </w:tbl>
    <w:p>
      <w:pPr>
        <w:spacing w:line="560" w:lineRule="exact"/>
        <w:ind w:firstLine="640" w:firstLineChars="200"/>
        <w:rPr>
          <w:rFonts w:ascii="仿宋_GB2312" w:eastAsia="仿宋_GB2312" w:cs="仿宋_GB2312"/>
          <w:bCs/>
          <w:color w:val="000000" w:themeColor="text1"/>
          <w:sz w:val="32"/>
          <w:szCs w:val="32"/>
          <w:lang w:val="en-GB"/>
          <w14:textFill>
            <w14:solidFill>
              <w14:schemeClr w14:val="tx1"/>
            </w14:solidFill>
          </w14:textFill>
        </w:rPr>
      </w:pPr>
      <w:bookmarkStart w:id="17" w:name="_Toc143870183"/>
      <w:r>
        <w:rPr>
          <w:rFonts w:hint="eastAsia" w:ascii="仿宋_GB2312" w:eastAsia="仿宋_GB2312" w:cs="仿宋_GB2312"/>
          <w:bCs/>
          <w:color w:val="000000" w:themeColor="text1"/>
          <w:sz w:val="32"/>
          <w:szCs w:val="32"/>
          <w:lang w:val="en-GB"/>
          <w14:textFill>
            <w14:solidFill>
              <w14:schemeClr w14:val="tx1"/>
            </w14:solidFill>
          </w14:textFill>
        </w:rPr>
        <w:t>（3）资金投入</w:t>
      </w:r>
      <w:bookmarkEnd w:id="17"/>
      <w:r>
        <w:rPr>
          <w:rFonts w:hint="eastAsia" w:ascii="仿宋_GB2312" w:eastAsia="仿宋_GB2312" w:cs="仿宋_GB2312"/>
          <w:bCs/>
          <w:sz w:val="32"/>
          <w:szCs w:val="32"/>
        </w:rPr>
        <w:t>（满分6分，得分6分）</w:t>
      </w:r>
    </w:p>
    <w:p>
      <w:pPr>
        <w:spacing w:line="560" w:lineRule="exact"/>
        <w:ind w:firstLine="642" w:firstLineChars="200"/>
        <w:rPr>
          <w:rFonts w:ascii="仿宋_GB2312" w:eastAsia="仿宋_GB2312" w:cs="仿宋_GB2312"/>
          <w:bCs/>
          <w:color w:val="000000" w:themeColor="text1"/>
          <w:sz w:val="32"/>
          <w:szCs w:val="32"/>
          <w:lang w:val="en-GB"/>
          <w14:textFill>
            <w14:solidFill>
              <w14:schemeClr w14:val="tx1"/>
            </w14:solidFill>
          </w14:textFill>
        </w:rPr>
      </w:pPr>
      <w:r>
        <w:rPr>
          <w:rFonts w:hint="eastAsia" w:ascii="仿宋_GB2312" w:eastAsia="仿宋_GB2312" w:cs="仿宋_GB2312"/>
          <w:b/>
          <w:sz w:val="32"/>
          <w:szCs w:val="32"/>
        </w:rPr>
        <w:t>预算编制科学性：</w:t>
      </w:r>
      <w:r>
        <w:rPr>
          <w:rFonts w:hint="eastAsia" w:ascii="仿宋_GB2312" w:eastAsia="仿宋_GB2312" w:cs="仿宋_GB2312"/>
          <w:bCs/>
          <w:color w:val="000000" w:themeColor="text1"/>
          <w:sz w:val="32"/>
          <w:szCs w:val="32"/>
          <w:lang w:val="en-GB"/>
          <w14:textFill>
            <w14:solidFill>
              <w14:schemeClr w14:val="tx1"/>
            </w14:solidFill>
          </w14:textFill>
        </w:rPr>
        <w:t>按照《中华人民共和国预算法》《行政单位财务规则》等制度文件要求，区城管和综合执法局在充分考量预算可执行情况下，根据激励补助标准和限定名额编制本项目预算，预算额度测算依据充分，与项目内容匹配，预算确定的项目投资额或资金量与工作任务相匹配，且不存在年中大幅调整预算的情况。预算编制科学，该指标评价得分4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资金分配合理性：</w:t>
      </w:r>
      <w:r>
        <w:rPr>
          <w:rFonts w:hint="eastAsia" w:ascii="仿宋_GB2312" w:eastAsia="仿宋_GB2312" w:cs="仿宋_GB2312"/>
          <w:bCs/>
          <w:color w:val="000000" w:themeColor="text1"/>
          <w:sz w:val="32"/>
          <w:szCs w:val="32"/>
          <w:lang w:val="en-GB"/>
          <w14:textFill>
            <w14:solidFill>
              <w14:schemeClr w14:val="tx1"/>
            </w14:solidFill>
          </w14:textFill>
        </w:rPr>
        <w:t>根据《深圳市生活垃圾分类工作激励办法》（深城管规〔2019〕4号）《龙华区生活垃圾分类工作激励方法实施细则（试行）》（深龙华府办规〔2020〕7号）等文件有关规定，龙华区2022年生活垃圾分类工作激励家庭限定名额645个、个人限定名额130个、住宅区（含城中村）限定名额40个、单位限定名额50个。区城管和综合执法局结合辖区各街道住宅区数量及生活垃圾分类工作开展情况，合理分配街道名额和激励补助资金，资金分配合理。该指标评价得分</w:t>
      </w:r>
      <w:r>
        <w:rPr>
          <w:rFonts w:ascii="仿宋_GB2312" w:eastAsia="仿宋_GB2312" w:cs="仿宋_GB2312"/>
          <w:bCs/>
          <w:color w:val="000000" w:themeColor="text1"/>
          <w:sz w:val="32"/>
          <w:szCs w:val="32"/>
          <w:lang w:val="en-GB"/>
          <w14:textFill>
            <w14:solidFill>
              <w14:schemeClr w14:val="tx1"/>
            </w14:solidFill>
          </w14:textFill>
        </w:rPr>
        <w:t>2</w:t>
      </w:r>
      <w:r>
        <w:rPr>
          <w:rFonts w:hint="eastAsia" w:ascii="仿宋_GB2312" w:eastAsia="仿宋_GB2312" w:cs="仿宋_GB2312"/>
          <w:bCs/>
          <w:color w:val="000000" w:themeColor="text1"/>
          <w:sz w:val="32"/>
          <w:szCs w:val="32"/>
          <w:lang w:val="en-GB"/>
          <w14:textFill>
            <w14:solidFill>
              <w14:schemeClr w14:val="tx1"/>
            </w14:solidFill>
          </w14:textFill>
        </w:rPr>
        <w:t>分。</w:t>
      </w:r>
    </w:p>
    <w:p>
      <w:pPr>
        <w:spacing w:line="560" w:lineRule="exact"/>
        <w:ind w:firstLine="642" w:firstLineChars="200"/>
        <w:outlineLvl w:val="2"/>
        <w:rPr>
          <w:rFonts w:ascii="仿宋_GB2312" w:eastAsia="仿宋_GB2312" w:cs="仿宋_GB2312"/>
          <w:b/>
          <w:bCs/>
          <w:sz w:val="32"/>
          <w:szCs w:val="32"/>
        </w:rPr>
      </w:pPr>
      <w:bookmarkStart w:id="18" w:name="_Toc143870184"/>
      <w:r>
        <w:rPr>
          <w:rFonts w:hint="eastAsia" w:ascii="仿宋_GB2312" w:eastAsia="仿宋_GB2312" w:cs="仿宋_GB2312"/>
          <w:b/>
          <w:bCs/>
          <w:sz w:val="32"/>
          <w:szCs w:val="32"/>
        </w:rPr>
        <w:t>2</w:t>
      </w:r>
      <w:r>
        <w:rPr>
          <w:rFonts w:ascii="仿宋_GB2312" w:eastAsia="仿宋_GB2312" w:cs="仿宋_GB2312"/>
          <w:b/>
          <w:bCs/>
          <w:sz w:val="32"/>
          <w:szCs w:val="32"/>
        </w:rPr>
        <w:t>.</w:t>
      </w:r>
      <w:r>
        <w:rPr>
          <w:rFonts w:hint="eastAsia" w:ascii="仿宋_GB2312" w:eastAsia="仿宋_GB2312" w:cs="仿宋_GB2312"/>
          <w:b/>
          <w:bCs/>
          <w:sz w:val="32"/>
          <w:szCs w:val="32"/>
        </w:rPr>
        <w:t>项目过程情况</w:t>
      </w:r>
      <w:bookmarkEnd w:id="18"/>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一级指标“项目过程”满分为</w:t>
      </w:r>
      <w:r>
        <w:rPr>
          <w:rFonts w:ascii="仿宋_GB2312" w:eastAsia="仿宋_GB2312" w:cs="仿宋_GB2312"/>
          <w:bCs/>
          <w:sz w:val="32"/>
          <w:szCs w:val="32"/>
        </w:rPr>
        <w:t>22</w:t>
      </w:r>
      <w:r>
        <w:rPr>
          <w:rFonts w:hint="eastAsia" w:ascii="仿宋_GB2312" w:eastAsia="仿宋_GB2312" w:cs="仿宋_GB2312"/>
          <w:bCs/>
          <w:sz w:val="32"/>
          <w:szCs w:val="32"/>
        </w:rPr>
        <w:t>分，得分</w:t>
      </w:r>
      <w:r>
        <w:rPr>
          <w:rFonts w:ascii="仿宋_GB2312" w:eastAsia="仿宋_GB2312" w:cs="仿宋_GB2312"/>
          <w:bCs/>
          <w:sz w:val="32"/>
          <w:szCs w:val="32"/>
        </w:rPr>
        <w:t>21.71</w:t>
      </w:r>
      <w:r>
        <w:rPr>
          <w:rFonts w:hint="eastAsia" w:ascii="仿宋_GB2312" w:eastAsia="仿宋_GB2312" w:cs="仿宋_GB2312"/>
          <w:bCs/>
          <w:sz w:val="32"/>
          <w:szCs w:val="32"/>
        </w:rPr>
        <w:t>分，得分率为</w:t>
      </w:r>
      <w:r>
        <w:rPr>
          <w:rFonts w:ascii="仿宋_GB2312" w:eastAsia="仿宋_GB2312" w:cs="仿宋_GB2312"/>
          <w:bCs/>
          <w:sz w:val="32"/>
          <w:szCs w:val="32"/>
        </w:rPr>
        <w:t>98.68</w:t>
      </w:r>
      <w:r>
        <w:rPr>
          <w:rFonts w:hint="eastAsia" w:ascii="仿宋_GB2312" w:eastAsia="仿宋_GB2312" w:cs="仿宋_GB2312"/>
          <w:bCs/>
          <w:sz w:val="32"/>
          <w:szCs w:val="32"/>
        </w:rPr>
        <w:t>%。</w:t>
      </w:r>
    </w:p>
    <w:p>
      <w:pPr>
        <w:spacing w:line="600" w:lineRule="exact"/>
        <w:ind w:firstLine="562" w:firstLineChars="200"/>
        <w:jc w:val="center"/>
        <w:rPr>
          <w:rFonts w:ascii="黑体" w:hAnsi="黑体" w:eastAsia="黑体" w:cs="仿宋_GB2312"/>
          <w:b/>
          <w:bCs/>
          <w:sz w:val="28"/>
          <w:szCs w:val="28"/>
        </w:rPr>
      </w:pPr>
      <w:r>
        <w:rPr>
          <w:rFonts w:hint="eastAsia" w:ascii="黑体" w:hAnsi="黑体" w:eastAsia="黑体" w:cs="仿宋_GB2312"/>
          <w:b/>
          <w:bCs/>
          <w:sz w:val="28"/>
          <w:szCs w:val="28"/>
        </w:rPr>
        <w:t>表</w:t>
      </w:r>
      <w:r>
        <w:rPr>
          <w:rFonts w:ascii="黑体" w:hAnsi="黑体" w:eastAsia="黑体" w:cs="仿宋_GB2312"/>
          <w:b/>
          <w:bCs/>
          <w:sz w:val="28"/>
          <w:szCs w:val="28"/>
        </w:rPr>
        <w:t>3-4</w:t>
      </w:r>
      <w:r>
        <w:rPr>
          <w:rFonts w:hint="eastAsia" w:ascii="黑体" w:hAnsi="黑体" w:eastAsia="黑体" w:cs="仿宋_GB2312"/>
          <w:b/>
          <w:bCs/>
          <w:sz w:val="28"/>
          <w:szCs w:val="28"/>
        </w:rPr>
        <w:t>项目过程指标得分汇总表</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861"/>
        <w:gridCol w:w="1151"/>
        <w:gridCol w:w="716"/>
        <w:gridCol w:w="2170"/>
        <w:gridCol w:w="861"/>
        <w:gridCol w:w="948"/>
        <w:gridCol w:w="1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923"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一级指标</w:t>
            </w:r>
          </w:p>
        </w:tc>
        <w:tc>
          <w:tcPr>
            <w:tcW w:w="1095"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二级指标</w:t>
            </w:r>
          </w:p>
        </w:tc>
        <w:tc>
          <w:tcPr>
            <w:tcW w:w="1778"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三级指标</w:t>
            </w:r>
          </w:p>
        </w:tc>
        <w:tc>
          <w:tcPr>
            <w:tcW w:w="556" w:type="pct"/>
            <w:vMerge w:val="restar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得分</w:t>
            </w:r>
          </w:p>
        </w:tc>
        <w:tc>
          <w:tcPr>
            <w:tcW w:w="647" w:type="pct"/>
            <w:vMerge w:val="restart"/>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418"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67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420"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1273"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556" w:type="pct"/>
            <w:vMerge w:val="continue"/>
            <w:vAlign w:val="center"/>
          </w:tcPr>
          <w:p>
            <w:pPr>
              <w:widowControl/>
              <w:jc w:val="center"/>
              <w:rPr>
                <w:rFonts w:cs="宋体" w:asciiTheme="minorEastAsia" w:hAnsiTheme="minorEastAsia" w:eastAsiaTheme="minorEastAsia"/>
                <w:b/>
                <w:bCs/>
                <w:color w:val="000000"/>
              </w:rPr>
            </w:pPr>
          </w:p>
        </w:tc>
        <w:tc>
          <w:tcPr>
            <w:tcW w:w="647" w:type="pct"/>
            <w:vMerge w:val="continue"/>
            <w:vAlign w:val="center"/>
          </w:tcPr>
          <w:p>
            <w:pPr>
              <w:widowControl/>
              <w:jc w:val="center"/>
              <w:rPr>
                <w:rFonts w:cs="宋体" w:asciiTheme="minorEastAsia" w:hAnsiTheme="minorEastAsia" w:eastAsiaTheme="minorEastAsia"/>
                <w:b/>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过程</w:t>
            </w:r>
          </w:p>
        </w:tc>
        <w:tc>
          <w:tcPr>
            <w:tcW w:w="50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22</w:t>
            </w: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预算管理</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预算执行率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1.71</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预算管理规范性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财务管理</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财务制度健全性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资金使用规范性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组织实施</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12</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项目实施制度健全性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项目实施执行有效性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小计</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2</w:t>
            </w:r>
            <w:r>
              <w:rPr>
                <w:rFonts w:cs="宋体" w:asciiTheme="minorEastAsia" w:hAnsiTheme="minorEastAsia" w:eastAsiaTheme="minorEastAsia"/>
                <w:b/>
                <w:bCs/>
                <w:color w:val="000000"/>
              </w:rPr>
              <w:t>2</w:t>
            </w:r>
          </w:p>
        </w:tc>
        <w:tc>
          <w:tcPr>
            <w:tcW w:w="67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w:t>
            </w:r>
          </w:p>
        </w:tc>
        <w:tc>
          <w:tcPr>
            <w:tcW w:w="420" w:type="pct"/>
            <w:shd w:val="clear" w:color="auto" w:fill="auto"/>
            <w:noWrap/>
            <w:vAlign w:val="center"/>
          </w:tcPr>
          <w:p>
            <w:pPr>
              <w:widowControl/>
              <w:jc w:val="center"/>
              <w:rPr>
                <w:rFonts w:cs="宋体" w:asciiTheme="minorEastAsia" w:hAnsiTheme="minorEastAsia" w:eastAsiaTheme="minorEastAsia"/>
                <w:b/>
                <w:bCs/>
                <w:color w:val="000000"/>
              </w:rPr>
            </w:pPr>
            <w:r>
              <w:rPr>
                <w:rFonts w:cs="宋体" w:asciiTheme="minorEastAsia" w:hAnsiTheme="minorEastAsia" w:eastAsiaTheme="minorEastAsia"/>
                <w:b/>
                <w:bCs/>
                <w:color w:val="000000"/>
              </w:rPr>
              <w:t>22</w:t>
            </w:r>
          </w:p>
        </w:tc>
        <w:tc>
          <w:tcPr>
            <w:tcW w:w="1273"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2</w:t>
            </w:r>
            <w:r>
              <w:rPr>
                <w:rFonts w:cs="宋体" w:asciiTheme="minorEastAsia" w:hAnsiTheme="minorEastAsia" w:eastAsiaTheme="minorEastAsia"/>
                <w:b/>
                <w:bCs/>
                <w:color w:val="000000"/>
              </w:rPr>
              <w:t>2</w:t>
            </w:r>
          </w:p>
        </w:tc>
        <w:tc>
          <w:tcPr>
            <w:tcW w:w="556"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2</w:t>
            </w:r>
            <w:r>
              <w:rPr>
                <w:rFonts w:cs="宋体" w:asciiTheme="minorEastAsia" w:hAnsiTheme="minorEastAsia" w:eastAsiaTheme="minorEastAsia"/>
                <w:b/>
                <w:bCs/>
                <w:color w:val="000000"/>
              </w:rPr>
              <w:t>1.71</w:t>
            </w:r>
          </w:p>
        </w:tc>
        <w:tc>
          <w:tcPr>
            <w:tcW w:w="647" w:type="pct"/>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9</w:t>
            </w:r>
            <w:r>
              <w:rPr>
                <w:rFonts w:cs="宋体" w:asciiTheme="minorEastAsia" w:hAnsiTheme="minorEastAsia" w:eastAsiaTheme="minorEastAsia"/>
                <w:b/>
                <w:bCs/>
                <w:color w:val="000000"/>
              </w:rPr>
              <w:t>8.68%</w:t>
            </w:r>
          </w:p>
        </w:tc>
      </w:tr>
    </w:tbl>
    <w:p>
      <w:pPr>
        <w:spacing w:line="560" w:lineRule="exact"/>
        <w:ind w:firstLine="640" w:firstLineChars="200"/>
        <w:rPr>
          <w:rFonts w:ascii="仿宋_GB2312" w:eastAsia="仿宋_GB2312" w:cs="仿宋_GB2312"/>
          <w:sz w:val="32"/>
          <w:szCs w:val="32"/>
        </w:rPr>
      </w:pPr>
      <w:bookmarkStart w:id="19" w:name="_Toc143870185"/>
      <w:r>
        <w:rPr>
          <w:rFonts w:hint="eastAsia" w:ascii="仿宋_GB2312" w:eastAsia="仿宋_GB2312" w:cs="仿宋_GB2312"/>
          <w:sz w:val="32"/>
          <w:szCs w:val="32"/>
        </w:rPr>
        <w:t>（1）预算管理</w:t>
      </w:r>
      <w:bookmarkEnd w:id="19"/>
      <w:r>
        <w:rPr>
          <w:rFonts w:hint="eastAsia" w:ascii="仿宋_GB2312" w:eastAsia="仿宋_GB2312" w:cs="仿宋_GB2312"/>
          <w:bCs/>
          <w:sz w:val="32"/>
          <w:szCs w:val="32"/>
        </w:rPr>
        <w:t>（满分</w:t>
      </w:r>
      <w:r>
        <w:rPr>
          <w:rFonts w:ascii="仿宋_GB2312" w:eastAsia="仿宋_GB2312" w:cs="仿宋_GB2312"/>
          <w:bCs/>
          <w:sz w:val="32"/>
          <w:szCs w:val="32"/>
        </w:rPr>
        <w:t>4</w:t>
      </w:r>
      <w:r>
        <w:rPr>
          <w:rFonts w:hint="eastAsia" w:ascii="仿宋_GB2312" w:eastAsia="仿宋_GB2312" w:cs="仿宋_GB2312"/>
          <w:bCs/>
          <w:sz w:val="32"/>
          <w:szCs w:val="32"/>
        </w:rPr>
        <w:t>分，得分</w:t>
      </w:r>
      <w:r>
        <w:rPr>
          <w:rFonts w:ascii="仿宋_GB2312" w:eastAsia="仿宋_GB2312" w:cs="仿宋_GB2312"/>
          <w:bCs/>
          <w:sz w:val="32"/>
          <w:szCs w:val="32"/>
        </w:rPr>
        <w:t>3.71</w:t>
      </w:r>
      <w:r>
        <w:rPr>
          <w:rFonts w:hint="eastAsia" w:ascii="仿宋_GB2312" w:eastAsia="仿宋_GB2312" w:cs="仿宋_GB2312"/>
          <w:bCs/>
          <w:sz w:val="32"/>
          <w:szCs w:val="32"/>
        </w:rPr>
        <w:t>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预算执行率：</w:t>
      </w:r>
      <w:r>
        <w:rPr>
          <w:rFonts w:hint="eastAsia" w:ascii="仿宋_GB2312" w:eastAsia="仿宋_GB2312" w:cs="仿宋_GB2312"/>
          <w:sz w:val="32"/>
          <w:szCs w:val="32"/>
        </w:rPr>
        <w:t>本项目2</w:t>
      </w:r>
      <w:r>
        <w:rPr>
          <w:rFonts w:ascii="仿宋_GB2312" w:eastAsia="仿宋_GB2312" w:cs="仿宋_GB2312"/>
          <w:sz w:val="32"/>
          <w:szCs w:val="32"/>
        </w:rPr>
        <w:t>022</w:t>
      </w:r>
      <w:r>
        <w:rPr>
          <w:rFonts w:hint="eastAsia" w:ascii="仿宋_GB2312" w:eastAsia="仿宋_GB2312" w:cs="仿宋_GB2312"/>
          <w:sz w:val="32"/>
          <w:szCs w:val="32"/>
        </w:rPr>
        <w:t>年年初预算金额</w:t>
      </w:r>
      <w:r>
        <w:rPr>
          <w:rFonts w:ascii="仿宋_GB2312" w:eastAsia="仿宋_GB2312" w:cs="仿宋_GB2312"/>
          <w:sz w:val="32"/>
          <w:szCs w:val="32"/>
        </w:rPr>
        <w:t>557</w:t>
      </w:r>
      <w:r>
        <w:rPr>
          <w:rFonts w:hint="eastAsia" w:ascii="仿宋_GB2312" w:eastAsia="仿宋_GB2312" w:cs="仿宋_GB2312"/>
          <w:sz w:val="32"/>
          <w:szCs w:val="32"/>
        </w:rPr>
        <w:t>万元，</w:t>
      </w:r>
      <w:r>
        <w:rPr>
          <w:rFonts w:hint="eastAsia" w:ascii="仿宋_GB2312" w:eastAsia="仿宋_GB2312" w:cs="仿宋_GB2312"/>
          <w:bCs/>
          <w:sz w:val="32"/>
          <w:szCs w:val="32"/>
        </w:rPr>
        <w:t>年中无预算调整，</w:t>
      </w:r>
      <w:r>
        <w:rPr>
          <w:rFonts w:hint="eastAsia" w:ascii="仿宋_GB2312" w:eastAsia="仿宋_GB2312" w:cs="仿宋_GB2312"/>
          <w:sz w:val="32"/>
          <w:szCs w:val="32"/>
        </w:rPr>
        <w:t>预算总金额</w:t>
      </w:r>
      <w:r>
        <w:rPr>
          <w:rFonts w:ascii="仿宋_GB2312" w:eastAsia="仿宋_GB2312" w:cs="仿宋_GB2312"/>
          <w:sz w:val="32"/>
          <w:szCs w:val="32"/>
        </w:rPr>
        <w:t>557</w:t>
      </w:r>
      <w:r>
        <w:rPr>
          <w:rFonts w:hint="eastAsia" w:ascii="仿宋_GB2312" w:eastAsia="仿宋_GB2312" w:cs="仿宋_GB2312"/>
          <w:sz w:val="32"/>
          <w:szCs w:val="32"/>
        </w:rPr>
        <w:t>万元，</w:t>
      </w:r>
      <w:r>
        <w:rPr>
          <w:rFonts w:hint="eastAsia" w:ascii="仿宋_GB2312" w:eastAsia="仿宋_GB2312" w:cs="仿宋_GB2312"/>
          <w:bCs/>
          <w:sz w:val="32"/>
          <w:szCs w:val="32"/>
        </w:rPr>
        <w:t>实际到位金额</w:t>
      </w:r>
      <w:r>
        <w:rPr>
          <w:rFonts w:ascii="仿宋_GB2312" w:eastAsia="仿宋_GB2312" w:cs="仿宋_GB2312"/>
          <w:sz w:val="32"/>
          <w:szCs w:val="32"/>
        </w:rPr>
        <w:t>557</w:t>
      </w:r>
      <w:r>
        <w:rPr>
          <w:rFonts w:hint="eastAsia" w:ascii="仿宋_GB2312" w:eastAsia="仿宋_GB2312" w:cs="仿宋_GB2312"/>
          <w:bCs/>
          <w:sz w:val="32"/>
          <w:szCs w:val="32"/>
        </w:rPr>
        <w:t>万元，</w:t>
      </w:r>
      <w:r>
        <w:rPr>
          <w:rFonts w:hint="eastAsia" w:ascii="仿宋_GB2312" w:eastAsia="仿宋_GB2312" w:cs="仿宋_GB2312"/>
          <w:sz w:val="32"/>
          <w:szCs w:val="32"/>
        </w:rPr>
        <w:t>截至2022年12月31日，实际支出</w:t>
      </w:r>
      <w:r>
        <w:rPr>
          <w:rFonts w:ascii="仿宋_GB2312" w:eastAsia="仿宋_GB2312" w:cs="仿宋_GB2312"/>
          <w:sz w:val="32"/>
          <w:szCs w:val="32"/>
        </w:rPr>
        <w:t>477.48</w:t>
      </w:r>
      <w:r>
        <w:rPr>
          <w:rFonts w:hint="eastAsia" w:ascii="仿宋_GB2312" w:eastAsia="仿宋_GB2312" w:cs="仿宋_GB2312"/>
          <w:bCs/>
          <w:sz w:val="32"/>
          <w:szCs w:val="32"/>
        </w:rPr>
        <w:t>万元</w:t>
      </w:r>
      <w:r>
        <w:rPr>
          <w:rFonts w:hint="eastAsia" w:ascii="仿宋_GB2312" w:eastAsia="仿宋_GB2312" w:cs="仿宋_GB2312"/>
          <w:sz w:val="32"/>
          <w:szCs w:val="32"/>
        </w:rPr>
        <w:t>，</w:t>
      </w:r>
      <w:r>
        <w:rPr>
          <w:rFonts w:hint="eastAsia" w:ascii="仿宋_GB2312" w:eastAsia="仿宋_GB2312" w:cs="仿宋_GB2312"/>
          <w:bCs/>
          <w:sz w:val="32"/>
          <w:szCs w:val="32"/>
        </w:rPr>
        <w:t>预算执行率为</w:t>
      </w:r>
      <w:r>
        <w:rPr>
          <w:rFonts w:ascii="仿宋_GB2312" w:eastAsia="仿宋_GB2312" w:cs="仿宋_GB2312"/>
          <w:bCs/>
          <w:sz w:val="32"/>
          <w:szCs w:val="32"/>
        </w:rPr>
        <w:t>85.72</w:t>
      </w:r>
      <w:r>
        <w:rPr>
          <w:rFonts w:hint="eastAsia" w:ascii="仿宋_GB2312" w:eastAsia="仿宋_GB2312" w:cs="仿宋_GB2312"/>
          <w:bCs/>
          <w:sz w:val="32"/>
          <w:szCs w:val="32"/>
        </w:rPr>
        <w:t>%。</w:t>
      </w:r>
      <w:r>
        <w:rPr>
          <w:rFonts w:hint="eastAsia" w:ascii="仿宋_GB2312" w:eastAsia="仿宋_GB2312" w:cs="仿宋_GB2312"/>
          <w:sz w:val="32"/>
          <w:szCs w:val="32"/>
        </w:rPr>
        <w:t>该指标评价得分</w:t>
      </w:r>
      <w:r>
        <w:rPr>
          <w:rFonts w:ascii="仿宋_GB2312" w:eastAsia="仿宋_GB2312" w:cs="仿宋_GB2312"/>
          <w:bCs/>
          <w:sz w:val="32"/>
          <w:szCs w:val="32"/>
        </w:rPr>
        <w:t>1.71</w:t>
      </w:r>
      <w:r>
        <w:rPr>
          <w:rFonts w:hint="eastAsia" w:ascii="仿宋_GB2312" w:eastAsia="仿宋_GB2312" w:cs="仿宋_GB2312"/>
          <w:sz w:val="32"/>
          <w:szCs w:val="32"/>
        </w:rPr>
        <w:t>分</w:t>
      </w:r>
      <w:r>
        <w:rPr>
          <w:rFonts w:hint="eastAsia" w:ascii="仿宋_GB2312" w:eastAsia="仿宋_GB2312" w:cs="仿宋_GB2312"/>
          <w:bCs/>
          <w:sz w:val="32"/>
          <w:szCs w:val="32"/>
        </w:rPr>
        <w:t>。</w:t>
      </w:r>
    </w:p>
    <w:p>
      <w:pPr>
        <w:spacing w:line="560" w:lineRule="exact"/>
        <w:ind w:firstLine="642" w:firstLineChars="200"/>
        <w:rPr>
          <w:rFonts w:ascii="仿宋_GB2312" w:eastAsia="仿宋_GB2312" w:cs="仿宋_GB2312"/>
          <w:bCs/>
          <w:color w:val="000000" w:themeColor="text1"/>
          <w:sz w:val="32"/>
          <w:szCs w:val="32"/>
          <w:lang w:val="en-GB"/>
          <w14:textFill>
            <w14:solidFill>
              <w14:schemeClr w14:val="tx1"/>
            </w14:solidFill>
          </w14:textFill>
        </w:rPr>
      </w:pPr>
      <w:r>
        <w:rPr>
          <w:rFonts w:hint="eastAsia" w:ascii="仿宋_GB2312" w:eastAsia="仿宋_GB2312" w:cs="仿宋_GB2312"/>
          <w:b/>
          <w:sz w:val="32"/>
          <w:szCs w:val="32"/>
        </w:rPr>
        <w:t>预算管理规范性：</w:t>
      </w:r>
      <w:r>
        <w:rPr>
          <w:rFonts w:hint="eastAsia" w:ascii="仿宋_GB2312" w:eastAsia="仿宋_GB2312" w:cs="仿宋_GB2312"/>
          <w:bCs/>
          <w:sz w:val="32"/>
          <w:szCs w:val="32"/>
        </w:rPr>
        <w:t>本项目2</w:t>
      </w:r>
      <w:r>
        <w:rPr>
          <w:rFonts w:ascii="仿宋_GB2312" w:eastAsia="仿宋_GB2312" w:cs="仿宋_GB2312"/>
          <w:bCs/>
          <w:sz w:val="32"/>
          <w:szCs w:val="32"/>
        </w:rPr>
        <w:t>022</w:t>
      </w:r>
      <w:r>
        <w:rPr>
          <w:rFonts w:hint="eastAsia" w:ascii="仿宋_GB2312" w:eastAsia="仿宋_GB2312" w:cs="仿宋_GB2312"/>
          <w:bCs/>
          <w:sz w:val="32"/>
          <w:szCs w:val="32"/>
        </w:rPr>
        <w:t>年度未发生预算调整调剂，项目资金按照年初批复的预算执行，预算管理规范，</w:t>
      </w:r>
      <w:r>
        <w:rPr>
          <w:rFonts w:hint="eastAsia" w:ascii="仿宋_GB2312" w:eastAsia="仿宋_GB2312" w:cs="仿宋_GB2312"/>
          <w:bCs/>
          <w:color w:val="000000" w:themeColor="text1"/>
          <w:sz w:val="32"/>
          <w:szCs w:val="32"/>
          <w:lang w:val="en-GB"/>
          <w14:textFill>
            <w14:solidFill>
              <w14:schemeClr w14:val="tx1"/>
            </w14:solidFill>
          </w14:textFill>
        </w:rPr>
        <w:t>该指标评价得分</w:t>
      </w:r>
      <w:r>
        <w:rPr>
          <w:rFonts w:ascii="仿宋_GB2312" w:eastAsia="仿宋_GB2312" w:cs="仿宋_GB2312"/>
          <w:bCs/>
          <w:color w:val="000000" w:themeColor="text1"/>
          <w:sz w:val="32"/>
          <w:szCs w:val="32"/>
          <w:lang w:val="en-GB"/>
          <w14:textFill>
            <w14:solidFill>
              <w14:schemeClr w14:val="tx1"/>
            </w14:solidFill>
          </w14:textFill>
        </w:rPr>
        <w:t>2</w:t>
      </w:r>
      <w:r>
        <w:rPr>
          <w:rFonts w:hint="eastAsia" w:ascii="仿宋_GB2312" w:eastAsia="仿宋_GB2312" w:cs="仿宋_GB2312"/>
          <w:bCs/>
          <w:color w:val="000000" w:themeColor="text1"/>
          <w:sz w:val="32"/>
          <w:szCs w:val="32"/>
          <w:lang w:val="en-GB"/>
          <w14:textFill>
            <w14:solidFill>
              <w14:schemeClr w14:val="tx1"/>
            </w14:solidFill>
          </w14:textFill>
        </w:rPr>
        <w:t>分。</w:t>
      </w:r>
    </w:p>
    <w:p>
      <w:pPr>
        <w:spacing w:line="560" w:lineRule="exact"/>
        <w:ind w:firstLine="640" w:firstLineChars="200"/>
        <w:rPr>
          <w:rFonts w:ascii="仿宋_GB2312" w:eastAsia="仿宋_GB2312" w:cs="仿宋_GB2312"/>
          <w:bCs/>
          <w:color w:val="000000" w:themeColor="text1"/>
          <w:sz w:val="32"/>
          <w:szCs w:val="32"/>
          <w:lang w:val="en-GB"/>
          <w14:textFill>
            <w14:solidFill>
              <w14:schemeClr w14:val="tx1"/>
            </w14:solidFill>
          </w14:textFill>
        </w:rPr>
      </w:pPr>
      <w:r>
        <w:rPr>
          <w:rFonts w:hint="eastAsia" w:ascii="仿宋_GB2312" w:eastAsia="仿宋_GB2312" w:cs="仿宋_GB2312"/>
          <w:bCs/>
          <w:color w:val="000000" w:themeColor="text1"/>
          <w:sz w:val="32"/>
          <w:szCs w:val="32"/>
          <w:lang w:val="en-GB"/>
          <w14:textFill>
            <w14:solidFill>
              <w14:schemeClr w14:val="tx1"/>
            </w14:solidFill>
          </w14:textFill>
        </w:rPr>
        <w:t>（2）财务管理</w:t>
      </w:r>
      <w:r>
        <w:rPr>
          <w:rFonts w:hint="eastAsia" w:ascii="仿宋_GB2312" w:eastAsia="仿宋_GB2312" w:cs="仿宋_GB2312"/>
          <w:bCs/>
          <w:sz w:val="32"/>
          <w:szCs w:val="32"/>
        </w:rPr>
        <w:t>（满分6分，得分6分）</w:t>
      </w:r>
    </w:p>
    <w:p>
      <w:pPr>
        <w:spacing w:line="560" w:lineRule="exact"/>
        <w:ind w:firstLine="642" w:firstLineChars="200"/>
        <w:rPr>
          <w:rFonts w:ascii="仿宋_GB2312" w:eastAsia="仿宋_GB2312" w:cs="仿宋_GB2312"/>
          <w:bCs/>
          <w:color w:val="000000" w:themeColor="text1"/>
          <w:sz w:val="32"/>
          <w:szCs w:val="32"/>
          <w:lang w:val="en-GB"/>
          <w14:textFill>
            <w14:solidFill>
              <w14:schemeClr w14:val="tx1"/>
            </w14:solidFill>
          </w14:textFill>
        </w:rPr>
      </w:pPr>
      <w:r>
        <w:rPr>
          <w:rFonts w:hint="eastAsia" w:ascii="仿宋_GB2312" w:eastAsia="仿宋_GB2312" w:cs="仿宋_GB2312"/>
          <w:b/>
          <w:sz w:val="32"/>
          <w:szCs w:val="32"/>
        </w:rPr>
        <w:t>财务制度健全性：</w:t>
      </w:r>
      <w:r>
        <w:rPr>
          <w:rFonts w:hint="eastAsia" w:ascii="仿宋_GB2312" w:eastAsia="仿宋_GB2312" w:cs="仿宋_GB2312"/>
          <w:bCs/>
          <w:sz w:val="32"/>
          <w:szCs w:val="32"/>
        </w:rPr>
        <w:t>区城管和综合执法局已制定《深圳市龙华区城市管理和综合执法局财务管理制度（修订）》、《深圳市龙华区城市管理和综合执法局合同管理制度（试行）》等财务管理制度，并于2</w:t>
      </w:r>
      <w:r>
        <w:rPr>
          <w:rFonts w:ascii="仿宋_GB2312" w:eastAsia="仿宋_GB2312" w:cs="仿宋_GB2312"/>
          <w:bCs/>
          <w:sz w:val="32"/>
          <w:szCs w:val="32"/>
        </w:rPr>
        <w:t>022</w:t>
      </w:r>
      <w:r>
        <w:rPr>
          <w:rFonts w:hint="eastAsia" w:ascii="仿宋_GB2312" w:eastAsia="仿宋_GB2312" w:cs="仿宋_GB2312"/>
          <w:bCs/>
          <w:sz w:val="32"/>
          <w:szCs w:val="32"/>
        </w:rPr>
        <w:t>年启动内部控制制度修订建设工作，及时结合外部最新政策要求，修订完善各项财务内控制度。</w:t>
      </w:r>
      <w:r>
        <w:rPr>
          <w:rFonts w:hint="eastAsia" w:ascii="仿宋_GB2312" w:eastAsia="仿宋_GB2312" w:cs="仿宋_GB2312"/>
          <w:bCs/>
          <w:color w:val="000000" w:themeColor="text1"/>
          <w:sz w:val="32"/>
          <w:szCs w:val="32"/>
          <w:lang w:val="en-GB"/>
          <w14:textFill>
            <w14:solidFill>
              <w14:schemeClr w14:val="tx1"/>
            </w14:solidFill>
          </w14:textFill>
        </w:rPr>
        <w:t>财务管理制度健全，该指标评价得分2分。</w:t>
      </w:r>
    </w:p>
    <w:p>
      <w:pPr>
        <w:spacing w:line="560" w:lineRule="exact"/>
        <w:ind w:firstLine="642" w:firstLineChars="200"/>
        <w:rPr>
          <w:rFonts w:ascii="仿宋_GB2312" w:eastAsia="仿宋_GB2312" w:cs="仿宋_GB2312"/>
          <w:bCs/>
          <w:color w:val="000000" w:themeColor="text1"/>
          <w:sz w:val="32"/>
          <w:szCs w:val="32"/>
          <w:lang w:val="en-GB"/>
          <w14:textFill>
            <w14:solidFill>
              <w14:schemeClr w14:val="tx1"/>
            </w14:solidFill>
          </w14:textFill>
        </w:rPr>
      </w:pPr>
      <w:r>
        <w:rPr>
          <w:rFonts w:hint="eastAsia" w:ascii="仿宋_GB2312" w:eastAsia="仿宋_GB2312" w:cs="仿宋_GB2312"/>
          <w:b/>
          <w:sz w:val="32"/>
          <w:szCs w:val="32"/>
        </w:rPr>
        <w:t>资产使用规范性：</w:t>
      </w:r>
      <w:r>
        <w:rPr>
          <w:rFonts w:hint="eastAsia" w:ascii="仿宋_GB2312" w:eastAsia="仿宋_GB2312" w:cs="仿宋_GB2312"/>
          <w:bCs/>
          <w:color w:val="000000" w:themeColor="text1"/>
          <w:sz w:val="32"/>
          <w:szCs w:val="32"/>
          <w:lang w:val="en-GB"/>
          <w14:textFill>
            <w14:solidFill>
              <w14:schemeClr w14:val="tx1"/>
            </w14:solidFill>
          </w14:textFill>
        </w:rPr>
        <w:t>本项目资金用于补助经审核符合规定的“生活垃圾分类绿色单位”“生活垃圾分类绿色小区”“生活垃圾分类好家庭”及“生活垃圾分类积极个人”，符合项目预算批复的用途，不存在截留、挤占、挪用、虚列支出等情况。资金使用合规，该指标评价得分</w:t>
      </w:r>
      <w:r>
        <w:rPr>
          <w:rFonts w:ascii="仿宋_GB2312" w:eastAsia="仿宋_GB2312" w:cs="仿宋_GB2312"/>
          <w:bCs/>
          <w:color w:val="000000" w:themeColor="text1"/>
          <w:sz w:val="32"/>
          <w:szCs w:val="32"/>
          <w:lang w:val="en-GB"/>
          <w14:textFill>
            <w14:solidFill>
              <w14:schemeClr w14:val="tx1"/>
            </w14:solidFill>
          </w14:textFill>
        </w:rPr>
        <w:t>4</w:t>
      </w:r>
      <w:r>
        <w:rPr>
          <w:rFonts w:hint="eastAsia" w:ascii="仿宋_GB2312" w:eastAsia="仿宋_GB2312" w:cs="仿宋_GB2312"/>
          <w:bCs/>
          <w:color w:val="000000" w:themeColor="text1"/>
          <w:sz w:val="32"/>
          <w:szCs w:val="32"/>
          <w:lang w:val="en-GB"/>
          <w14:textFill>
            <w14:solidFill>
              <w14:schemeClr w14:val="tx1"/>
            </w14:solidFill>
          </w14:textFill>
        </w:rPr>
        <w:t>分。</w:t>
      </w:r>
    </w:p>
    <w:p>
      <w:pPr>
        <w:spacing w:line="560" w:lineRule="exact"/>
        <w:ind w:firstLine="640" w:firstLineChars="200"/>
        <w:rPr>
          <w:rFonts w:ascii="仿宋_GB2312" w:eastAsia="仿宋_GB2312" w:cs="仿宋_GB2312"/>
          <w:bCs/>
          <w:color w:val="000000" w:themeColor="text1"/>
          <w:sz w:val="32"/>
          <w:szCs w:val="32"/>
          <w:lang w:val="en-GB"/>
          <w14:textFill>
            <w14:solidFill>
              <w14:schemeClr w14:val="tx1"/>
            </w14:solidFill>
          </w14:textFill>
        </w:rPr>
      </w:pPr>
      <w:r>
        <w:rPr>
          <w:rFonts w:hint="eastAsia" w:ascii="仿宋_GB2312" w:eastAsia="仿宋_GB2312" w:cs="仿宋_GB2312"/>
          <w:bCs/>
          <w:color w:val="000000" w:themeColor="text1"/>
          <w:sz w:val="32"/>
          <w:szCs w:val="32"/>
          <w:lang w:val="en-GB"/>
          <w14:textFill>
            <w14:solidFill>
              <w14:schemeClr w14:val="tx1"/>
            </w14:solidFill>
          </w14:textFill>
        </w:rPr>
        <w:t>（3）组织实施</w:t>
      </w:r>
      <w:r>
        <w:rPr>
          <w:rFonts w:hint="eastAsia" w:ascii="仿宋_GB2312" w:eastAsia="仿宋_GB2312" w:cs="仿宋_GB2312"/>
          <w:bCs/>
          <w:sz w:val="32"/>
          <w:szCs w:val="32"/>
        </w:rPr>
        <w:t>（满分</w:t>
      </w:r>
      <w:r>
        <w:rPr>
          <w:rFonts w:ascii="仿宋_GB2312" w:eastAsia="仿宋_GB2312" w:cs="仿宋_GB2312"/>
          <w:bCs/>
          <w:sz w:val="32"/>
          <w:szCs w:val="32"/>
        </w:rPr>
        <w:t>12</w:t>
      </w:r>
      <w:r>
        <w:rPr>
          <w:rFonts w:hint="eastAsia" w:ascii="仿宋_GB2312" w:eastAsia="仿宋_GB2312" w:cs="仿宋_GB2312"/>
          <w:bCs/>
          <w:sz w:val="32"/>
          <w:szCs w:val="32"/>
        </w:rPr>
        <w:t>分，得分</w:t>
      </w:r>
      <w:r>
        <w:rPr>
          <w:rFonts w:ascii="仿宋_GB2312" w:eastAsia="仿宋_GB2312" w:cs="仿宋_GB2312"/>
          <w:bCs/>
          <w:sz w:val="32"/>
          <w:szCs w:val="32"/>
        </w:rPr>
        <w:t>12</w:t>
      </w:r>
      <w:r>
        <w:rPr>
          <w:rFonts w:hint="eastAsia" w:ascii="仿宋_GB2312" w:eastAsia="仿宋_GB2312" w:cs="仿宋_GB2312"/>
          <w:bCs/>
          <w:sz w:val="32"/>
          <w:szCs w:val="32"/>
        </w:rPr>
        <w:t>分）</w:t>
      </w:r>
    </w:p>
    <w:p>
      <w:pPr>
        <w:spacing w:line="560" w:lineRule="exact"/>
        <w:ind w:firstLine="642" w:firstLineChars="200"/>
        <w:rPr>
          <w:rFonts w:ascii="仿宋_GB2312" w:eastAsia="仿宋_GB2312" w:cs="仿宋_GB2312"/>
          <w:bCs/>
          <w:color w:val="000000" w:themeColor="text1"/>
          <w:sz w:val="32"/>
          <w:szCs w:val="32"/>
          <w:lang w:val="en-GB"/>
          <w14:textFill>
            <w14:solidFill>
              <w14:schemeClr w14:val="tx1"/>
            </w14:solidFill>
          </w14:textFill>
        </w:rPr>
      </w:pPr>
      <w:r>
        <w:rPr>
          <w:rFonts w:hint="eastAsia" w:ascii="仿宋_GB2312" w:eastAsia="仿宋_GB2312" w:cs="仿宋_GB2312"/>
          <w:b/>
          <w:sz w:val="32"/>
          <w:szCs w:val="32"/>
        </w:rPr>
        <w:t>项目实施制度健全性：</w:t>
      </w:r>
      <w:r>
        <w:rPr>
          <w:rFonts w:hint="eastAsia" w:ascii="仿宋_GB2312" w:eastAsia="仿宋_GB2312" w:cs="仿宋_GB2312"/>
          <w:bCs/>
          <w:sz w:val="32"/>
          <w:szCs w:val="32"/>
        </w:rPr>
        <w:t>根据《深圳市生活垃圾分类工作激励办法》（深城管规〔2019〕4号）《龙华区生活垃圾分类工作激励方法实施细则（试行）》（深龙华府办规〔2020〕7号）的文件要求，2022年10月，区城管和综合执法局印发了《龙华区城市管理和综合执法局关于2022年生活垃圾分类工作激励经费分配的通知》（深龙华城管通〔2022〕56号），部署安排本年度激励资金分配和实施工作。项目实施制度健全，</w:t>
      </w:r>
      <w:r>
        <w:rPr>
          <w:rFonts w:hint="eastAsia" w:ascii="仿宋_GB2312" w:eastAsia="仿宋_GB2312" w:cs="仿宋_GB2312"/>
          <w:bCs/>
          <w:color w:val="000000" w:themeColor="text1"/>
          <w:sz w:val="32"/>
          <w:szCs w:val="32"/>
          <w:lang w:val="en-GB"/>
          <w14:textFill>
            <w14:solidFill>
              <w14:schemeClr w14:val="tx1"/>
            </w14:solidFill>
          </w14:textFill>
        </w:rPr>
        <w:t>该指标评价得分</w:t>
      </w:r>
      <w:r>
        <w:rPr>
          <w:rFonts w:ascii="仿宋_GB2312" w:eastAsia="仿宋_GB2312" w:cs="仿宋_GB2312"/>
          <w:bCs/>
          <w:color w:val="000000" w:themeColor="text1"/>
          <w:sz w:val="32"/>
          <w:szCs w:val="32"/>
          <w:lang w:val="en-GB"/>
          <w14:textFill>
            <w14:solidFill>
              <w14:schemeClr w14:val="tx1"/>
            </w14:solidFill>
          </w14:textFill>
        </w:rPr>
        <w:t>6</w:t>
      </w:r>
      <w:r>
        <w:rPr>
          <w:rFonts w:hint="eastAsia" w:ascii="仿宋_GB2312" w:eastAsia="仿宋_GB2312" w:cs="仿宋_GB2312"/>
          <w:bCs/>
          <w:color w:val="000000" w:themeColor="text1"/>
          <w:sz w:val="32"/>
          <w:szCs w:val="32"/>
          <w:lang w:val="en-GB"/>
          <w14:textFill>
            <w14:solidFill>
              <w14:schemeClr w14:val="tx1"/>
            </w14:solidFill>
          </w14:textFill>
        </w:rPr>
        <w:t>分。</w:t>
      </w:r>
    </w:p>
    <w:p>
      <w:pPr>
        <w:spacing w:line="560" w:lineRule="exact"/>
        <w:ind w:firstLine="642" w:firstLineChars="200"/>
        <w:rPr>
          <w:rFonts w:ascii="仿宋_GB2312" w:eastAsia="仿宋_GB2312" w:cs="仿宋_GB2312"/>
          <w:bCs/>
          <w:color w:val="000000" w:themeColor="text1"/>
          <w:sz w:val="32"/>
          <w:szCs w:val="32"/>
          <w:lang w:val="en-GB"/>
          <w14:textFill>
            <w14:solidFill>
              <w14:schemeClr w14:val="tx1"/>
            </w14:solidFill>
          </w14:textFill>
        </w:rPr>
      </w:pPr>
      <w:r>
        <w:rPr>
          <w:rFonts w:hint="eastAsia" w:ascii="仿宋_GB2312" w:eastAsia="仿宋_GB2312" w:cs="仿宋_GB2312"/>
          <w:b/>
          <w:sz w:val="32"/>
          <w:szCs w:val="32"/>
        </w:rPr>
        <w:t>项目实施执行有效性：</w:t>
      </w:r>
      <w:r>
        <w:rPr>
          <w:rFonts w:hint="eastAsia" w:ascii="仿宋_GB2312" w:eastAsia="仿宋_GB2312" w:cs="仿宋_GB2312"/>
          <w:bCs/>
          <w:color w:val="000000" w:themeColor="text1"/>
          <w:sz w:val="32"/>
          <w:szCs w:val="32"/>
          <w:lang w:val="en-GB"/>
          <w14:textFill>
            <w14:solidFill>
              <w14:schemeClr w14:val="tx1"/>
            </w14:solidFill>
          </w14:textFill>
        </w:rPr>
        <w:t>本项目严格按照《龙华区生活垃圾分类工作激励方法实施细则（试行）》等相关文件要求审核街道评选及推荐的奖励对象，项目实施过程符合制度规定，且项目资料齐全归档完整。制度实施执行有效，该指标评价得分</w:t>
      </w:r>
      <w:r>
        <w:rPr>
          <w:rFonts w:ascii="仿宋_GB2312" w:eastAsia="仿宋_GB2312" w:cs="仿宋_GB2312"/>
          <w:bCs/>
          <w:color w:val="000000" w:themeColor="text1"/>
          <w:sz w:val="32"/>
          <w:szCs w:val="32"/>
          <w:lang w:val="en-GB"/>
          <w14:textFill>
            <w14:solidFill>
              <w14:schemeClr w14:val="tx1"/>
            </w14:solidFill>
          </w14:textFill>
        </w:rPr>
        <w:t>6</w:t>
      </w:r>
      <w:r>
        <w:rPr>
          <w:rFonts w:hint="eastAsia" w:ascii="仿宋_GB2312" w:eastAsia="仿宋_GB2312" w:cs="仿宋_GB2312"/>
          <w:bCs/>
          <w:color w:val="000000" w:themeColor="text1"/>
          <w:sz w:val="32"/>
          <w:szCs w:val="32"/>
          <w:lang w:val="en-GB"/>
          <w14:textFill>
            <w14:solidFill>
              <w14:schemeClr w14:val="tx1"/>
            </w14:solidFill>
          </w14:textFill>
        </w:rPr>
        <w:t>分。</w:t>
      </w:r>
    </w:p>
    <w:p>
      <w:pPr>
        <w:spacing w:line="560" w:lineRule="exact"/>
        <w:ind w:firstLine="642" w:firstLineChars="200"/>
        <w:outlineLvl w:val="2"/>
        <w:rPr>
          <w:rFonts w:ascii="仿宋_GB2312" w:eastAsia="仿宋_GB2312" w:cs="仿宋_GB2312"/>
          <w:b/>
          <w:bCs/>
          <w:sz w:val="32"/>
          <w:szCs w:val="32"/>
        </w:rPr>
      </w:pPr>
      <w:bookmarkStart w:id="20" w:name="_Toc143870188"/>
      <w:r>
        <w:rPr>
          <w:rFonts w:hint="eastAsia" w:ascii="仿宋_GB2312" w:eastAsia="仿宋_GB2312" w:cs="仿宋_GB2312"/>
          <w:b/>
          <w:bCs/>
          <w:sz w:val="32"/>
          <w:szCs w:val="32"/>
        </w:rPr>
        <w:t>3</w:t>
      </w:r>
      <w:r>
        <w:rPr>
          <w:rFonts w:ascii="仿宋_GB2312" w:eastAsia="仿宋_GB2312" w:cs="仿宋_GB2312"/>
          <w:b/>
          <w:bCs/>
          <w:sz w:val="32"/>
          <w:szCs w:val="32"/>
        </w:rPr>
        <w:t>.</w:t>
      </w:r>
      <w:r>
        <w:rPr>
          <w:rFonts w:hint="eastAsia" w:ascii="仿宋_GB2312" w:eastAsia="仿宋_GB2312" w:cs="仿宋_GB2312"/>
          <w:b/>
          <w:bCs/>
          <w:sz w:val="32"/>
          <w:szCs w:val="32"/>
        </w:rPr>
        <w:t>项目产出情况</w:t>
      </w:r>
      <w:bookmarkEnd w:id="20"/>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一级指标“项目产出”满分为</w:t>
      </w:r>
      <w:r>
        <w:rPr>
          <w:rFonts w:ascii="仿宋_GB2312" w:eastAsia="仿宋_GB2312" w:cs="仿宋_GB2312"/>
          <w:bCs/>
          <w:sz w:val="32"/>
          <w:szCs w:val="32"/>
        </w:rPr>
        <w:t>20</w:t>
      </w:r>
      <w:r>
        <w:rPr>
          <w:rFonts w:hint="eastAsia" w:ascii="仿宋_GB2312" w:eastAsia="仿宋_GB2312" w:cs="仿宋_GB2312"/>
          <w:bCs/>
          <w:sz w:val="32"/>
          <w:szCs w:val="32"/>
        </w:rPr>
        <w:t>分，得分</w:t>
      </w:r>
      <w:r>
        <w:rPr>
          <w:rFonts w:ascii="仿宋_GB2312" w:eastAsia="仿宋_GB2312" w:cs="仿宋_GB2312"/>
          <w:bCs/>
          <w:sz w:val="32"/>
          <w:szCs w:val="32"/>
        </w:rPr>
        <w:t>19.54</w:t>
      </w:r>
      <w:r>
        <w:rPr>
          <w:rFonts w:hint="eastAsia" w:ascii="仿宋_GB2312" w:eastAsia="仿宋_GB2312" w:cs="仿宋_GB2312"/>
          <w:bCs/>
          <w:sz w:val="32"/>
          <w:szCs w:val="32"/>
        </w:rPr>
        <w:t>分，得分率为</w:t>
      </w:r>
      <w:r>
        <w:rPr>
          <w:rFonts w:ascii="仿宋_GB2312" w:eastAsia="仿宋_GB2312" w:cs="仿宋_GB2312"/>
          <w:bCs/>
          <w:sz w:val="32"/>
          <w:szCs w:val="32"/>
        </w:rPr>
        <w:t>97.70</w:t>
      </w:r>
      <w:r>
        <w:rPr>
          <w:rFonts w:hint="eastAsia" w:ascii="仿宋_GB2312" w:eastAsia="仿宋_GB2312" w:cs="仿宋_GB2312"/>
          <w:bCs/>
          <w:sz w:val="32"/>
          <w:szCs w:val="32"/>
        </w:rPr>
        <w:t>%。</w:t>
      </w:r>
    </w:p>
    <w:p>
      <w:pPr>
        <w:spacing w:line="600" w:lineRule="exact"/>
        <w:ind w:firstLine="562" w:firstLineChars="200"/>
        <w:jc w:val="center"/>
        <w:rPr>
          <w:rFonts w:ascii="黑体" w:hAnsi="黑体" w:eastAsia="黑体" w:cs="仿宋_GB2312"/>
          <w:b/>
          <w:bCs/>
          <w:sz w:val="28"/>
          <w:szCs w:val="28"/>
        </w:rPr>
      </w:pPr>
      <w:r>
        <w:rPr>
          <w:rFonts w:hint="eastAsia" w:ascii="黑体" w:hAnsi="黑体" w:eastAsia="黑体" w:cs="仿宋_GB2312"/>
          <w:b/>
          <w:bCs/>
          <w:sz w:val="28"/>
          <w:szCs w:val="28"/>
        </w:rPr>
        <w:t>表</w:t>
      </w:r>
      <w:r>
        <w:rPr>
          <w:rFonts w:ascii="黑体" w:hAnsi="黑体" w:eastAsia="黑体" w:cs="仿宋_GB2312"/>
          <w:b/>
          <w:bCs/>
          <w:sz w:val="28"/>
          <w:szCs w:val="28"/>
        </w:rPr>
        <w:t>3-5</w:t>
      </w:r>
      <w:r>
        <w:rPr>
          <w:rFonts w:hint="eastAsia" w:ascii="黑体" w:hAnsi="黑体" w:eastAsia="黑体" w:cs="仿宋_GB2312"/>
          <w:b/>
          <w:bCs/>
          <w:sz w:val="28"/>
          <w:szCs w:val="28"/>
        </w:rPr>
        <w:t>项目产出指标得分汇总表</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861"/>
        <w:gridCol w:w="1151"/>
        <w:gridCol w:w="716"/>
        <w:gridCol w:w="2170"/>
        <w:gridCol w:w="861"/>
        <w:gridCol w:w="948"/>
        <w:gridCol w:w="1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3"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一级指标</w:t>
            </w:r>
          </w:p>
        </w:tc>
        <w:tc>
          <w:tcPr>
            <w:tcW w:w="1095"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二级指标</w:t>
            </w:r>
          </w:p>
        </w:tc>
        <w:tc>
          <w:tcPr>
            <w:tcW w:w="1778"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三级指标</w:t>
            </w:r>
          </w:p>
        </w:tc>
        <w:tc>
          <w:tcPr>
            <w:tcW w:w="556" w:type="pct"/>
            <w:vMerge w:val="restar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得分</w:t>
            </w:r>
          </w:p>
        </w:tc>
        <w:tc>
          <w:tcPr>
            <w:tcW w:w="647" w:type="pct"/>
            <w:vMerge w:val="restart"/>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67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420"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1273"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556" w:type="pct"/>
            <w:vMerge w:val="continue"/>
            <w:vAlign w:val="center"/>
          </w:tcPr>
          <w:p>
            <w:pPr>
              <w:widowControl/>
              <w:jc w:val="center"/>
              <w:rPr>
                <w:rFonts w:cs="宋体" w:asciiTheme="minorEastAsia" w:hAnsiTheme="minorEastAsia" w:eastAsiaTheme="minorEastAsia"/>
                <w:b/>
                <w:bCs/>
                <w:color w:val="000000"/>
              </w:rPr>
            </w:pPr>
          </w:p>
        </w:tc>
        <w:tc>
          <w:tcPr>
            <w:tcW w:w="647" w:type="pct"/>
            <w:vMerge w:val="continue"/>
            <w:vAlign w:val="center"/>
          </w:tcPr>
          <w:p>
            <w:pPr>
              <w:widowControl/>
              <w:jc w:val="center"/>
              <w:rPr>
                <w:rFonts w:cs="宋体" w:asciiTheme="minorEastAsia" w:hAnsiTheme="minorEastAsia" w:eastAsiaTheme="minorEastAsia"/>
                <w:b/>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产出</w:t>
            </w:r>
          </w:p>
        </w:tc>
        <w:tc>
          <w:tcPr>
            <w:tcW w:w="50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w:t>
            </w:r>
          </w:p>
        </w:tc>
        <w:tc>
          <w:tcPr>
            <w:tcW w:w="67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产出数量</w:t>
            </w:r>
          </w:p>
        </w:tc>
        <w:tc>
          <w:tcPr>
            <w:tcW w:w="420"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实际完成率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3.54</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产出质量</w:t>
            </w:r>
          </w:p>
        </w:tc>
        <w:tc>
          <w:tcPr>
            <w:tcW w:w="420"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质量达标率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产出时效</w:t>
            </w:r>
          </w:p>
        </w:tc>
        <w:tc>
          <w:tcPr>
            <w:tcW w:w="420"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完成及时性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产出成本</w:t>
            </w:r>
          </w:p>
        </w:tc>
        <w:tc>
          <w:tcPr>
            <w:tcW w:w="420"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补助标准</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小计</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2</w:t>
            </w:r>
            <w:r>
              <w:rPr>
                <w:rFonts w:cs="宋体" w:asciiTheme="minorEastAsia" w:hAnsiTheme="minorEastAsia" w:eastAsiaTheme="minorEastAsia"/>
                <w:b/>
                <w:bCs/>
                <w:color w:val="000000"/>
              </w:rPr>
              <w:t>0</w:t>
            </w:r>
          </w:p>
        </w:tc>
        <w:tc>
          <w:tcPr>
            <w:tcW w:w="67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w:t>
            </w:r>
          </w:p>
        </w:tc>
        <w:tc>
          <w:tcPr>
            <w:tcW w:w="420" w:type="pct"/>
            <w:shd w:val="clear" w:color="auto" w:fill="auto"/>
            <w:noWrap/>
            <w:vAlign w:val="center"/>
          </w:tcPr>
          <w:p>
            <w:pPr>
              <w:widowControl/>
              <w:jc w:val="center"/>
              <w:rPr>
                <w:rFonts w:cs="宋体" w:asciiTheme="minorEastAsia" w:hAnsiTheme="minorEastAsia" w:eastAsiaTheme="minorEastAsia"/>
                <w:b/>
                <w:bCs/>
                <w:color w:val="000000"/>
              </w:rPr>
            </w:pPr>
            <w:r>
              <w:rPr>
                <w:rFonts w:cs="宋体" w:asciiTheme="minorEastAsia" w:hAnsiTheme="minorEastAsia" w:eastAsiaTheme="minorEastAsia"/>
                <w:b/>
                <w:bCs/>
                <w:color w:val="000000"/>
              </w:rPr>
              <w:t>2</w:t>
            </w:r>
            <w:r>
              <w:rPr>
                <w:rFonts w:hint="eastAsia" w:cs="宋体" w:asciiTheme="minorEastAsia" w:hAnsiTheme="minorEastAsia" w:eastAsiaTheme="minorEastAsia"/>
                <w:b/>
                <w:bCs/>
                <w:color w:val="000000"/>
              </w:rPr>
              <w:t>0</w:t>
            </w:r>
          </w:p>
        </w:tc>
        <w:tc>
          <w:tcPr>
            <w:tcW w:w="1273"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cs="宋体" w:asciiTheme="minorEastAsia" w:hAnsiTheme="minorEastAsia" w:eastAsiaTheme="minorEastAsia"/>
                <w:b/>
                <w:bCs/>
                <w:color w:val="000000"/>
              </w:rPr>
              <w:t>2</w:t>
            </w:r>
            <w:r>
              <w:rPr>
                <w:rFonts w:hint="eastAsia" w:cs="宋体" w:asciiTheme="minorEastAsia" w:hAnsiTheme="minorEastAsia" w:eastAsiaTheme="minorEastAsia"/>
                <w:b/>
                <w:bCs/>
                <w:color w:val="000000"/>
              </w:rPr>
              <w:t>0</w:t>
            </w:r>
          </w:p>
        </w:tc>
        <w:tc>
          <w:tcPr>
            <w:tcW w:w="556"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1</w:t>
            </w:r>
            <w:r>
              <w:rPr>
                <w:rFonts w:cs="宋体" w:asciiTheme="minorEastAsia" w:hAnsiTheme="minorEastAsia" w:eastAsiaTheme="minorEastAsia"/>
                <w:b/>
                <w:bCs/>
                <w:color w:val="000000"/>
              </w:rPr>
              <w:t>9.54</w:t>
            </w:r>
          </w:p>
        </w:tc>
        <w:tc>
          <w:tcPr>
            <w:tcW w:w="647" w:type="pct"/>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9</w:t>
            </w:r>
            <w:r>
              <w:rPr>
                <w:rFonts w:cs="宋体" w:asciiTheme="minorEastAsia" w:hAnsiTheme="minorEastAsia" w:eastAsiaTheme="minorEastAsia"/>
                <w:b/>
                <w:bCs/>
                <w:color w:val="000000"/>
              </w:rPr>
              <w:t>7.70</w:t>
            </w:r>
            <w:r>
              <w:rPr>
                <w:rFonts w:hint="eastAsia" w:cs="宋体" w:asciiTheme="minorEastAsia" w:hAnsiTheme="minorEastAsia" w:eastAsiaTheme="minorEastAsia"/>
                <w:b/>
                <w:bCs/>
                <w:color w:val="000000"/>
              </w:rPr>
              <w:t>%</w:t>
            </w:r>
          </w:p>
        </w:tc>
      </w:tr>
    </w:tbl>
    <w:p>
      <w:pPr>
        <w:spacing w:line="560" w:lineRule="exact"/>
        <w:ind w:firstLine="640" w:firstLineChars="200"/>
        <w:rPr>
          <w:rFonts w:ascii="仿宋_GB2312" w:eastAsia="仿宋_GB2312" w:cs="仿宋_GB2312"/>
          <w:bCs/>
          <w:sz w:val="32"/>
          <w:szCs w:val="32"/>
        </w:rPr>
      </w:pPr>
      <w:bookmarkStart w:id="21" w:name="_Toc143870189"/>
      <w:r>
        <w:rPr>
          <w:rFonts w:hint="eastAsia" w:ascii="仿宋_GB2312" w:eastAsia="仿宋_GB2312" w:cs="仿宋_GB2312"/>
          <w:bCs/>
          <w:sz w:val="32"/>
          <w:szCs w:val="32"/>
        </w:rPr>
        <w:t>（1）产出数量</w:t>
      </w:r>
      <w:bookmarkEnd w:id="21"/>
      <w:r>
        <w:rPr>
          <w:rFonts w:hint="eastAsia" w:ascii="仿宋_GB2312" w:eastAsia="仿宋_GB2312" w:cs="仿宋_GB2312"/>
          <w:bCs/>
          <w:sz w:val="32"/>
          <w:szCs w:val="32"/>
        </w:rPr>
        <w:t>（满分</w:t>
      </w:r>
      <w:r>
        <w:rPr>
          <w:rFonts w:ascii="仿宋_GB2312" w:eastAsia="仿宋_GB2312" w:cs="仿宋_GB2312"/>
          <w:bCs/>
          <w:sz w:val="32"/>
          <w:szCs w:val="32"/>
        </w:rPr>
        <w:t>4</w:t>
      </w:r>
      <w:r>
        <w:rPr>
          <w:rFonts w:hint="eastAsia" w:ascii="仿宋_GB2312" w:eastAsia="仿宋_GB2312" w:cs="仿宋_GB2312"/>
          <w:bCs/>
          <w:sz w:val="32"/>
          <w:szCs w:val="32"/>
        </w:rPr>
        <w:t>分，得分</w:t>
      </w:r>
      <w:r>
        <w:rPr>
          <w:rFonts w:ascii="仿宋_GB2312" w:eastAsia="仿宋_GB2312" w:cs="仿宋_GB2312"/>
          <w:bCs/>
          <w:sz w:val="32"/>
          <w:szCs w:val="32"/>
        </w:rPr>
        <w:t>3.54</w:t>
      </w:r>
      <w:r>
        <w:rPr>
          <w:rFonts w:hint="eastAsia" w:ascii="仿宋_GB2312" w:eastAsia="仿宋_GB2312" w:cs="仿宋_GB2312"/>
          <w:bCs/>
          <w:sz w:val="32"/>
          <w:szCs w:val="32"/>
        </w:rPr>
        <w:t>分）</w:t>
      </w:r>
    </w:p>
    <w:p>
      <w:pPr>
        <w:spacing w:line="560" w:lineRule="exact"/>
        <w:ind w:firstLine="640" w:firstLineChars="200"/>
        <w:rPr>
          <w:rFonts w:ascii="仿宋_GB2312" w:eastAsia="仿宋_GB2312" w:cs="仿宋_GB2312"/>
          <w:bCs/>
          <w:sz w:val="32"/>
          <w:szCs w:val="32"/>
        </w:rPr>
      </w:pPr>
      <w:r>
        <w:rPr>
          <w:rFonts w:ascii="仿宋_GB2312" w:eastAsia="仿宋_GB2312" w:cs="仿宋_GB2312"/>
          <w:bCs/>
          <w:sz w:val="32"/>
          <w:szCs w:val="32"/>
        </w:rPr>
        <w:t>本项目产出数量主要从</w:t>
      </w:r>
      <w:r>
        <w:rPr>
          <w:rFonts w:hint="eastAsia" w:ascii="仿宋_GB2312" w:eastAsia="仿宋_GB2312" w:cs="仿宋_GB2312"/>
          <w:bCs/>
          <w:sz w:val="32"/>
          <w:szCs w:val="32"/>
        </w:rPr>
        <w:t>“</w:t>
      </w:r>
      <w:r>
        <w:rPr>
          <w:rFonts w:ascii="仿宋_GB2312" w:eastAsia="仿宋_GB2312" w:cs="仿宋_GB2312"/>
          <w:bCs/>
          <w:sz w:val="32"/>
          <w:szCs w:val="32"/>
        </w:rPr>
        <w:t>激励工作任务（名额）实际完成率</w:t>
      </w:r>
      <w:r>
        <w:rPr>
          <w:rFonts w:hint="eastAsia" w:ascii="仿宋_GB2312" w:eastAsia="仿宋_GB2312" w:cs="仿宋_GB2312"/>
          <w:bCs/>
          <w:sz w:val="32"/>
          <w:szCs w:val="32"/>
        </w:rPr>
        <w:t>”</w:t>
      </w:r>
      <w:r>
        <w:rPr>
          <w:rFonts w:ascii="仿宋_GB2312" w:eastAsia="仿宋_GB2312" w:cs="仿宋_GB2312"/>
          <w:bCs/>
          <w:sz w:val="32"/>
          <w:szCs w:val="32"/>
        </w:rPr>
        <w:t>指标来考核项目产出数量目标的实现程度。从项目实际完成情况来看，家庭</w:t>
      </w:r>
      <w:r>
        <w:rPr>
          <w:rFonts w:hint="eastAsia" w:ascii="仿宋_GB2312" w:eastAsia="仿宋_GB2312" w:cs="仿宋_GB2312"/>
          <w:bCs/>
          <w:sz w:val="32"/>
          <w:szCs w:val="32"/>
        </w:rPr>
        <w:t>、</w:t>
      </w:r>
      <w:r>
        <w:rPr>
          <w:rFonts w:ascii="仿宋_GB2312" w:eastAsia="仿宋_GB2312" w:cs="仿宋_GB2312"/>
          <w:bCs/>
          <w:sz w:val="32"/>
          <w:szCs w:val="32"/>
        </w:rPr>
        <w:t>个人</w:t>
      </w:r>
      <w:r>
        <w:rPr>
          <w:rFonts w:hint="eastAsia" w:ascii="仿宋_GB2312" w:eastAsia="仿宋_GB2312" w:cs="仿宋_GB2312"/>
          <w:bCs/>
          <w:sz w:val="32"/>
          <w:szCs w:val="32"/>
        </w:rPr>
        <w:t>、</w:t>
      </w:r>
      <w:r>
        <w:rPr>
          <w:rFonts w:ascii="仿宋_GB2312" w:eastAsia="仿宋_GB2312" w:cs="仿宋_GB2312"/>
          <w:bCs/>
          <w:sz w:val="32"/>
          <w:szCs w:val="32"/>
        </w:rPr>
        <w:t>住宅区和单位的激励工作任务（名额）实际完成率未达到预期目标。</w:t>
      </w:r>
      <w:r>
        <w:rPr>
          <w:rFonts w:hint="eastAsia" w:ascii="仿宋_GB2312" w:eastAsia="仿宋_GB2312" w:cs="仿宋_GB2312"/>
          <w:bCs/>
          <w:sz w:val="32"/>
          <w:szCs w:val="32"/>
        </w:rPr>
        <w:t>综合评价扣0</w:t>
      </w:r>
      <w:r>
        <w:rPr>
          <w:rFonts w:ascii="仿宋_GB2312" w:eastAsia="仿宋_GB2312" w:cs="仿宋_GB2312"/>
          <w:bCs/>
          <w:sz w:val="32"/>
          <w:szCs w:val="32"/>
        </w:rPr>
        <w:t>.46</w:t>
      </w:r>
      <w:r>
        <w:rPr>
          <w:rFonts w:hint="eastAsia" w:ascii="仿宋_GB2312" w:eastAsia="仿宋_GB2312" w:cs="仿宋_GB2312"/>
          <w:bCs/>
          <w:sz w:val="32"/>
          <w:szCs w:val="32"/>
        </w:rPr>
        <w:t>分，得分3</w:t>
      </w:r>
      <w:r>
        <w:rPr>
          <w:rFonts w:ascii="仿宋_GB2312" w:eastAsia="仿宋_GB2312" w:cs="仿宋_GB2312"/>
          <w:bCs/>
          <w:sz w:val="32"/>
          <w:szCs w:val="32"/>
        </w:rPr>
        <w:t>.54</w:t>
      </w:r>
      <w:r>
        <w:rPr>
          <w:rFonts w:hint="eastAsia" w:ascii="仿宋_GB2312" w:eastAsia="仿宋_GB2312" w:cs="仿宋_GB2312"/>
          <w:bCs/>
          <w:sz w:val="32"/>
          <w:szCs w:val="32"/>
        </w:rPr>
        <w:t>分。</w:t>
      </w:r>
    </w:p>
    <w:p>
      <w:pPr>
        <w:spacing w:line="600" w:lineRule="exact"/>
        <w:ind w:firstLine="562" w:firstLineChars="200"/>
        <w:jc w:val="center"/>
        <w:rPr>
          <w:rFonts w:ascii="黑体" w:hAnsi="黑体" w:eastAsia="黑体" w:cs="仿宋_GB2312"/>
          <w:b/>
          <w:bCs/>
          <w:sz w:val="28"/>
          <w:szCs w:val="28"/>
        </w:rPr>
      </w:pPr>
      <w:r>
        <w:rPr>
          <w:rFonts w:ascii="黑体" w:hAnsi="黑体" w:eastAsia="黑体" w:cs="仿宋_GB2312"/>
          <w:b/>
          <w:bCs/>
          <w:sz w:val="28"/>
          <w:szCs w:val="28"/>
        </w:rPr>
        <w:t>表</w:t>
      </w:r>
      <w:r>
        <w:rPr>
          <w:rFonts w:hint="eastAsia" w:ascii="黑体" w:hAnsi="黑体" w:eastAsia="黑体" w:cs="仿宋_GB2312"/>
          <w:b/>
          <w:bCs/>
          <w:sz w:val="28"/>
          <w:szCs w:val="28"/>
        </w:rPr>
        <w:t>3</w:t>
      </w:r>
      <w:r>
        <w:rPr>
          <w:rFonts w:ascii="黑体" w:hAnsi="黑体" w:eastAsia="黑体" w:cs="仿宋_GB2312"/>
          <w:b/>
          <w:bCs/>
          <w:sz w:val="28"/>
          <w:szCs w:val="28"/>
        </w:rPr>
        <w:t>-6 龙华区2022年生活垃圾分类激励工作任务达标情况</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372"/>
        <w:gridCol w:w="1607"/>
        <w:gridCol w:w="1495"/>
        <w:gridCol w:w="1498"/>
        <w:gridCol w:w="1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32" w:type="pct"/>
            <w:noWrap/>
            <w:vAlign w:val="center"/>
          </w:tcPr>
          <w:p>
            <w:pPr>
              <w:widowControl/>
              <w:spacing w:line="280" w:lineRule="exact"/>
              <w:jc w:val="center"/>
              <w:rPr>
                <w:rFonts w:ascii="宋体" w:hAnsi="宋体"/>
                <w:b/>
                <w:bCs/>
              </w:rPr>
            </w:pPr>
            <w:r>
              <w:rPr>
                <w:rFonts w:ascii="宋体" w:hAnsi="宋体"/>
                <w:b/>
                <w:bCs/>
              </w:rPr>
              <w:t>序号</w:t>
            </w:r>
          </w:p>
        </w:tc>
        <w:tc>
          <w:tcPr>
            <w:tcW w:w="805" w:type="pct"/>
            <w:noWrap/>
            <w:vAlign w:val="center"/>
          </w:tcPr>
          <w:p>
            <w:pPr>
              <w:widowControl/>
              <w:spacing w:line="280" w:lineRule="exact"/>
              <w:jc w:val="center"/>
              <w:rPr>
                <w:rFonts w:ascii="宋体" w:hAnsi="宋体"/>
                <w:b/>
                <w:bCs/>
              </w:rPr>
            </w:pPr>
            <w:r>
              <w:rPr>
                <w:rFonts w:ascii="宋体" w:hAnsi="宋体"/>
                <w:b/>
                <w:bCs/>
              </w:rPr>
              <w:t>类型</w:t>
            </w:r>
          </w:p>
        </w:tc>
        <w:tc>
          <w:tcPr>
            <w:tcW w:w="943" w:type="pct"/>
            <w:noWrap/>
            <w:vAlign w:val="center"/>
          </w:tcPr>
          <w:p>
            <w:pPr>
              <w:widowControl/>
              <w:spacing w:line="280" w:lineRule="exact"/>
              <w:jc w:val="center"/>
              <w:rPr>
                <w:rFonts w:ascii="宋体" w:hAnsi="宋体"/>
                <w:b/>
                <w:bCs/>
              </w:rPr>
            </w:pPr>
            <w:r>
              <w:rPr>
                <w:rFonts w:ascii="宋体" w:hAnsi="宋体"/>
                <w:b/>
                <w:bCs/>
              </w:rPr>
              <w:t>预期指标值</w:t>
            </w:r>
          </w:p>
        </w:tc>
        <w:tc>
          <w:tcPr>
            <w:tcW w:w="877" w:type="pct"/>
            <w:noWrap/>
            <w:vAlign w:val="center"/>
          </w:tcPr>
          <w:p>
            <w:pPr>
              <w:widowControl/>
              <w:spacing w:line="280" w:lineRule="exact"/>
              <w:jc w:val="center"/>
              <w:rPr>
                <w:rFonts w:ascii="宋体" w:hAnsi="宋体"/>
                <w:b/>
                <w:bCs/>
              </w:rPr>
            </w:pPr>
            <w:r>
              <w:rPr>
                <w:rFonts w:ascii="宋体" w:hAnsi="宋体"/>
                <w:b/>
                <w:bCs/>
              </w:rPr>
              <w:t>实际完成值</w:t>
            </w:r>
          </w:p>
        </w:tc>
        <w:tc>
          <w:tcPr>
            <w:tcW w:w="879" w:type="pct"/>
            <w:noWrap/>
            <w:vAlign w:val="center"/>
          </w:tcPr>
          <w:p>
            <w:pPr>
              <w:widowControl/>
              <w:spacing w:line="280" w:lineRule="exact"/>
              <w:jc w:val="center"/>
              <w:rPr>
                <w:rFonts w:ascii="宋体" w:hAnsi="宋体"/>
                <w:b/>
                <w:bCs/>
              </w:rPr>
            </w:pPr>
            <w:r>
              <w:rPr>
                <w:rFonts w:ascii="宋体" w:hAnsi="宋体"/>
                <w:b/>
                <w:bCs/>
              </w:rPr>
              <w:t>实际完成率</w:t>
            </w:r>
          </w:p>
        </w:tc>
        <w:tc>
          <w:tcPr>
            <w:tcW w:w="965" w:type="pct"/>
            <w:noWrap/>
            <w:vAlign w:val="center"/>
          </w:tcPr>
          <w:p>
            <w:pPr>
              <w:widowControl/>
              <w:spacing w:line="280" w:lineRule="exact"/>
              <w:jc w:val="center"/>
              <w:rPr>
                <w:rFonts w:ascii="宋体" w:hAnsi="宋体"/>
                <w:b/>
                <w:bCs/>
              </w:rPr>
            </w:pPr>
            <w:r>
              <w:rPr>
                <w:rFonts w:ascii="宋体" w:hAnsi="宋体"/>
                <w:b/>
                <w:bCs/>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noWrap/>
            <w:vAlign w:val="center"/>
          </w:tcPr>
          <w:p>
            <w:pPr>
              <w:spacing w:line="280" w:lineRule="exact"/>
              <w:jc w:val="center"/>
              <w:rPr>
                <w:rFonts w:ascii="宋体" w:hAnsi="宋体"/>
              </w:rPr>
            </w:pPr>
            <w:r>
              <w:rPr>
                <w:rFonts w:ascii="宋体" w:hAnsi="宋体"/>
              </w:rPr>
              <w:t>1</w:t>
            </w:r>
          </w:p>
        </w:tc>
        <w:tc>
          <w:tcPr>
            <w:tcW w:w="805" w:type="pct"/>
            <w:noWrap/>
            <w:vAlign w:val="center"/>
          </w:tcPr>
          <w:p>
            <w:pPr>
              <w:spacing w:line="280" w:lineRule="exact"/>
              <w:jc w:val="center"/>
              <w:rPr>
                <w:rFonts w:ascii="宋体" w:hAnsi="宋体"/>
              </w:rPr>
            </w:pPr>
            <w:r>
              <w:rPr>
                <w:rFonts w:hint="eastAsia" w:ascii="宋体" w:hAnsi="宋体"/>
              </w:rPr>
              <w:t>家庭</w:t>
            </w:r>
          </w:p>
        </w:tc>
        <w:tc>
          <w:tcPr>
            <w:tcW w:w="943" w:type="pct"/>
            <w:noWrap/>
            <w:vAlign w:val="center"/>
          </w:tcPr>
          <w:p>
            <w:pPr>
              <w:widowControl/>
              <w:jc w:val="center"/>
              <w:rPr>
                <w:rFonts w:ascii="宋体" w:hAnsi="宋体" w:cs="宋体"/>
                <w:color w:val="000000"/>
              </w:rPr>
            </w:pPr>
            <w:r>
              <w:rPr>
                <w:rFonts w:ascii="宋体" w:hAnsi="宋体" w:cs="宋体"/>
                <w:color w:val="000000"/>
              </w:rPr>
              <w:t>645</w:t>
            </w:r>
          </w:p>
        </w:tc>
        <w:tc>
          <w:tcPr>
            <w:tcW w:w="877" w:type="pct"/>
            <w:noWrap/>
            <w:vAlign w:val="center"/>
          </w:tcPr>
          <w:p>
            <w:pPr>
              <w:widowControl/>
              <w:jc w:val="center"/>
              <w:rPr>
                <w:rFonts w:ascii="宋体" w:hAnsi="宋体" w:cs="宋体"/>
                <w:color w:val="000000"/>
              </w:rPr>
            </w:pPr>
            <w:r>
              <w:rPr>
                <w:rFonts w:ascii="宋体" w:hAnsi="宋体" w:cs="宋体"/>
                <w:color w:val="000000"/>
              </w:rPr>
              <w:t>575</w:t>
            </w:r>
          </w:p>
        </w:tc>
        <w:tc>
          <w:tcPr>
            <w:tcW w:w="879" w:type="pct"/>
            <w:shd w:val="clear" w:color="auto" w:fill="auto"/>
            <w:noWrap/>
            <w:vAlign w:val="center"/>
          </w:tcPr>
          <w:p>
            <w:pPr>
              <w:widowControl/>
              <w:jc w:val="center"/>
              <w:textAlignment w:val="center"/>
              <w:rPr>
                <w:rFonts w:ascii="宋体" w:hAnsi="宋体" w:cs="宋体"/>
                <w:color w:val="000000"/>
              </w:rPr>
            </w:pPr>
            <w:r>
              <w:rPr>
                <w:rFonts w:ascii="宋体" w:hAnsi="宋体" w:cs="宋体"/>
                <w:color w:val="000000"/>
              </w:rPr>
              <w:t>89.15%</w:t>
            </w:r>
          </w:p>
        </w:tc>
        <w:tc>
          <w:tcPr>
            <w:tcW w:w="965" w:type="pct"/>
            <w:noWrap/>
            <w:vAlign w:val="center"/>
          </w:tcPr>
          <w:p>
            <w:pPr>
              <w:widowControl/>
              <w:spacing w:line="280" w:lineRule="exact"/>
              <w:jc w:val="center"/>
              <w:textAlignment w:val="center"/>
              <w:rPr>
                <w:rFonts w:ascii="宋体" w:hAnsi="宋体"/>
              </w:rPr>
            </w:pPr>
            <w:r>
              <w:rPr>
                <w:rFonts w:ascii="宋体" w:hAnsi="宋体"/>
                <w:color w:val="000000"/>
                <w:lang w:bidi="ar"/>
              </w:rPr>
              <w:t>未达标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noWrap/>
            <w:vAlign w:val="center"/>
          </w:tcPr>
          <w:p>
            <w:pPr>
              <w:spacing w:line="280" w:lineRule="exact"/>
              <w:jc w:val="center"/>
              <w:rPr>
                <w:rFonts w:ascii="宋体" w:hAnsi="宋体"/>
              </w:rPr>
            </w:pPr>
            <w:r>
              <w:rPr>
                <w:rFonts w:ascii="宋体" w:hAnsi="宋体"/>
              </w:rPr>
              <w:t>2</w:t>
            </w:r>
          </w:p>
        </w:tc>
        <w:tc>
          <w:tcPr>
            <w:tcW w:w="805" w:type="pct"/>
            <w:noWrap/>
            <w:vAlign w:val="center"/>
          </w:tcPr>
          <w:p>
            <w:pPr>
              <w:spacing w:line="280" w:lineRule="exact"/>
              <w:jc w:val="center"/>
              <w:rPr>
                <w:rFonts w:ascii="宋体" w:hAnsi="宋体"/>
              </w:rPr>
            </w:pPr>
            <w:r>
              <w:rPr>
                <w:rFonts w:hint="eastAsia" w:ascii="宋体" w:hAnsi="宋体"/>
              </w:rPr>
              <w:t>个人</w:t>
            </w:r>
          </w:p>
        </w:tc>
        <w:tc>
          <w:tcPr>
            <w:tcW w:w="943" w:type="pct"/>
            <w:noWrap/>
            <w:vAlign w:val="center"/>
          </w:tcPr>
          <w:p>
            <w:pPr>
              <w:widowControl/>
              <w:jc w:val="center"/>
              <w:rPr>
                <w:rFonts w:ascii="宋体" w:hAnsi="宋体" w:cs="宋体"/>
                <w:color w:val="000000"/>
              </w:rPr>
            </w:pPr>
            <w:r>
              <w:rPr>
                <w:rFonts w:ascii="宋体" w:hAnsi="宋体" w:cs="宋体"/>
                <w:color w:val="000000"/>
              </w:rPr>
              <w:t>130</w:t>
            </w:r>
          </w:p>
        </w:tc>
        <w:tc>
          <w:tcPr>
            <w:tcW w:w="877" w:type="pct"/>
            <w:noWrap/>
            <w:vAlign w:val="center"/>
          </w:tcPr>
          <w:p>
            <w:pPr>
              <w:widowControl/>
              <w:jc w:val="center"/>
              <w:rPr>
                <w:rFonts w:ascii="宋体" w:hAnsi="宋体" w:cs="宋体"/>
                <w:color w:val="000000"/>
              </w:rPr>
            </w:pPr>
            <w:r>
              <w:rPr>
                <w:rFonts w:ascii="宋体" w:hAnsi="宋体" w:cs="宋体"/>
                <w:color w:val="000000"/>
              </w:rPr>
              <w:t>119</w:t>
            </w:r>
          </w:p>
        </w:tc>
        <w:tc>
          <w:tcPr>
            <w:tcW w:w="879" w:type="pct"/>
            <w:shd w:val="clear" w:color="auto" w:fill="auto"/>
            <w:noWrap/>
            <w:vAlign w:val="center"/>
          </w:tcPr>
          <w:p>
            <w:pPr>
              <w:widowControl/>
              <w:jc w:val="center"/>
              <w:textAlignment w:val="center"/>
              <w:rPr>
                <w:rFonts w:ascii="宋体" w:hAnsi="宋体" w:cs="宋体"/>
                <w:color w:val="000000"/>
              </w:rPr>
            </w:pPr>
            <w:r>
              <w:rPr>
                <w:rFonts w:ascii="宋体" w:hAnsi="宋体" w:cs="宋体"/>
                <w:color w:val="000000"/>
              </w:rPr>
              <w:t>91.54%</w:t>
            </w:r>
          </w:p>
        </w:tc>
        <w:tc>
          <w:tcPr>
            <w:tcW w:w="965" w:type="pct"/>
            <w:noWrap/>
            <w:vAlign w:val="center"/>
          </w:tcPr>
          <w:p>
            <w:pPr>
              <w:widowControl/>
              <w:spacing w:line="280" w:lineRule="exact"/>
              <w:jc w:val="center"/>
              <w:textAlignment w:val="center"/>
              <w:rPr>
                <w:rFonts w:ascii="宋体" w:hAnsi="宋体"/>
              </w:rPr>
            </w:pPr>
            <w:r>
              <w:rPr>
                <w:rFonts w:ascii="宋体" w:hAnsi="宋体"/>
                <w:color w:val="000000"/>
                <w:lang w:bidi="ar"/>
              </w:rPr>
              <w:t>未达标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noWrap/>
            <w:vAlign w:val="center"/>
          </w:tcPr>
          <w:p>
            <w:pPr>
              <w:spacing w:line="280" w:lineRule="exact"/>
              <w:jc w:val="center"/>
              <w:rPr>
                <w:rFonts w:ascii="宋体" w:hAnsi="宋体"/>
              </w:rPr>
            </w:pPr>
            <w:r>
              <w:rPr>
                <w:rFonts w:ascii="宋体" w:hAnsi="宋体"/>
              </w:rPr>
              <w:t>3</w:t>
            </w:r>
          </w:p>
        </w:tc>
        <w:tc>
          <w:tcPr>
            <w:tcW w:w="805" w:type="pct"/>
            <w:noWrap/>
            <w:vAlign w:val="center"/>
          </w:tcPr>
          <w:p>
            <w:pPr>
              <w:spacing w:line="280" w:lineRule="exact"/>
              <w:jc w:val="center"/>
              <w:rPr>
                <w:rFonts w:ascii="宋体" w:hAnsi="宋体"/>
              </w:rPr>
            </w:pPr>
            <w:r>
              <w:rPr>
                <w:rFonts w:hint="eastAsia" w:ascii="宋体" w:hAnsi="宋体"/>
              </w:rPr>
              <w:t>住宅区</w:t>
            </w:r>
          </w:p>
        </w:tc>
        <w:tc>
          <w:tcPr>
            <w:tcW w:w="943" w:type="pct"/>
            <w:noWrap/>
            <w:vAlign w:val="center"/>
          </w:tcPr>
          <w:p>
            <w:pPr>
              <w:widowControl/>
              <w:jc w:val="center"/>
              <w:rPr>
                <w:rFonts w:ascii="宋体" w:hAnsi="宋体" w:cs="宋体"/>
                <w:color w:val="000000"/>
              </w:rPr>
            </w:pPr>
            <w:r>
              <w:rPr>
                <w:rFonts w:ascii="宋体" w:hAnsi="宋体" w:cs="宋体"/>
                <w:color w:val="000000"/>
              </w:rPr>
              <w:t>40</w:t>
            </w:r>
          </w:p>
        </w:tc>
        <w:tc>
          <w:tcPr>
            <w:tcW w:w="877" w:type="pct"/>
            <w:noWrap/>
            <w:vAlign w:val="center"/>
          </w:tcPr>
          <w:p>
            <w:pPr>
              <w:widowControl/>
              <w:jc w:val="center"/>
              <w:rPr>
                <w:rFonts w:ascii="宋体" w:hAnsi="宋体" w:cs="宋体"/>
                <w:color w:val="000000"/>
              </w:rPr>
            </w:pPr>
            <w:r>
              <w:rPr>
                <w:rFonts w:ascii="宋体" w:hAnsi="宋体" w:cs="宋体"/>
                <w:color w:val="000000"/>
              </w:rPr>
              <w:t>33</w:t>
            </w:r>
          </w:p>
        </w:tc>
        <w:tc>
          <w:tcPr>
            <w:tcW w:w="879" w:type="pct"/>
            <w:shd w:val="clear" w:color="auto" w:fill="auto"/>
            <w:noWrap/>
            <w:vAlign w:val="center"/>
          </w:tcPr>
          <w:p>
            <w:pPr>
              <w:widowControl/>
              <w:jc w:val="center"/>
              <w:textAlignment w:val="center"/>
              <w:rPr>
                <w:rFonts w:ascii="宋体" w:hAnsi="宋体" w:cs="宋体"/>
                <w:color w:val="000000"/>
              </w:rPr>
            </w:pPr>
            <w:r>
              <w:rPr>
                <w:rFonts w:ascii="宋体" w:hAnsi="宋体" w:cs="宋体"/>
                <w:color w:val="000000"/>
              </w:rPr>
              <w:t>82.50%</w:t>
            </w:r>
          </w:p>
        </w:tc>
        <w:tc>
          <w:tcPr>
            <w:tcW w:w="965" w:type="pct"/>
            <w:noWrap/>
            <w:vAlign w:val="center"/>
          </w:tcPr>
          <w:p>
            <w:pPr>
              <w:widowControl/>
              <w:spacing w:line="280" w:lineRule="exact"/>
              <w:jc w:val="center"/>
              <w:textAlignment w:val="center"/>
              <w:rPr>
                <w:rFonts w:ascii="宋体" w:hAnsi="宋体"/>
              </w:rPr>
            </w:pPr>
            <w:r>
              <w:rPr>
                <w:rFonts w:ascii="宋体" w:hAnsi="宋体"/>
                <w:color w:val="000000"/>
                <w:lang w:bidi="ar"/>
              </w:rPr>
              <w:t>未达标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32" w:type="pct"/>
            <w:noWrap/>
            <w:vAlign w:val="center"/>
          </w:tcPr>
          <w:p>
            <w:pPr>
              <w:spacing w:line="280" w:lineRule="exact"/>
              <w:jc w:val="center"/>
              <w:rPr>
                <w:rFonts w:ascii="宋体" w:hAnsi="宋体"/>
              </w:rPr>
            </w:pPr>
            <w:r>
              <w:rPr>
                <w:rFonts w:ascii="宋体" w:hAnsi="宋体"/>
              </w:rPr>
              <w:t>4</w:t>
            </w:r>
          </w:p>
        </w:tc>
        <w:tc>
          <w:tcPr>
            <w:tcW w:w="805" w:type="pct"/>
            <w:noWrap/>
            <w:vAlign w:val="center"/>
          </w:tcPr>
          <w:p>
            <w:pPr>
              <w:spacing w:line="280" w:lineRule="exact"/>
              <w:jc w:val="center"/>
              <w:rPr>
                <w:rFonts w:ascii="宋体" w:hAnsi="宋体"/>
              </w:rPr>
            </w:pPr>
            <w:r>
              <w:rPr>
                <w:rFonts w:hint="eastAsia" w:ascii="宋体" w:hAnsi="宋体"/>
              </w:rPr>
              <w:t>单位</w:t>
            </w:r>
          </w:p>
        </w:tc>
        <w:tc>
          <w:tcPr>
            <w:tcW w:w="943" w:type="pct"/>
            <w:noWrap/>
            <w:vAlign w:val="center"/>
          </w:tcPr>
          <w:p>
            <w:pPr>
              <w:widowControl/>
              <w:jc w:val="center"/>
              <w:rPr>
                <w:rFonts w:ascii="宋体" w:hAnsi="宋体" w:cs="宋体"/>
                <w:color w:val="000000"/>
              </w:rPr>
            </w:pPr>
            <w:r>
              <w:rPr>
                <w:rFonts w:ascii="宋体" w:hAnsi="宋体" w:cs="宋体"/>
                <w:color w:val="000000"/>
              </w:rPr>
              <w:t>50</w:t>
            </w:r>
          </w:p>
        </w:tc>
        <w:tc>
          <w:tcPr>
            <w:tcW w:w="877" w:type="pct"/>
            <w:noWrap/>
            <w:vAlign w:val="center"/>
          </w:tcPr>
          <w:p>
            <w:pPr>
              <w:widowControl/>
              <w:jc w:val="center"/>
              <w:rPr>
                <w:rFonts w:ascii="宋体" w:hAnsi="宋体" w:cs="宋体"/>
                <w:color w:val="000000"/>
              </w:rPr>
            </w:pPr>
            <w:r>
              <w:rPr>
                <w:rFonts w:ascii="宋体" w:hAnsi="宋体" w:cs="宋体"/>
                <w:color w:val="000000"/>
              </w:rPr>
              <w:t>45</w:t>
            </w:r>
          </w:p>
        </w:tc>
        <w:tc>
          <w:tcPr>
            <w:tcW w:w="879" w:type="pct"/>
            <w:shd w:val="clear" w:color="auto" w:fill="auto"/>
            <w:noWrap/>
            <w:vAlign w:val="center"/>
          </w:tcPr>
          <w:p>
            <w:pPr>
              <w:widowControl/>
              <w:jc w:val="center"/>
              <w:textAlignment w:val="center"/>
              <w:rPr>
                <w:rFonts w:ascii="宋体" w:hAnsi="宋体" w:cs="宋体"/>
                <w:color w:val="000000"/>
              </w:rPr>
            </w:pPr>
            <w:r>
              <w:rPr>
                <w:rFonts w:ascii="宋体" w:hAnsi="宋体" w:cs="宋体"/>
                <w:color w:val="000000"/>
              </w:rPr>
              <w:t>90.00%</w:t>
            </w:r>
          </w:p>
        </w:tc>
        <w:tc>
          <w:tcPr>
            <w:tcW w:w="965" w:type="pct"/>
            <w:noWrap/>
            <w:vAlign w:val="center"/>
          </w:tcPr>
          <w:p>
            <w:pPr>
              <w:widowControl/>
              <w:spacing w:line="280" w:lineRule="exact"/>
              <w:jc w:val="center"/>
              <w:textAlignment w:val="center"/>
              <w:rPr>
                <w:rFonts w:ascii="宋体" w:hAnsi="宋体"/>
              </w:rPr>
            </w:pPr>
            <w:r>
              <w:rPr>
                <w:rFonts w:hint="eastAsia" w:ascii="宋体" w:hAnsi="宋体"/>
                <w:color w:val="000000"/>
                <w:lang w:bidi="ar"/>
              </w:rPr>
              <w:t>未</w:t>
            </w:r>
            <w:r>
              <w:rPr>
                <w:rFonts w:ascii="宋体" w:hAnsi="宋体"/>
                <w:color w:val="000000"/>
                <w:lang w:bidi="ar"/>
              </w:rPr>
              <w:t>达标</w:t>
            </w:r>
          </w:p>
        </w:tc>
      </w:tr>
    </w:tbl>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w:t>
      </w:r>
      <w:r>
        <w:rPr>
          <w:rFonts w:ascii="仿宋_GB2312" w:eastAsia="仿宋_GB2312" w:cs="仿宋_GB2312"/>
          <w:bCs/>
          <w:sz w:val="32"/>
          <w:szCs w:val="32"/>
        </w:rPr>
        <w:t>2</w:t>
      </w:r>
      <w:r>
        <w:rPr>
          <w:rFonts w:hint="eastAsia" w:ascii="仿宋_GB2312" w:eastAsia="仿宋_GB2312" w:cs="仿宋_GB2312"/>
          <w:bCs/>
          <w:sz w:val="32"/>
          <w:szCs w:val="32"/>
        </w:rPr>
        <w:t>）产出质量（满分6分，得分6分）</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区</w:t>
      </w:r>
      <w:r>
        <w:rPr>
          <w:rFonts w:ascii="仿宋_GB2312" w:eastAsia="仿宋_GB2312" w:cs="仿宋_GB2312"/>
          <w:bCs/>
          <w:sz w:val="32"/>
          <w:szCs w:val="32"/>
        </w:rPr>
        <w:t>城管</w:t>
      </w:r>
      <w:r>
        <w:rPr>
          <w:rFonts w:hint="eastAsia" w:ascii="仿宋_GB2312" w:eastAsia="仿宋_GB2312" w:cs="仿宋_GB2312"/>
          <w:bCs/>
          <w:sz w:val="32"/>
          <w:szCs w:val="32"/>
        </w:rPr>
        <w:t>和综合执法</w:t>
      </w:r>
      <w:r>
        <w:rPr>
          <w:rFonts w:ascii="仿宋_GB2312" w:eastAsia="仿宋_GB2312" w:cs="仿宋_GB2312"/>
          <w:bCs/>
          <w:sz w:val="32"/>
          <w:szCs w:val="32"/>
        </w:rPr>
        <w:t>局严格按照《深圳市生活垃圾分类工作激励方法》《龙华区生活垃圾分类工作激励方法实施细则（试行）》《龙华区生活垃圾分类和减量领导小组办公室关于印发&lt;龙华区生活垃圾分类工作激励办法实施细则（试行）&gt;评分标准的通知》等文件规定完成本项目申报和评选工作。</w:t>
      </w:r>
      <w:r>
        <w:rPr>
          <w:rFonts w:hint="eastAsia" w:ascii="仿宋_GB2312" w:eastAsia="仿宋_GB2312" w:cs="仿宋_GB2312"/>
          <w:bCs/>
          <w:sz w:val="32"/>
          <w:szCs w:val="32"/>
        </w:rPr>
        <w:t xml:space="preserve"> 激励对象符合政策要求，“</w:t>
      </w:r>
      <w:r>
        <w:rPr>
          <w:rFonts w:ascii="仿宋_GB2312" w:eastAsia="仿宋_GB2312" w:cs="仿宋_GB2312"/>
          <w:bCs/>
          <w:sz w:val="32"/>
          <w:szCs w:val="32"/>
        </w:rPr>
        <w:t>激励对象</w:t>
      </w:r>
      <w:r>
        <w:rPr>
          <w:rFonts w:hint="eastAsia" w:ascii="仿宋_GB2312" w:eastAsia="仿宋_GB2312" w:cs="仿宋_GB2312"/>
          <w:bCs/>
          <w:sz w:val="32"/>
          <w:szCs w:val="32"/>
        </w:rPr>
        <w:t>评选质量达标</w:t>
      </w:r>
      <w:r>
        <w:rPr>
          <w:rFonts w:ascii="仿宋_GB2312" w:eastAsia="仿宋_GB2312" w:cs="仿宋_GB2312"/>
          <w:bCs/>
          <w:sz w:val="32"/>
          <w:szCs w:val="32"/>
        </w:rPr>
        <w:t>率</w:t>
      </w:r>
      <w:r>
        <w:rPr>
          <w:rFonts w:hint="eastAsia" w:ascii="仿宋_GB2312" w:eastAsia="仿宋_GB2312" w:cs="仿宋_GB2312"/>
          <w:bCs/>
          <w:sz w:val="32"/>
          <w:szCs w:val="32"/>
        </w:rPr>
        <w:t>”</w:t>
      </w:r>
      <w:r>
        <w:rPr>
          <w:rFonts w:ascii="仿宋_GB2312" w:eastAsia="仿宋_GB2312" w:cs="仿宋_GB2312"/>
          <w:bCs/>
          <w:sz w:val="32"/>
          <w:szCs w:val="32"/>
        </w:rPr>
        <w:t>达到100%，产出质量达标</w:t>
      </w:r>
      <w:r>
        <w:rPr>
          <w:rFonts w:hint="eastAsia" w:ascii="仿宋_GB2312" w:eastAsia="仿宋_GB2312" w:cs="仿宋_GB2312"/>
          <w:bCs/>
          <w:sz w:val="32"/>
          <w:szCs w:val="32"/>
        </w:rPr>
        <w:t>，得分满分6分</w:t>
      </w:r>
      <w:r>
        <w:rPr>
          <w:rFonts w:ascii="仿宋_GB2312" w:eastAsia="仿宋_GB2312" w:cs="仿宋_GB2312"/>
          <w:bCs/>
          <w:sz w:val="32"/>
          <w:szCs w:val="32"/>
        </w:rPr>
        <w:t>。</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w:t>
      </w:r>
      <w:r>
        <w:rPr>
          <w:rFonts w:ascii="仿宋_GB2312" w:eastAsia="仿宋_GB2312" w:cs="仿宋_GB2312"/>
          <w:bCs/>
          <w:sz w:val="32"/>
          <w:szCs w:val="32"/>
        </w:rPr>
        <w:t>3</w:t>
      </w:r>
      <w:r>
        <w:rPr>
          <w:rFonts w:hint="eastAsia" w:ascii="仿宋_GB2312" w:eastAsia="仿宋_GB2312" w:cs="仿宋_GB2312"/>
          <w:bCs/>
          <w:sz w:val="32"/>
          <w:szCs w:val="32"/>
        </w:rPr>
        <w:t>）产出时效（满分</w:t>
      </w:r>
      <w:r>
        <w:rPr>
          <w:rFonts w:ascii="仿宋_GB2312" w:eastAsia="仿宋_GB2312" w:cs="仿宋_GB2312"/>
          <w:bCs/>
          <w:sz w:val="32"/>
          <w:szCs w:val="32"/>
        </w:rPr>
        <w:t>4</w:t>
      </w:r>
      <w:r>
        <w:rPr>
          <w:rFonts w:hint="eastAsia" w:ascii="仿宋_GB2312" w:eastAsia="仿宋_GB2312" w:cs="仿宋_GB2312"/>
          <w:bCs/>
          <w:sz w:val="32"/>
          <w:szCs w:val="32"/>
        </w:rPr>
        <w:t>分，得分</w:t>
      </w:r>
      <w:r>
        <w:rPr>
          <w:rFonts w:ascii="仿宋_GB2312" w:eastAsia="仿宋_GB2312" w:cs="仿宋_GB2312"/>
          <w:bCs/>
          <w:sz w:val="32"/>
          <w:szCs w:val="32"/>
        </w:rPr>
        <w:t>4</w:t>
      </w:r>
      <w:r>
        <w:rPr>
          <w:rFonts w:hint="eastAsia" w:ascii="仿宋_GB2312" w:eastAsia="仿宋_GB2312" w:cs="仿宋_GB2312"/>
          <w:bCs/>
          <w:sz w:val="32"/>
          <w:szCs w:val="32"/>
        </w:rPr>
        <w:t>分）</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区</w:t>
      </w:r>
      <w:r>
        <w:rPr>
          <w:rFonts w:ascii="仿宋_GB2312" w:eastAsia="仿宋_GB2312" w:cs="仿宋_GB2312"/>
          <w:bCs/>
          <w:sz w:val="32"/>
          <w:szCs w:val="32"/>
        </w:rPr>
        <w:t>城管</w:t>
      </w:r>
      <w:r>
        <w:rPr>
          <w:rFonts w:hint="eastAsia" w:ascii="仿宋_GB2312" w:eastAsia="仿宋_GB2312" w:cs="仿宋_GB2312"/>
          <w:bCs/>
          <w:sz w:val="32"/>
          <w:szCs w:val="32"/>
        </w:rPr>
        <w:t>和综合执法</w:t>
      </w:r>
      <w:r>
        <w:rPr>
          <w:rFonts w:ascii="仿宋_GB2312" w:eastAsia="仿宋_GB2312" w:cs="仿宋_GB2312"/>
          <w:bCs/>
          <w:sz w:val="32"/>
          <w:szCs w:val="32"/>
        </w:rPr>
        <w:t>局已按照规定要求，</w:t>
      </w:r>
      <w:r>
        <w:rPr>
          <w:rFonts w:hint="eastAsia" w:ascii="仿宋_GB2312" w:eastAsia="仿宋_GB2312" w:cs="仿宋_GB2312"/>
          <w:bCs/>
          <w:sz w:val="32"/>
          <w:szCs w:val="32"/>
        </w:rPr>
        <w:t>2022年10月2</w:t>
      </w:r>
      <w:r>
        <w:rPr>
          <w:rFonts w:ascii="仿宋_GB2312" w:eastAsia="仿宋_GB2312" w:cs="仿宋_GB2312"/>
          <w:bCs/>
          <w:sz w:val="32"/>
          <w:szCs w:val="32"/>
        </w:rPr>
        <w:t>5</w:t>
      </w:r>
      <w:r>
        <w:rPr>
          <w:rFonts w:hint="eastAsia" w:ascii="仿宋_GB2312" w:eastAsia="仿宋_GB2312" w:cs="仿宋_GB2312"/>
          <w:bCs/>
          <w:sz w:val="32"/>
          <w:szCs w:val="32"/>
        </w:rPr>
        <w:t>日印发了《龙华区城市管理和综合执法局关于2022年生活垃圾分类工作激励经费分配的通知》（深龙华城管通〔2022〕56号），启动第三个评选周期（2021年11月1日至2022年10月31日）的评选工作，</w:t>
      </w:r>
      <w:r>
        <w:rPr>
          <w:rFonts w:ascii="仿宋_GB2312" w:eastAsia="仿宋_GB2312" w:cs="仿宋_GB2312"/>
          <w:bCs/>
          <w:sz w:val="32"/>
          <w:szCs w:val="32"/>
        </w:rPr>
        <w:t>于12月13日将全区生活垃圾分类工作激励对象通过媒体和官网进行</w:t>
      </w:r>
      <w:r>
        <w:rPr>
          <w:rFonts w:hint="eastAsia" w:ascii="仿宋_GB2312" w:eastAsia="仿宋_GB2312" w:cs="仿宋_GB2312"/>
          <w:bCs/>
          <w:sz w:val="32"/>
          <w:szCs w:val="32"/>
        </w:rPr>
        <w:t>公告</w:t>
      </w:r>
      <w:r>
        <w:rPr>
          <w:rFonts w:ascii="仿宋_GB2312" w:eastAsia="仿宋_GB2312" w:cs="仿宋_GB2312"/>
          <w:bCs/>
          <w:sz w:val="32"/>
          <w:szCs w:val="32"/>
        </w:rPr>
        <w:t>，</w:t>
      </w:r>
      <w:r>
        <w:rPr>
          <w:rFonts w:hint="eastAsia" w:ascii="仿宋_GB2312" w:eastAsia="仿宋_GB2312" w:cs="仿宋_GB2312"/>
          <w:bCs/>
          <w:sz w:val="32"/>
          <w:szCs w:val="32"/>
        </w:rPr>
        <w:t>并</w:t>
      </w:r>
      <w:r>
        <w:rPr>
          <w:rFonts w:ascii="仿宋_GB2312" w:eastAsia="仿宋_GB2312" w:cs="仿宋_GB2312"/>
          <w:bCs/>
          <w:sz w:val="32"/>
          <w:szCs w:val="32"/>
        </w:rPr>
        <w:t>将评选结果</w:t>
      </w:r>
      <w:r>
        <w:rPr>
          <w:rFonts w:hint="eastAsia" w:ascii="仿宋_GB2312" w:eastAsia="仿宋_GB2312" w:cs="仿宋_GB2312"/>
          <w:bCs/>
          <w:sz w:val="32"/>
          <w:szCs w:val="32"/>
        </w:rPr>
        <w:t>及时</w:t>
      </w:r>
      <w:r>
        <w:rPr>
          <w:rFonts w:ascii="仿宋_GB2312" w:eastAsia="仿宋_GB2312" w:cs="仿宋_GB2312"/>
          <w:bCs/>
          <w:sz w:val="32"/>
          <w:szCs w:val="32"/>
        </w:rPr>
        <w:t>报送市生活垃圾分类管理事务中心。项目完成及时性良好。</w:t>
      </w:r>
      <w:r>
        <w:rPr>
          <w:rFonts w:hint="eastAsia" w:ascii="仿宋_GB2312" w:eastAsia="仿宋_GB2312" w:cs="仿宋_GB2312"/>
          <w:bCs/>
          <w:sz w:val="32"/>
          <w:szCs w:val="32"/>
        </w:rPr>
        <w:t>得分满分4分。</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w:t>
      </w:r>
      <w:r>
        <w:rPr>
          <w:rFonts w:ascii="仿宋_GB2312" w:eastAsia="仿宋_GB2312" w:cs="仿宋_GB2312"/>
          <w:bCs/>
          <w:sz w:val="32"/>
          <w:szCs w:val="32"/>
        </w:rPr>
        <w:t>4</w:t>
      </w:r>
      <w:r>
        <w:rPr>
          <w:rFonts w:hint="eastAsia" w:ascii="仿宋_GB2312" w:eastAsia="仿宋_GB2312" w:cs="仿宋_GB2312"/>
          <w:bCs/>
          <w:sz w:val="32"/>
          <w:szCs w:val="32"/>
        </w:rPr>
        <w:t>）产出成本（满分6分，得分6分）</w:t>
      </w:r>
    </w:p>
    <w:p>
      <w:pPr>
        <w:spacing w:line="560" w:lineRule="exact"/>
        <w:ind w:firstLine="640" w:firstLineChars="200"/>
        <w:rPr>
          <w:rFonts w:ascii="仿宋_GB2312" w:eastAsia="仿宋_GB2312" w:cs="仿宋_GB2312"/>
          <w:bCs/>
          <w:sz w:val="32"/>
          <w:szCs w:val="32"/>
        </w:rPr>
      </w:pPr>
      <w:r>
        <w:rPr>
          <w:rFonts w:ascii="仿宋_GB2312" w:eastAsia="仿宋_GB2312" w:cs="仿宋_GB2312"/>
          <w:bCs/>
          <w:sz w:val="32"/>
          <w:szCs w:val="32"/>
        </w:rPr>
        <w:t>本项目严格按照规定的评选标准和补助标准对分类成效显著的单位、住宅区、家庭和个人进行激励，补助标准合理，资金支出规范，成本控制符合规定。</w:t>
      </w:r>
      <w:r>
        <w:rPr>
          <w:rFonts w:hint="eastAsia" w:ascii="仿宋_GB2312" w:eastAsia="仿宋_GB2312" w:cs="仿宋_GB2312"/>
          <w:bCs/>
          <w:sz w:val="32"/>
          <w:szCs w:val="32"/>
        </w:rPr>
        <w:t>得分满分6分。</w:t>
      </w:r>
    </w:p>
    <w:p>
      <w:pPr>
        <w:spacing w:line="560" w:lineRule="exact"/>
        <w:ind w:firstLine="642" w:firstLineChars="200"/>
        <w:outlineLvl w:val="2"/>
        <w:rPr>
          <w:rFonts w:ascii="仿宋_GB2312" w:eastAsia="仿宋_GB2312" w:cs="仿宋_GB2312"/>
          <w:b/>
          <w:bCs/>
          <w:sz w:val="32"/>
          <w:szCs w:val="32"/>
        </w:rPr>
      </w:pPr>
      <w:bookmarkStart w:id="22" w:name="_Toc143870193"/>
      <w:r>
        <w:rPr>
          <w:rFonts w:hint="eastAsia" w:ascii="仿宋_GB2312" w:eastAsia="仿宋_GB2312" w:cs="仿宋_GB2312"/>
          <w:b/>
          <w:bCs/>
          <w:sz w:val="32"/>
          <w:szCs w:val="32"/>
        </w:rPr>
        <w:t>4</w:t>
      </w:r>
      <w:r>
        <w:rPr>
          <w:rFonts w:ascii="仿宋_GB2312" w:eastAsia="仿宋_GB2312" w:cs="仿宋_GB2312"/>
          <w:b/>
          <w:bCs/>
          <w:sz w:val="32"/>
          <w:szCs w:val="32"/>
        </w:rPr>
        <w:t>.</w:t>
      </w:r>
      <w:r>
        <w:rPr>
          <w:rFonts w:hint="eastAsia" w:ascii="仿宋_GB2312" w:eastAsia="仿宋_GB2312" w:cs="仿宋_GB2312"/>
          <w:b/>
          <w:bCs/>
          <w:sz w:val="32"/>
          <w:szCs w:val="32"/>
        </w:rPr>
        <w:t>项目效益情况</w:t>
      </w:r>
      <w:bookmarkEnd w:id="22"/>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一级指标“项目效益”满分为</w:t>
      </w:r>
      <w:r>
        <w:rPr>
          <w:rFonts w:ascii="仿宋_GB2312" w:eastAsia="仿宋_GB2312" w:cs="仿宋_GB2312"/>
          <w:bCs/>
          <w:sz w:val="32"/>
          <w:szCs w:val="32"/>
        </w:rPr>
        <w:t>40</w:t>
      </w:r>
      <w:r>
        <w:rPr>
          <w:rFonts w:hint="eastAsia" w:ascii="仿宋_GB2312" w:eastAsia="仿宋_GB2312" w:cs="仿宋_GB2312"/>
          <w:bCs/>
          <w:sz w:val="32"/>
          <w:szCs w:val="32"/>
        </w:rPr>
        <w:t>分，得分</w:t>
      </w:r>
      <w:r>
        <w:rPr>
          <w:rFonts w:ascii="仿宋_GB2312" w:eastAsia="仿宋_GB2312" w:cs="仿宋_GB2312"/>
          <w:bCs/>
          <w:sz w:val="32"/>
          <w:szCs w:val="32"/>
        </w:rPr>
        <w:t>35</w:t>
      </w:r>
      <w:r>
        <w:rPr>
          <w:rFonts w:hint="eastAsia" w:ascii="仿宋_GB2312" w:eastAsia="仿宋_GB2312" w:cs="仿宋_GB2312"/>
          <w:bCs/>
          <w:sz w:val="32"/>
          <w:szCs w:val="32"/>
        </w:rPr>
        <w:t>分，得分率为</w:t>
      </w:r>
      <w:r>
        <w:rPr>
          <w:rFonts w:ascii="仿宋_GB2312" w:eastAsia="仿宋_GB2312" w:cs="仿宋_GB2312"/>
          <w:bCs/>
          <w:sz w:val="32"/>
          <w:szCs w:val="32"/>
        </w:rPr>
        <w:t>87.5%</w:t>
      </w:r>
      <w:r>
        <w:rPr>
          <w:rFonts w:hint="eastAsia" w:ascii="仿宋_GB2312" w:eastAsia="仿宋_GB2312" w:cs="仿宋_GB2312"/>
          <w:bCs/>
          <w:sz w:val="32"/>
          <w:szCs w:val="32"/>
        </w:rPr>
        <w:t>。</w:t>
      </w:r>
    </w:p>
    <w:p>
      <w:pPr>
        <w:spacing w:line="600" w:lineRule="exact"/>
        <w:ind w:firstLine="562" w:firstLineChars="200"/>
        <w:jc w:val="center"/>
        <w:rPr>
          <w:rFonts w:ascii="黑体" w:hAnsi="黑体" w:eastAsia="黑体" w:cs="仿宋_GB2312"/>
          <w:b/>
          <w:bCs/>
          <w:sz w:val="28"/>
          <w:szCs w:val="28"/>
        </w:rPr>
      </w:pPr>
      <w:r>
        <w:rPr>
          <w:rFonts w:hint="eastAsia" w:ascii="黑体" w:hAnsi="黑体" w:eastAsia="黑体" w:cs="仿宋_GB2312"/>
          <w:b/>
          <w:bCs/>
          <w:sz w:val="28"/>
          <w:szCs w:val="28"/>
        </w:rPr>
        <w:t>表</w:t>
      </w:r>
      <w:r>
        <w:rPr>
          <w:rFonts w:ascii="黑体" w:hAnsi="黑体" w:eastAsia="黑体" w:cs="仿宋_GB2312"/>
          <w:b/>
          <w:bCs/>
          <w:sz w:val="28"/>
          <w:szCs w:val="28"/>
        </w:rPr>
        <w:t>3-7</w:t>
      </w:r>
      <w:r>
        <w:rPr>
          <w:rFonts w:hint="eastAsia" w:ascii="黑体" w:hAnsi="黑体" w:eastAsia="黑体" w:cs="仿宋_GB2312"/>
          <w:b/>
          <w:bCs/>
          <w:sz w:val="28"/>
          <w:szCs w:val="28"/>
        </w:rPr>
        <w:t>项目效益指标得分汇总表</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861"/>
        <w:gridCol w:w="1151"/>
        <w:gridCol w:w="716"/>
        <w:gridCol w:w="2170"/>
        <w:gridCol w:w="861"/>
        <w:gridCol w:w="948"/>
        <w:gridCol w:w="1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3"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一级指标</w:t>
            </w:r>
          </w:p>
        </w:tc>
        <w:tc>
          <w:tcPr>
            <w:tcW w:w="1095"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二级指标</w:t>
            </w:r>
          </w:p>
        </w:tc>
        <w:tc>
          <w:tcPr>
            <w:tcW w:w="1778" w:type="pct"/>
            <w:gridSpan w:val="2"/>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三级指标</w:t>
            </w:r>
          </w:p>
        </w:tc>
        <w:tc>
          <w:tcPr>
            <w:tcW w:w="556" w:type="pct"/>
            <w:vMerge w:val="restar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得分</w:t>
            </w:r>
          </w:p>
        </w:tc>
        <w:tc>
          <w:tcPr>
            <w:tcW w:w="647" w:type="pct"/>
            <w:vMerge w:val="restart"/>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67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420"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1273"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名称</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权重</w:t>
            </w:r>
          </w:p>
        </w:tc>
        <w:tc>
          <w:tcPr>
            <w:tcW w:w="556" w:type="pct"/>
            <w:vMerge w:val="continue"/>
            <w:vAlign w:val="center"/>
          </w:tcPr>
          <w:p>
            <w:pPr>
              <w:widowControl/>
              <w:jc w:val="center"/>
              <w:rPr>
                <w:rFonts w:cs="宋体" w:asciiTheme="minorEastAsia" w:hAnsiTheme="minorEastAsia" w:eastAsiaTheme="minorEastAsia"/>
                <w:b/>
                <w:bCs/>
                <w:color w:val="000000"/>
              </w:rPr>
            </w:pPr>
          </w:p>
        </w:tc>
        <w:tc>
          <w:tcPr>
            <w:tcW w:w="647" w:type="pct"/>
            <w:vMerge w:val="continue"/>
            <w:vAlign w:val="center"/>
          </w:tcPr>
          <w:p>
            <w:pPr>
              <w:widowControl/>
              <w:jc w:val="center"/>
              <w:rPr>
                <w:rFonts w:cs="宋体" w:asciiTheme="minorEastAsia" w:hAnsiTheme="minorEastAsia" w:eastAsiaTheme="minorEastAsia"/>
                <w:b/>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效益</w:t>
            </w:r>
          </w:p>
        </w:tc>
        <w:tc>
          <w:tcPr>
            <w:tcW w:w="50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40</w:t>
            </w: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社会效益</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12</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生活垃圾分类覆盖率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住宅区垃圾分类入户宣传率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激励政策知晓率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3</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r>
              <w:rPr>
                <w:rFonts w:cs="宋体" w:asciiTheme="minorEastAsia" w:hAnsiTheme="minorEastAsia" w:eastAsiaTheme="minor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生态效益</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14</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厨余垃圾分类率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生活垃圾回收利用率</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可持续影响</w:t>
            </w:r>
          </w:p>
        </w:tc>
        <w:tc>
          <w:tcPr>
            <w:tcW w:w="420"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落实垃圾分类要求持续性</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cs="宋体" w:asciiTheme="minorEastAsia" w:hAnsiTheme="minorEastAsia" w:eastAsiaTheme="minorEastAsia"/>
                <w:color w:val="000000"/>
              </w:rPr>
              <w:t>2</w:t>
            </w:r>
          </w:p>
        </w:tc>
        <w:tc>
          <w:tcPr>
            <w:tcW w:w="647" w:type="pct"/>
            <w:shd w:val="clear" w:color="auto" w:fill="auto"/>
            <w:vAlign w:val="center"/>
          </w:tcPr>
          <w:p>
            <w:pPr>
              <w:widowControl/>
              <w:jc w:val="center"/>
              <w:rPr>
                <w:rFonts w:cs="宋体" w:asciiTheme="minorEastAsia" w:hAnsiTheme="minorEastAsia" w:eastAsiaTheme="minorEastAsia"/>
                <w:color w:val="000000"/>
              </w:rPr>
            </w:pPr>
            <w:r>
              <w:rPr>
                <w:rFonts w:cs="宋体" w:asciiTheme="minorEastAsia" w:hAnsiTheme="minorEastAsia" w:eastAsiaTheme="minorEastAsia"/>
                <w:color w:val="00000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满意度</w:t>
            </w:r>
          </w:p>
        </w:tc>
        <w:tc>
          <w:tcPr>
            <w:tcW w:w="420" w:type="pct"/>
            <w:vMerge w:val="restar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w:t>
            </w: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公众对垃圾分类激励工作满意度</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w:t>
            </w:r>
            <w:r>
              <w:rPr>
                <w:rFonts w:cs="宋体" w:asciiTheme="minorEastAsia" w:hAnsiTheme="minorEastAsia" w:eastAsiaTheme="minor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vMerge w:val="continue"/>
            <w:vAlign w:val="center"/>
          </w:tcPr>
          <w:p>
            <w:pPr>
              <w:widowControl/>
              <w:jc w:val="center"/>
              <w:rPr>
                <w:rFonts w:cs="宋体" w:asciiTheme="minorEastAsia" w:hAnsiTheme="minorEastAsia" w:eastAsiaTheme="minorEastAsia"/>
                <w:color w:val="000000"/>
              </w:rPr>
            </w:pPr>
          </w:p>
        </w:tc>
        <w:tc>
          <w:tcPr>
            <w:tcW w:w="505" w:type="pct"/>
            <w:vMerge w:val="continue"/>
            <w:vAlign w:val="center"/>
          </w:tcPr>
          <w:p>
            <w:pPr>
              <w:widowControl/>
              <w:jc w:val="center"/>
              <w:rPr>
                <w:rFonts w:cs="宋体" w:asciiTheme="minorEastAsia" w:hAnsiTheme="minorEastAsia" w:eastAsiaTheme="minorEastAsia"/>
                <w:color w:val="000000"/>
              </w:rPr>
            </w:pPr>
          </w:p>
        </w:tc>
        <w:tc>
          <w:tcPr>
            <w:tcW w:w="675" w:type="pct"/>
            <w:vMerge w:val="continue"/>
            <w:vAlign w:val="center"/>
          </w:tcPr>
          <w:p>
            <w:pPr>
              <w:widowControl/>
              <w:jc w:val="center"/>
              <w:rPr>
                <w:rFonts w:cs="宋体" w:asciiTheme="minorEastAsia" w:hAnsiTheme="minorEastAsia" w:eastAsiaTheme="minorEastAsia"/>
                <w:color w:val="000000"/>
              </w:rPr>
            </w:pPr>
          </w:p>
        </w:tc>
        <w:tc>
          <w:tcPr>
            <w:tcW w:w="420" w:type="pct"/>
            <w:vMerge w:val="continue"/>
            <w:vAlign w:val="center"/>
          </w:tcPr>
          <w:p>
            <w:pPr>
              <w:widowControl/>
              <w:jc w:val="center"/>
              <w:rPr>
                <w:rFonts w:cs="宋体" w:asciiTheme="minorEastAsia" w:hAnsiTheme="minorEastAsia" w:eastAsiaTheme="minorEastAsia"/>
                <w:color w:val="000000"/>
              </w:rPr>
            </w:pPr>
          </w:p>
        </w:tc>
        <w:tc>
          <w:tcPr>
            <w:tcW w:w="1273"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公众对垃圾分类工作满意度</w:t>
            </w:r>
          </w:p>
        </w:tc>
        <w:tc>
          <w:tcPr>
            <w:tcW w:w="505" w:type="pct"/>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556" w:type="pct"/>
            <w:shd w:val="clear" w:color="auto" w:fill="auto"/>
            <w:noWrap/>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647" w:type="pct"/>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小计</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cs="宋体" w:asciiTheme="minorEastAsia" w:hAnsiTheme="minorEastAsia" w:eastAsiaTheme="minorEastAsia"/>
                <w:b/>
                <w:bCs/>
                <w:color w:val="000000"/>
              </w:rPr>
              <w:t>4</w:t>
            </w:r>
            <w:r>
              <w:rPr>
                <w:rFonts w:hint="eastAsia" w:cs="宋体" w:asciiTheme="minorEastAsia" w:hAnsiTheme="minorEastAsia" w:eastAsiaTheme="minorEastAsia"/>
                <w:b/>
                <w:bCs/>
                <w:color w:val="000000"/>
              </w:rPr>
              <w:t>0</w:t>
            </w:r>
          </w:p>
        </w:tc>
        <w:tc>
          <w:tcPr>
            <w:tcW w:w="675"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w:t>
            </w:r>
          </w:p>
        </w:tc>
        <w:tc>
          <w:tcPr>
            <w:tcW w:w="420" w:type="pct"/>
            <w:shd w:val="clear" w:color="auto" w:fill="auto"/>
            <w:noWrap/>
            <w:vAlign w:val="center"/>
          </w:tcPr>
          <w:p>
            <w:pPr>
              <w:widowControl/>
              <w:jc w:val="center"/>
              <w:rPr>
                <w:rFonts w:cs="宋体" w:asciiTheme="minorEastAsia" w:hAnsiTheme="minorEastAsia" w:eastAsiaTheme="minorEastAsia"/>
                <w:b/>
                <w:bCs/>
                <w:color w:val="000000"/>
              </w:rPr>
            </w:pPr>
            <w:r>
              <w:rPr>
                <w:rFonts w:cs="宋体" w:asciiTheme="minorEastAsia" w:hAnsiTheme="minorEastAsia" w:eastAsiaTheme="minorEastAsia"/>
                <w:b/>
                <w:bCs/>
                <w:color w:val="000000"/>
              </w:rPr>
              <w:t>4</w:t>
            </w:r>
            <w:r>
              <w:rPr>
                <w:rFonts w:hint="eastAsia" w:cs="宋体" w:asciiTheme="minorEastAsia" w:hAnsiTheme="minorEastAsia" w:eastAsiaTheme="minorEastAsia"/>
                <w:b/>
                <w:bCs/>
                <w:color w:val="000000"/>
              </w:rPr>
              <w:t>0</w:t>
            </w:r>
          </w:p>
        </w:tc>
        <w:tc>
          <w:tcPr>
            <w:tcW w:w="1273"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w:t>
            </w:r>
          </w:p>
        </w:tc>
        <w:tc>
          <w:tcPr>
            <w:tcW w:w="505" w:type="pct"/>
            <w:shd w:val="clear" w:color="auto" w:fill="auto"/>
            <w:noWrap/>
            <w:vAlign w:val="center"/>
          </w:tcPr>
          <w:p>
            <w:pPr>
              <w:widowControl/>
              <w:jc w:val="center"/>
              <w:rPr>
                <w:rFonts w:cs="宋体" w:asciiTheme="minorEastAsia" w:hAnsiTheme="minorEastAsia" w:eastAsiaTheme="minorEastAsia"/>
                <w:b/>
                <w:bCs/>
                <w:color w:val="000000"/>
              </w:rPr>
            </w:pPr>
            <w:r>
              <w:rPr>
                <w:rFonts w:cs="宋体" w:asciiTheme="minorEastAsia" w:hAnsiTheme="minorEastAsia" w:eastAsiaTheme="minorEastAsia"/>
                <w:b/>
                <w:bCs/>
                <w:color w:val="000000"/>
              </w:rPr>
              <w:t>4</w:t>
            </w:r>
            <w:r>
              <w:rPr>
                <w:rFonts w:hint="eastAsia" w:cs="宋体" w:asciiTheme="minorEastAsia" w:hAnsiTheme="minorEastAsia" w:eastAsiaTheme="minorEastAsia"/>
                <w:b/>
                <w:bCs/>
                <w:color w:val="000000"/>
              </w:rPr>
              <w:t>0</w:t>
            </w:r>
          </w:p>
        </w:tc>
        <w:tc>
          <w:tcPr>
            <w:tcW w:w="556" w:type="pct"/>
            <w:shd w:val="clear" w:color="auto" w:fill="auto"/>
            <w:noWrap/>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3</w:t>
            </w:r>
            <w:r>
              <w:rPr>
                <w:rFonts w:cs="宋体" w:asciiTheme="minorEastAsia" w:hAnsiTheme="minorEastAsia" w:eastAsiaTheme="minorEastAsia"/>
                <w:b/>
                <w:bCs/>
              </w:rPr>
              <w:t>5</w:t>
            </w:r>
          </w:p>
        </w:tc>
        <w:tc>
          <w:tcPr>
            <w:tcW w:w="647" w:type="pct"/>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8</w:t>
            </w:r>
            <w:r>
              <w:rPr>
                <w:rFonts w:cs="宋体" w:asciiTheme="minorEastAsia" w:hAnsiTheme="minorEastAsia" w:eastAsiaTheme="minorEastAsia"/>
                <w:b/>
                <w:bCs/>
              </w:rPr>
              <w:t>7.5%</w:t>
            </w:r>
          </w:p>
        </w:tc>
      </w:tr>
    </w:tbl>
    <w:p>
      <w:pPr>
        <w:spacing w:line="560" w:lineRule="exact"/>
        <w:ind w:firstLine="640" w:firstLineChars="200"/>
        <w:rPr>
          <w:rFonts w:ascii="仿宋_GB2312" w:eastAsia="仿宋_GB2312" w:cs="仿宋_GB2312"/>
          <w:bCs/>
          <w:sz w:val="32"/>
          <w:szCs w:val="32"/>
        </w:rPr>
      </w:pPr>
      <w:bookmarkStart w:id="23" w:name="_Toc143870194"/>
      <w:r>
        <w:rPr>
          <w:rFonts w:hint="eastAsia" w:ascii="仿宋_GB2312" w:eastAsia="仿宋_GB2312" w:cs="仿宋_GB2312"/>
          <w:bCs/>
          <w:sz w:val="32"/>
          <w:szCs w:val="32"/>
        </w:rPr>
        <w:t>项目效益主要从“生活垃圾分类覆盖率”“住宅区垃圾分类入户宣传率”“激励政策知晓率”“厨余垃圾分类率”等8个指标进行考核，从表中数据来看，激励政策知晓率、可持续影响、公众对垃圾分类激励工作满意度未达标，项目实施效益有待进一步提高。</w:t>
      </w:r>
    </w:p>
    <w:p>
      <w:pPr>
        <w:spacing w:line="600" w:lineRule="exact"/>
        <w:ind w:firstLine="562" w:firstLineChars="200"/>
        <w:jc w:val="center"/>
        <w:rPr>
          <w:rFonts w:ascii="黑体" w:hAnsi="黑体" w:eastAsia="黑体" w:cs="仿宋_GB2312"/>
          <w:b/>
          <w:bCs/>
          <w:sz w:val="28"/>
          <w:szCs w:val="28"/>
        </w:rPr>
      </w:pPr>
      <w:r>
        <w:rPr>
          <w:rFonts w:ascii="黑体" w:hAnsi="黑体" w:eastAsia="黑体" w:cs="仿宋_GB2312"/>
          <w:b/>
          <w:bCs/>
          <w:sz w:val="28"/>
          <w:szCs w:val="28"/>
        </w:rPr>
        <w:t>表</w:t>
      </w:r>
      <w:r>
        <w:rPr>
          <w:rFonts w:hint="eastAsia" w:ascii="黑体" w:hAnsi="黑体" w:eastAsia="黑体" w:cs="仿宋_GB2312"/>
          <w:b/>
          <w:bCs/>
          <w:sz w:val="28"/>
          <w:szCs w:val="28"/>
        </w:rPr>
        <w:t>3</w:t>
      </w:r>
      <w:r>
        <w:rPr>
          <w:rFonts w:ascii="黑体" w:hAnsi="黑体" w:eastAsia="黑体" w:cs="仿宋_GB2312"/>
          <w:b/>
          <w:bCs/>
          <w:sz w:val="28"/>
          <w:szCs w:val="28"/>
        </w:rPr>
        <w:t>-8 龙华区2022年</w:t>
      </w:r>
      <w:r>
        <w:rPr>
          <w:rFonts w:hint="eastAsia" w:ascii="黑体" w:hAnsi="黑体" w:eastAsia="黑体" w:cs="仿宋_GB2312"/>
          <w:b/>
          <w:bCs/>
          <w:sz w:val="28"/>
          <w:szCs w:val="28"/>
        </w:rPr>
        <w:t>生活垃圾分类激励资金</w:t>
      </w:r>
    </w:p>
    <w:p>
      <w:pPr>
        <w:spacing w:line="600" w:lineRule="exact"/>
        <w:ind w:firstLine="562" w:firstLineChars="200"/>
        <w:jc w:val="center"/>
        <w:rPr>
          <w:rFonts w:ascii="黑体" w:hAnsi="黑体" w:eastAsia="黑体" w:cs="仿宋_GB2312"/>
          <w:b/>
          <w:bCs/>
          <w:sz w:val="28"/>
          <w:szCs w:val="28"/>
        </w:rPr>
      </w:pPr>
      <w:r>
        <w:rPr>
          <w:rFonts w:ascii="黑体" w:hAnsi="黑体" w:eastAsia="黑体" w:cs="仿宋_GB2312"/>
          <w:b/>
          <w:bCs/>
          <w:sz w:val="28"/>
          <w:szCs w:val="28"/>
        </w:rPr>
        <w:t>效益指标达标情况汇总</w:t>
      </w:r>
    </w:p>
    <w:tbl>
      <w:tblPr>
        <w:tblStyle w:val="26"/>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119"/>
        <w:gridCol w:w="1701"/>
        <w:gridCol w:w="1701"/>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04" w:type="dxa"/>
            <w:noWrap/>
            <w:vAlign w:val="center"/>
          </w:tcPr>
          <w:p>
            <w:pPr>
              <w:widowControl/>
              <w:spacing w:line="280" w:lineRule="exact"/>
              <w:jc w:val="center"/>
              <w:rPr>
                <w:rFonts w:ascii="宋体" w:hAnsi="宋体"/>
                <w:b/>
                <w:bCs/>
                <w:szCs w:val="15"/>
              </w:rPr>
            </w:pPr>
            <w:r>
              <w:rPr>
                <w:rFonts w:ascii="宋体" w:hAnsi="宋体"/>
                <w:b/>
                <w:bCs/>
                <w:szCs w:val="15"/>
              </w:rPr>
              <w:t>序号</w:t>
            </w:r>
          </w:p>
        </w:tc>
        <w:tc>
          <w:tcPr>
            <w:tcW w:w="3119" w:type="dxa"/>
            <w:noWrap/>
            <w:vAlign w:val="center"/>
          </w:tcPr>
          <w:p>
            <w:pPr>
              <w:widowControl/>
              <w:spacing w:line="280" w:lineRule="exact"/>
              <w:jc w:val="center"/>
              <w:rPr>
                <w:rFonts w:ascii="宋体" w:hAnsi="宋体"/>
                <w:b/>
                <w:bCs/>
                <w:szCs w:val="15"/>
              </w:rPr>
            </w:pPr>
            <w:r>
              <w:rPr>
                <w:rFonts w:ascii="宋体" w:hAnsi="宋体"/>
                <w:b/>
                <w:bCs/>
                <w:szCs w:val="15"/>
              </w:rPr>
              <w:t>指标名称</w:t>
            </w:r>
          </w:p>
        </w:tc>
        <w:tc>
          <w:tcPr>
            <w:tcW w:w="1701" w:type="dxa"/>
            <w:noWrap/>
            <w:vAlign w:val="center"/>
          </w:tcPr>
          <w:p>
            <w:pPr>
              <w:widowControl/>
              <w:spacing w:line="280" w:lineRule="exact"/>
              <w:jc w:val="center"/>
              <w:rPr>
                <w:rFonts w:ascii="宋体" w:hAnsi="宋体"/>
                <w:b/>
                <w:bCs/>
                <w:szCs w:val="15"/>
              </w:rPr>
            </w:pPr>
            <w:r>
              <w:rPr>
                <w:rFonts w:ascii="宋体" w:hAnsi="宋体"/>
                <w:b/>
                <w:bCs/>
                <w:szCs w:val="15"/>
              </w:rPr>
              <w:t>预期指标值</w:t>
            </w:r>
          </w:p>
        </w:tc>
        <w:tc>
          <w:tcPr>
            <w:tcW w:w="1701" w:type="dxa"/>
            <w:noWrap/>
            <w:vAlign w:val="center"/>
          </w:tcPr>
          <w:p>
            <w:pPr>
              <w:widowControl/>
              <w:spacing w:line="280" w:lineRule="exact"/>
              <w:jc w:val="center"/>
              <w:rPr>
                <w:rFonts w:ascii="宋体" w:hAnsi="宋体"/>
                <w:b/>
                <w:bCs/>
                <w:szCs w:val="15"/>
              </w:rPr>
            </w:pPr>
            <w:r>
              <w:rPr>
                <w:rFonts w:ascii="宋体" w:hAnsi="宋体"/>
                <w:b/>
                <w:bCs/>
                <w:szCs w:val="15"/>
              </w:rPr>
              <w:t>实际完成值</w:t>
            </w:r>
          </w:p>
        </w:tc>
        <w:tc>
          <w:tcPr>
            <w:tcW w:w="1417" w:type="dxa"/>
            <w:noWrap/>
            <w:vAlign w:val="center"/>
          </w:tcPr>
          <w:p>
            <w:pPr>
              <w:widowControl/>
              <w:spacing w:line="280" w:lineRule="exact"/>
              <w:jc w:val="center"/>
              <w:rPr>
                <w:rFonts w:ascii="宋体" w:hAnsi="宋体"/>
                <w:b/>
                <w:bCs/>
                <w:szCs w:val="15"/>
              </w:rPr>
            </w:pPr>
            <w:r>
              <w:rPr>
                <w:rFonts w:ascii="宋体" w:hAnsi="宋体"/>
                <w:b/>
                <w:bCs/>
                <w:szCs w:val="15"/>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noWrap/>
            <w:vAlign w:val="center"/>
          </w:tcPr>
          <w:p>
            <w:pPr>
              <w:widowControl/>
              <w:spacing w:line="280" w:lineRule="exact"/>
              <w:jc w:val="center"/>
              <w:rPr>
                <w:rFonts w:ascii="宋体" w:hAnsi="宋体"/>
                <w:szCs w:val="15"/>
              </w:rPr>
            </w:pPr>
            <w:r>
              <w:rPr>
                <w:rFonts w:ascii="宋体" w:hAnsi="宋体"/>
                <w:szCs w:val="15"/>
              </w:rPr>
              <w:t>1</w:t>
            </w:r>
          </w:p>
        </w:tc>
        <w:tc>
          <w:tcPr>
            <w:tcW w:w="3119" w:type="dxa"/>
            <w:noWrap/>
            <w:vAlign w:val="center"/>
          </w:tcPr>
          <w:p>
            <w:pPr>
              <w:widowControl/>
              <w:spacing w:line="280" w:lineRule="exact"/>
              <w:jc w:val="center"/>
              <w:rPr>
                <w:rFonts w:ascii="宋体" w:hAnsi="宋体"/>
                <w:szCs w:val="15"/>
              </w:rPr>
            </w:pPr>
            <w:r>
              <w:rPr>
                <w:rFonts w:ascii="宋体" w:hAnsi="宋体"/>
                <w:szCs w:val="15"/>
              </w:rPr>
              <w:t>生活垃圾分类覆盖率</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1</w:t>
            </w:r>
            <w:r>
              <w:rPr>
                <w:rFonts w:ascii="宋体" w:hAnsi="宋体"/>
                <w:szCs w:val="15"/>
              </w:rPr>
              <w:t>00%</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1</w:t>
            </w:r>
            <w:r>
              <w:rPr>
                <w:rFonts w:ascii="宋体" w:hAnsi="宋体"/>
                <w:szCs w:val="15"/>
              </w:rPr>
              <w:t>00%</w:t>
            </w:r>
          </w:p>
        </w:tc>
        <w:tc>
          <w:tcPr>
            <w:tcW w:w="1417" w:type="dxa"/>
            <w:noWrap/>
            <w:vAlign w:val="center"/>
          </w:tcPr>
          <w:p>
            <w:pPr>
              <w:widowControl/>
              <w:spacing w:line="280" w:lineRule="exact"/>
              <w:jc w:val="center"/>
              <w:textAlignment w:val="center"/>
              <w:rPr>
                <w:rFonts w:ascii="宋体" w:hAnsi="宋体"/>
                <w:szCs w:val="15"/>
              </w:rPr>
            </w:pPr>
            <w:r>
              <w:rPr>
                <w:rStyle w:val="50"/>
                <w:rFonts w:ascii="宋体" w:hAnsi="宋体" w:eastAsia="宋体"/>
                <w:sz w:val="20"/>
                <w:szCs w:val="15"/>
                <w:lang w:bidi="ar"/>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noWrap/>
            <w:vAlign w:val="center"/>
          </w:tcPr>
          <w:p>
            <w:pPr>
              <w:widowControl/>
              <w:spacing w:line="280" w:lineRule="exact"/>
              <w:jc w:val="center"/>
              <w:rPr>
                <w:rFonts w:ascii="宋体" w:hAnsi="宋体"/>
                <w:szCs w:val="15"/>
              </w:rPr>
            </w:pPr>
            <w:r>
              <w:rPr>
                <w:rFonts w:ascii="宋体" w:hAnsi="宋体"/>
                <w:szCs w:val="15"/>
              </w:rPr>
              <w:t>2</w:t>
            </w:r>
          </w:p>
        </w:tc>
        <w:tc>
          <w:tcPr>
            <w:tcW w:w="3119" w:type="dxa"/>
            <w:noWrap/>
            <w:vAlign w:val="center"/>
          </w:tcPr>
          <w:p>
            <w:pPr>
              <w:widowControl/>
              <w:spacing w:line="280" w:lineRule="exact"/>
              <w:jc w:val="center"/>
              <w:rPr>
                <w:rFonts w:ascii="宋体" w:hAnsi="宋体"/>
                <w:szCs w:val="15"/>
              </w:rPr>
            </w:pPr>
            <w:r>
              <w:rPr>
                <w:rFonts w:ascii="宋体" w:hAnsi="宋体"/>
                <w:szCs w:val="15"/>
              </w:rPr>
              <w:t>住宅区垃圾分类入户宣传率</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1</w:t>
            </w:r>
            <w:r>
              <w:rPr>
                <w:rFonts w:ascii="宋体" w:hAnsi="宋体"/>
                <w:szCs w:val="15"/>
              </w:rPr>
              <w:t>00%</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1</w:t>
            </w:r>
            <w:r>
              <w:rPr>
                <w:rFonts w:ascii="宋体" w:hAnsi="宋体"/>
                <w:szCs w:val="15"/>
              </w:rPr>
              <w:t>00%</w:t>
            </w:r>
          </w:p>
        </w:tc>
        <w:tc>
          <w:tcPr>
            <w:tcW w:w="1417" w:type="dxa"/>
            <w:noWrap/>
            <w:vAlign w:val="center"/>
          </w:tcPr>
          <w:p>
            <w:pPr>
              <w:widowControl/>
              <w:spacing w:line="280" w:lineRule="exact"/>
              <w:jc w:val="center"/>
              <w:textAlignment w:val="center"/>
              <w:rPr>
                <w:rFonts w:ascii="宋体" w:hAnsi="宋体"/>
                <w:szCs w:val="15"/>
              </w:rPr>
            </w:pPr>
            <w:r>
              <w:rPr>
                <w:rStyle w:val="50"/>
                <w:rFonts w:ascii="宋体" w:hAnsi="宋体" w:eastAsia="宋体"/>
                <w:sz w:val="20"/>
                <w:szCs w:val="15"/>
                <w:lang w:bidi="ar"/>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noWrap/>
            <w:vAlign w:val="center"/>
          </w:tcPr>
          <w:p>
            <w:pPr>
              <w:widowControl/>
              <w:spacing w:line="280" w:lineRule="exact"/>
              <w:jc w:val="center"/>
              <w:rPr>
                <w:rFonts w:ascii="宋体" w:hAnsi="宋体"/>
                <w:szCs w:val="15"/>
              </w:rPr>
            </w:pPr>
            <w:r>
              <w:rPr>
                <w:rFonts w:ascii="宋体" w:hAnsi="宋体"/>
                <w:szCs w:val="15"/>
              </w:rPr>
              <w:t>3</w:t>
            </w:r>
          </w:p>
        </w:tc>
        <w:tc>
          <w:tcPr>
            <w:tcW w:w="3119" w:type="dxa"/>
            <w:noWrap/>
            <w:vAlign w:val="center"/>
          </w:tcPr>
          <w:p>
            <w:pPr>
              <w:widowControl/>
              <w:spacing w:line="280" w:lineRule="exact"/>
              <w:jc w:val="center"/>
              <w:textAlignment w:val="center"/>
              <w:rPr>
                <w:rFonts w:ascii="宋体" w:hAnsi="宋体"/>
                <w:szCs w:val="15"/>
              </w:rPr>
            </w:pPr>
            <w:r>
              <w:rPr>
                <w:rFonts w:ascii="宋体" w:hAnsi="宋体"/>
                <w:szCs w:val="15"/>
              </w:rPr>
              <w:t>激励政策知晓率</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9</w:t>
            </w:r>
            <w:r>
              <w:rPr>
                <w:rFonts w:ascii="宋体" w:hAnsi="宋体"/>
                <w:szCs w:val="15"/>
              </w:rPr>
              <w:t>0%</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8</w:t>
            </w:r>
            <w:r>
              <w:rPr>
                <w:rFonts w:ascii="宋体" w:hAnsi="宋体"/>
                <w:szCs w:val="15"/>
              </w:rPr>
              <w:t>3.58%</w:t>
            </w:r>
          </w:p>
        </w:tc>
        <w:tc>
          <w:tcPr>
            <w:tcW w:w="1417" w:type="dxa"/>
            <w:noWrap/>
            <w:vAlign w:val="center"/>
          </w:tcPr>
          <w:p>
            <w:pPr>
              <w:widowControl/>
              <w:spacing w:line="280" w:lineRule="exact"/>
              <w:jc w:val="center"/>
              <w:textAlignment w:val="center"/>
              <w:rPr>
                <w:rFonts w:ascii="宋体" w:hAnsi="宋体"/>
                <w:szCs w:val="15"/>
              </w:rPr>
            </w:pPr>
            <w:r>
              <w:rPr>
                <w:rFonts w:hint="eastAsia"/>
              </w:rPr>
              <w:t>未达标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noWrap/>
            <w:vAlign w:val="center"/>
          </w:tcPr>
          <w:p>
            <w:pPr>
              <w:widowControl/>
              <w:spacing w:line="280" w:lineRule="exact"/>
              <w:jc w:val="center"/>
              <w:rPr>
                <w:rFonts w:ascii="宋体" w:hAnsi="宋体"/>
                <w:szCs w:val="15"/>
              </w:rPr>
            </w:pPr>
            <w:r>
              <w:rPr>
                <w:rFonts w:ascii="宋体" w:hAnsi="宋体"/>
                <w:szCs w:val="15"/>
              </w:rPr>
              <w:t>4</w:t>
            </w:r>
          </w:p>
        </w:tc>
        <w:tc>
          <w:tcPr>
            <w:tcW w:w="3119" w:type="dxa"/>
            <w:noWrap/>
            <w:vAlign w:val="center"/>
          </w:tcPr>
          <w:p>
            <w:pPr>
              <w:widowControl/>
              <w:spacing w:line="280" w:lineRule="exact"/>
              <w:jc w:val="center"/>
              <w:textAlignment w:val="center"/>
              <w:rPr>
                <w:rFonts w:ascii="宋体" w:hAnsi="宋体"/>
                <w:szCs w:val="15"/>
              </w:rPr>
            </w:pPr>
            <w:r>
              <w:rPr>
                <w:rFonts w:hint="eastAsia" w:ascii="宋体" w:hAnsi="宋体"/>
                <w:szCs w:val="15"/>
              </w:rPr>
              <w:t>厨余垃圾分类率</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2</w:t>
            </w:r>
            <w:r>
              <w:rPr>
                <w:rFonts w:ascii="宋体" w:hAnsi="宋体"/>
                <w:szCs w:val="15"/>
              </w:rPr>
              <w:t>4%</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25.64%</w:t>
            </w:r>
          </w:p>
        </w:tc>
        <w:tc>
          <w:tcPr>
            <w:tcW w:w="1417" w:type="dxa"/>
            <w:noWrap/>
            <w:vAlign w:val="center"/>
          </w:tcPr>
          <w:p>
            <w:pPr>
              <w:widowControl/>
              <w:spacing w:line="280" w:lineRule="exact"/>
              <w:jc w:val="center"/>
              <w:textAlignment w:val="center"/>
            </w:pPr>
            <w: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noWrap/>
            <w:vAlign w:val="center"/>
          </w:tcPr>
          <w:p>
            <w:pPr>
              <w:widowControl/>
              <w:spacing w:line="280" w:lineRule="exact"/>
              <w:jc w:val="center"/>
              <w:rPr>
                <w:rFonts w:ascii="宋体" w:hAnsi="宋体"/>
                <w:szCs w:val="15"/>
              </w:rPr>
            </w:pPr>
            <w:r>
              <w:rPr>
                <w:rFonts w:ascii="宋体" w:hAnsi="宋体"/>
                <w:szCs w:val="15"/>
              </w:rPr>
              <w:t>5</w:t>
            </w:r>
          </w:p>
        </w:tc>
        <w:tc>
          <w:tcPr>
            <w:tcW w:w="3119" w:type="dxa"/>
            <w:noWrap/>
            <w:vAlign w:val="center"/>
          </w:tcPr>
          <w:p>
            <w:pPr>
              <w:widowControl/>
              <w:spacing w:line="280" w:lineRule="exact"/>
              <w:jc w:val="center"/>
              <w:textAlignment w:val="center"/>
              <w:rPr>
                <w:rFonts w:ascii="宋体" w:hAnsi="宋体"/>
                <w:szCs w:val="15"/>
              </w:rPr>
            </w:pPr>
            <w:r>
              <w:rPr>
                <w:rFonts w:ascii="宋体" w:hAnsi="宋体"/>
                <w:szCs w:val="15"/>
              </w:rPr>
              <w:t>生活垃圾回收利用率</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4</w:t>
            </w:r>
            <w:r>
              <w:rPr>
                <w:rFonts w:ascii="宋体" w:hAnsi="宋体"/>
                <w:szCs w:val="15"/>
              </w:rPr>
              <w:t>6%</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4</w:t>
            </w:r>
            <w:r>
              <w:rPr>
                <w:rFonts w:ascii="宋体" w:hAnsi="宋体"/>
                <w:szCs w:val="15"/>
              </w:rPr>
              <w:t>7.55%</w:t>
            </w:r>
          </w:p>
        </w:tc>
        <w:tc>
          <w:tcPr>
            <w:tcW w:w="1417" w:type="dxa"/>
            <w:noWrap/>
            <w:vAlign w:val="center"/>
          </w:tcPr>
          <w:p>
            <w:pPr>
              <w:widowControl/>
              <w:spacing w:line="280" w:lineRule="exact"/>
              <w:jc w:val="center"/>
              <w:textAlignment w:val="center"/>
              <w:rPr>
                <w:rFonts w:ascii="宋体" w:hAnsi="宋体"/>
                <w:szCs w:val="15"/>
              </w:rPr>
            </w:pPr>
            <w: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noWrap/>
            <w:vAlign w:val="center"/>
          </w:tcPr>
          <w:p>
            <w:pPr>
              <w:widowControl/>
              <w:spacing w:line="280" w:lineRule="exact"/>
              <w:jc w:val="center"/>
              <w:rPr>
                <w:rFonts w:ascii="宋体" w:hAnsi="宋体"/>
                <w:szCs w:val="15"/>
              </w:rPr>
            </w:pPr>
            <w:r>
              <w:rPr>
                <w:rFonts w:ascii="宋体" w:hAnsi="宋体"/>
                <w:szCs w:val="15"/>
              </w:rPr>
              <w:t>6</w:t>
            </w:r>
          </w:p>
        </w:tc>
        <w:tc>
          <w:tcPr>
            <w:tcW w:w="3119" w:type="dxa"/>
            <w:noWrap/>
            <w:vAlign w:val="center"/>
          </w:tcPr>
          <w:p>
            <w:pPr>
              <w:widowControl/>
              <w:spacing w:line="280" w:lineRule="exact"/>
              <w:jc w:val="center"/>
              <w:textAlignment w:val="center"/>
              <w:rPr>
                <w:rFonts w:ascii="宋体" w:hAnsi="宋体"/>
                <w:szCs w:val="15"/>
              </w:rPr>
            </w:pPr>
            <w:r>
              <w:rPr>
                <w:rFonts w:hint="eastAsia" w:ascii="宋体" w:hAnsi="宋体"/>
                <w:szCs w:val="15"/>
              </w:rPr>
              <w:t>落实垃圾分类要求持续性</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可持续</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可持续性不强</w:t>
            </w:r>
          </w:p>
        </w:tc>
        <w:tc>
          <w:tcPr>
            <w:tcW w:w="1417" w:type="dxa"/>
            <w:noWrap/>
            <w:vAlign w:val="center"/>
          </w:tcPr>
          <w:p>
            <w:pPr>
              <w:widowControl/>
              <w:spacing w:line="280" w:lineRule="exact"/>
              <w:jc w:val="center"/>
              <w:textAlignment w:val="center"/>
            </w:pPr>
            <w:r>
              <w:rPr>
                <w:rFonts w:hint="eastAsia"/>
              </w:rPr>
              <w:t>部分达标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noWrap/>
            <w:vAlign w:val="center"/>
          </w:tcPr>
          <w:p>
            <w:pPr>
              <w:widowControl/>
              <w:spacing w:line="280" w:lineRule="exact"/>
              <w:jc w:val="center"/>
              <w:rPr>
                <w:rFonts w:ascii="宋体" w:hAnsi="宋体"/>
                <w:szCs w:val="15"/>
              </w:rPr>
            </w:pPr>
            <w:r>
              <w:rPr>
                <w:rFonts w:hint="eastAsia" w:ascii="宋体" w:hAnsi="宋体"/>
                <w:szCs w:val="15"/>
              </w:rPr>
              <w:t>7</w:t>
            </w:r>
          </w:p>
        </w:tc>
        <w:tc>
          <w:tcPr>
            <w:tcW w:w="3119" w:type="dxa"/>
            <w:noWrap/>
            <w:vAlign w:val="center"/>
          </w:tcPr>
          <w:p>
            <w:pPr>
              <w:widowControl/>
              <w:spacing w:line="280" w:lineRule="exact"/>
              <w:jc w:val="center"/>
              <w:textAlignment w:val="center"/>
              <w:rPr>
                <w:rFonts w:ascii="宋体" w:hAnsi="宋体"/>
                <w:szCs w:val="15"/>
              </w:rPr>
            </w:pPr>
            <w:r>
              <w:rPr>
                <w:rFonts w:ascii="宋体" w:hAnsi="宋体"/>
                <w:szCs w:val="15"/>
              </w:rPr>
              <w:t>公众对垃圾分类激励工作满意度</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9</w:t>
            </w:r>
            <w:r>
              <w:rPr>
                <w:rFonts w:ascii="宋体" w:hAnsi="宋体"/>
                <w:szCs w:val="15"/>
              </w:rPr>
              <w:t>0%</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8</w:t>
            </w:r>
            <w:r>
              <w:rPr>
                <w:rFonts w:ascii="宋体" w:hAnsi="宋体"/>
                <w:szCs w:val="15"/>
              </w:rPr>
              <w:t>5.67%</w:t>
            </w:r>
          </w:p>
        </w:tc>
        <w:tc>
          <w:tcPr>
            <w:tcW w:w="1417" w:type="dxa"/>
            <w:noWrap/>
            <w:vAlign w:val="center"/>
          </w:tcPr>
          <w:p>
            <w:pPr>
              <w:widowControl/>
              <w:spacing w:line="280" w:lineRule="exact"/>
              <w:jc w:val="center"/>
              <w:textAlignment w:val="center"/>
              <w:rPr>
                <w:rFonts w:ascii="宋体" w:hAnsi="宋体"/>
                <w:szCs w:val="15"/>
              </w:rPr>
            </w:pPr>
            <w:r>
              <w:rPr>
                <w:rFonts w:hint="eastAsia"/>
              </w:rPr>
              <w:t>未达标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noWrap/>
            <w:vAlign w:val="center"/>
          </w:tcPr>
          <w:p>
            <w:pPr>
              <w:widowControl/>
              <w:spacing w:line="280" w:lineRule="exact"/>
              <w:jc w:val="center"/>
              <w:rPr>
                <w:rFonts w:ascii="宋体" w:hAnsi="宋体"/>
                <w:szCs w:val="15"/>
              </w:rPr>
            </w:pPr>
            <w:r>
              <w:rPr>
                <w:rFonts w:hint="eastAsia" w:ascii="宋体" w:hAnsi="宋体"/>
                <w:szCs w:val="15"/>
              </w:rPr>
              <w:t>8</w:t>
            </w:r>
          </w:p>
        </w:tc>
        <w:tc>
          <w:tcPr>
            <w:tcW w:w="3119" w:type="dxa"/>
            <w:noWrap/>
            <w:vAlign w:val="center"/>
          </w:tcPr>
          <w:p>
            <w:pPr>
              <w:widowControl/>
              <w:spacing w:line="280" w:lineRule="exact"/>
              <w:jc w:val="center"/>
              <w:textAlignment w:val="center"/>
              <w:rPr>
                <w:rFonts w:ascii="宋体" w:hAnsi="宋体"/>
                <w:szCs w:val="15"/>
              </w:rPr>
            </w:pPr>
            <w:r>
              <w:rPr>
                <w:rFonts w:ascii="宋体" w:hAnsi="宋体"/>
                <w:szCs w:val="15"/>
              </w:rPr>
              <w:t>公众对垃圾分类工作满意度</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9</w:t>
            </w:r>
            <w:r>
              <w:rPr>
                <w:rFonts w:ascii="宋体" w:hAnsi="宋体"/>
                <w:szCs w:val="15"/>
              </w:rPr>
              <w:t>0%</w:t>
            </w:r>
          </w:p>
        </w:tc>
        <w:tc>
          <w:tcPr>
            <w:tcW w:w="1701" w:type="dxa"/>
            <w:noWrap/>
            <w:vAlign w:val="center"/>
          </w:tcPr>
          <w:p>
            <w:pPr>
              <w:widowControl/>
              <w:spacing w:line="280" w:lineRule="exact"/>
              <w:jc w:val="center"/>
              <w:textAlignment w:val="center"/>
              <w:rPr>
                <w:rFonts w:ascii="宋体" w:hAnsi="宋体"/>
                <w:szCs w:val="15"/>
              </w:rPr>
            </w:pPr>
            <w:r>
              <w:rPr>
                <w:rFonts w:hint="eastAsia" w:ascii="宋体" w:hAnsi="宋体"/>
                <w:szCs w:val="15"/>
              </w:rPr>
              <w:t>9</w:t>
            </w:r>
            <w:r>
              <w:rPr>
                <w:rFonts w:ascii="宋体" w:hAnsi="宋体"/>
                <w:szCs w:val="15"/>
              </w:rPr>
              <w:t>1.65%</w:t>
            </w:r>
          </w:p>
        </w:tc>
        <w:tc>
          <w:tcPr>
            <w:tcW w:w="1417" w:type="dxa"/>
            <w:noWrap/>
            <w:vAlign w:val="center"/>
          </w:tcPr>
          <w:p>
            <w:pPr>
              <w:widowControl/>
              <w:spacing w:line="280" w:lineRule="exact"/>
              <w:jc w:val="center"/>
              <w:textAlignment w:val="center"/>
              <w:rPr>
                <w:rFonts w:ascii="宋体" w:hAnsi="宋体"/>
                <w:szCs w:val="15"/>
              </w:rPr>
            </w:pPr>
            <w:r>
              <w:t>达标</w:t>
            </w:r>
          </w:p>
        </w:tc>
      </w:tr>
    </w:tbl>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（1）社会效益</w:t>
      </w:r>
      <w:bookmarkEnd w:id="23"/>
      <w:r>
        <w:rPr>
          <w:rFonts w:hint="eastAsia" w:ascii="仿宋_GB2312" w:eastAsia="仿宋_GB2312" w:cs="仿宋_GB2312"/>
          <w:bCs/>
          <w:sz w:val="32"/>
          <w:szCs w:val="32"/>
        </w:rPr>
        <w:t>（满分</w:t>
      </w:r>
      <w:r>
        <w:rPr>
          <w:rFonts w:ascii="仿宋_GB2312" w:eastAsia="仿宋_GB2312" w:cs="仿宋_GB2312"/>
          <w:bCs/>
          <w:sz w:val="32"/>
          <w:szCs w:val="32"/>
        </w:rPr>
        <w:t>12</w:t>
      </w:r>
      <w:r>
        <w:rPr>
          <w:rFonts w:hint="eastAsia" w:ascii="仿宋_GB2312" w:eastAsia="仿宋_GB2312" w:cs="仿宋_GB2312"/>
          <w:bCs/>
          <w:sz w:val="32"/>
          <w:szCs w:val="32"/>
        </w:rPr>
        <w:t>分，得分</w:t>
      </w:r>
      <w:r>
        <w:rPr>
          <w:rFonts w:ascii="仿宋_GB2312" w:eastAsia="仿宋_GB2312" w:cs="仿宋_GB2312"/>
          <w:bCs/>
          <w:sz w:val="32"/>
          <w:szCs w:val="32"/>
        </w:rPr>
        <w:t>10</w:t>
      </w:r>
      <w:r>
        <w:rPr>
          <w:rFonts w:hint="eastAsia" w:ascii="仿宋_GB2312" w:eastAsia="仿宋_GB2312" w:cs="仿宋_GB2312"/>
          <w:bCs/>
          <w:sz w:val="32"/>
          <w:szCs w:val="32"/>
        </w:rPr>
        <w:t>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生活垃圾分类覆盖率：</w:t>
      </w:r>
      <w:r>
        <w:rPr>
          <w:rFonts w:hint="eastAsia" w:ascii="仿宋_GB2312" w:eastAsia="仿宋_GB2312" w:cs="仿宋_GB2312"/>
          <w:bCs/>
          <w:sz w:val="32"/>
          <w:szCs w:val="32"/>
        </w:rPr>
        <w:t>依据《202</w:t>
      </w:r>
      <w:r>
        <w:rPr>
          <w:rFonts w:ascii="仿宋_GB2312" w:eastAsia="仿宋_GB2312" w:cs="仿宋_GB2312"/>
          <w:bCs/>
          <w:sz w:val="32"/>
          <w:szCs w:val="32"/>
        </w:rPr>
        <w:t>2</w:t>
      </w:r>
      <w:r>
        <w:rPr>
          <w:rFonts w:hint="eastAsia" w:ascii="仿宋_GB2312" w:eastAsia="仿宋_GB2312" w:cs="仿宋_GB2312"/>
          <w:bCs/>
          <w:sz w:val="32"/>
          <w:szCs w:val="32"/>
        </w:rPr>
        <w:t>年度龙华区质量工作考核指标数据采集表》及《龙华区生活垃圾分类覆盖住宅区名单》相关的统计数据材料得知，龙华区机关事业单位、学校及物业住宅区已实现生活垃圾分类全覆盖，202</w:t>
      </w:r>
      <w:r>
        <w:rPr>
          <w:rFonts w:ascii="仿宋_GB2312" w:eastAsia="仿宋_GB2312" w:cs="仿宋_GB2312"/>
          <w:bCs/>
          <w:sz w:val="32"/>
          <w:szCs w:val="32"/>
        </w:rPr>
        <w:t>2</w:t>
      </w:r>
      <w:r>
        <w:rPr>
          <w:rFonts w:hint="eastAsia" w:ascii="仿宋_GB2312" w:eastAsia="仿宋_GB2312" w:cs="仿宋_GB2312"/>
          <w:bCs/>
          <w:sz w:val="32"/>
          <w:szCs w:val="32"/>
        </w:rPr>
        <w:t>年全区生活垃圾分类覆盖率已达到100%，已完成预期目标。垃圾分类工作开展情况良好，该指标评价得分满分</w:t>
      </w:r>
      <w:r>
        <w:rPr>
          <w:rFonts w:ascii="仿宋_GB2312" w:eastAsia="仿宋_GB2312" w:cs="仿宋_GB2312"/>
          <w:bCs/>
          <w:sz w:val="32"/>
          <w:szCs w:val="32"/>
        </w:rPr>
        <w:t>5</w:t>
      </w:r>
      <w:r>
        <w:rPr>
          <w:rFonts w:hint="eastAsia" w:ascii="仿宋_GB2312" w:eastAsia="仿宋_GB2312" w:cs="仿宋_GB2312"/>
          <w:bCs/>
          <w:sz w:val="32"/>
          <w:szCs w:val="32"/>
        </w:rPr>
        <w:t>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住宅区垃圾分类入户宣传率：</w:t>
      </w:r>
      <w:r>
        <w:rPr>
          <w:rFonts w:hint="eastAsia" w:ascii="仿宋_GB2312" w:eastAsia="仿宋_GB2312" w:cs="仿宋_GB2312"/>
          <w:bCs/>
          <w:sz w:val="32"/>
          <w:szCs w:val="32"/>
        </w:rPr>
        <w:t>依据《龙华区2022年生活垃圾分类工作情况》及各街道相关入户宣传材料得知，2</w:t>
      </w:r>
      <w:r>
        <w:rPr>
          <w:rFonts w:ascii="仿宋_GB2312" w:eastAsia="仿宋_GB2312" w:cs="仿宋_GB2312"/>
          <w:bCs/>
          <w:sz w:val="32"/>
          <w:szCs w:val="32"/>
        </w:rPr>
        <w:t>022</w:t>
      </w:r>
      <w:r>
        <w:rPr>
          <w:rFonts w:hint="eastAsia" w:ascii="仿宋_GB2312" w:eastAsia="仿宋_GB2312" w:cs="仿宋_GB2312"/>
          <w:bCs/>
          <w:sz w:val="32"/>
          <w:szCs w:val="32"/>
        </w:rPr>
        <w:t>年全区住宅区垃圾分类入户宣传率已达到100%，已完成预期目标，对促进居民生活垃圾分类起积极作用。该指标评价得分满分</w:t>
      </w:r>
      <w:r>
        <w:rPr>
          <w:rFonts w:ascii="仿宋_GB2312" w:eastAsia="仿宋_GB2312" w:cs="仿宋_GB2312"/>
          <w:bCs/>
          <w:sz w:val="32"/>
          <w:szCs w:val="32"/>
        </w:rPr>
        <w:t>2</w:t>
      </w:r>
      <w:r>
        <w:rPr>
          <w:rFonts w:hint="eastAsia" w:ascii="仿宋_GB2312" w:eastAsia="仿宋_GB2312" w:cs="仿宋_GB2312"/>
          <w:bCs/>
          <w:sz w:val="32"/>
          <w:szCs w:val="32"/>
        </w:rPr>
        <w:t>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激励政策知晓率：</w:t>
      </w:r>
      <w:r>
        <w:rPr>
          <w:rFonts w:hint="eastAsia" w:ascii="仿宋_GB2312" w:eastAsia="仿宋_GB2312" w:cs="仿宋_GB2312"/>
          <w:bCs/>
          <w:sz w:val="32"/>
          <w:szCs w:val="32"/>
        </w:rPr>
        <w:t>本次绩效评价针对龙华区居民生活垃圾分类情况开展了相关调查问卷工作，总共收集有效问卷6</w:t>
      </w:r>
      <w:r>
        <w:rPr>
          <w:rFonts w:ascii="仿宋_GB2312" w:eastAsia="仿宋_GB2312" w:cs="仿宋_GB2312"/>
          <w:bCs/>
          <w:sz w:val="32"/>
          <w:szCs w:val="32"/>
        </w:rPr>
        <w:t>70</w:t>
      </w:r>
      <w:r>
        <w:rPr>
          <w:rFonts w:hint="eastAsia" w:ascii="仿宋_GB2312" w:eastAsia="仿宋_GB2312" w:cs="仿宋_GB2312"/>
          <w:bCs/>
          <w:sz w:val="32"/>
          <w:szCs w:val="32"/>
        </w:rPr>
        <w:t>份，经统计得出激励政策知晓率为</w:t>
      </w:r>
      <w:r>
        <w:rPr>
          <w:rFonts w:ascii="仿宋_GB2312" w:eastAsia="仿宋_GB2312" w:cs="仿宋_GB2312"/>
          <w:bCs/>
          <w:sz w:val="32"/>
          <w:szCs w:val="32"/>
        </w:rPr>
        <w:t>83.58</w:t>
      </w:r>
      <w:r>
        <w:rPr>
          <w:rFonts w:hint="eastAsia" w:ascii="仿宋_GB2312" w:eastAsia="仿宋_GB2312" w:cs="仿宋_GB2312"/>
          <w:bCs/>
          <w:sz w:val="32"/>
          <w:szCs w:val="32"/>
        </w:rPr>
        <w:t>%，低于目标，激励政策的宣传工作有待进一步加强。得分3分。</w:t>
      </w:r>
    </w:p>
    <w:p>
      <w:pPr>
        <w:spacing w:line="560" w:lineRule="exact"/>
        <w:ind w:firstLine="640" w:firstLineChars="200"/>
        <w:rPr>
          <w:rFonts w:ascii="仿宋_GB2312" w:eastAsia="仿宋_GB2312" w:cs="仿宋_GB2312"/>
          <w:bCs/>
          <w:sz w:val="32"/>
          <w:szCs w:val="32"/>
        </w:rPr>
      </w:pPr>
    </w:p>
    <w:p>
      <w:pPr>
        <w:spacing w:line="560" w:lineRule="exact"/>
        <w:ind w:firstLine="640" w:firstLineChars="200"/>
        <w:jc w:val="center"/>
        <w:rPr>
          <w:rFonts w:ascii="仿宋_GB2312" w:eastAsia="仿宋_GB2312" w:cs="仿宋_GB2312"/>
          <w:bCs/>
          <w:sz w:val="32"/>
          <w:szCs w:val="32"/>
        </w:rPr>
      </w:pPr>
      <w:r>
        <w:rPr>
          <w:rFonts w:hint="eastAsia" w:ascii="仿宋_GB2312" w:eastAsia="仿宋_GB2312" w:cs="仿宋_GB2312"/>
          <w:bCs/>
          <w:sz w:val="32"/>
          <w:szCs w:val="32"/>
        </w:rPr>
        <w:t>图</w:t>
      </w:r>
      <w:r>
        <w:drawing>
          <wp:anchor distT="0" distB="0" distL="114300" distR="114300" simplePos="0" relativeHeight="251672576" behindDoc="0" locked="0" layoutInCell="1" allowOverlap="1">
            <wp:simplePos x="0" y="0"/>
            <wp:positionH relativeFrom="column">
              <wp:posOffset>251460</wp:posOffset>
            </wp:positionH>
            <wp:positionV relativeFrom="paragraph">
              <wp:posOffset>0</wp:posOffset>
            </wp:positionV>
            <wp:extent cx="5083175" cy="3017520"/>
            <wp:effectExtent l="0" t="0" r="3810" b="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
                    <a:stretch>
                      <a:fillRect/>
                    </a:stretch>
                  </pic:blipFill>
                  <pic:spPr>
                    <a:xfrm>
                      <a:off x="0" y="0"/>
                      <a:ext cx="5082980" cy="3017782"/>
                    </a:xfrm>
                    <a:prstGeom prst="rect">
                      <a:avLst/>
                    </a:prstGeom>
                  </pic:spPr>
                </pic:pic>
              </a:graphicData>
            </a:graphic>
          </wp:anchor>
        </w:drawing>
      </w:r>
      <w:r>
        <w:rPr>
          <w:rFonts w:hint="eastAsia" w:ascii="仿宋_GB2312" w:eastAsia="仿宋_GB2312" w:cs="仿宋_GB2312"/>
          <w:bCs/>
          <w:sz w:val="32"/>
          <w:szCs w:val="32"/>
        </w:rPr>
        <w:t>1</w:t>
      </w:r>
      <w:r>
        <w:rPr>
          <w:rFonts w:ascii="仿宋_GB2312" w:eastAsia="仿宋_GB2312" w:cs="仿宋_GB2312"/>
          <w:bCs/>
          <w:sz w:val="32"/>
          <w:szCs w:val="32"/>
        </w:rPr>
        <w:t xml:space="preserve"> </w:t>
      </w:r>
      <w:r>
        <w:rPr>
          <w:rFonts w:hint="eastAsia" w:ascii="仿宋_GB2312" w:eastAsia="仿宋_GB2312" w:cs="仿宋_GB2312"/>
          <w:bCs/>
          <w:sz w:val="32"/>
          <w:szCs w:val="32"/>
        </w:rPr>
        <w:t>激励政策知晓率调查</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w:t>
      </w:r>
      <w:r>
        <w:rPr>
          <w:rFonts w:ascii="仿宋_GB2312" w:eastAsia="仿宋_GB2312" w:cs="仿宋_GB2312"/>
          <w:bCs/>
          <w:sz w:val="32"/>
          <w:szCs w:val="32"/>
        </w:rPr>
        <w:t>2</w:t>
      </w:r>
      <w:r>
        <w:rPr>
          <w:rFonts w:hint="eastAsia" w:ascii="仿宋_GB2312" w:eastAsia="仿宋_GB2312" w:cs="仿宋_GB2312"/>
          <w:bCs/>
          <w:sz w:val="32"/>
          <w:szCs w:val="32"/>
        </w:rPr>
        <w:t>）生态效益（满分</w:t>
      </w:r>
      <w:r>
        <w:rPr>
          <w:rFonts w:ascii="仿宋_GB2312" w:eastAsia="仿宋_GB2312" w:cs="仿宋_GB2312"/>
          <w:bCs/>
          <w:sz w:val="32"/>
          <w:szCs w:val="32"/>
        </w:rPr>
        <w:t>14</w:t>
      </w:r>
      <w:r>
        <w:rPr>
          <w:rFonts w:hint="eastAsia" w:ascii="仿宋_GB2312" w:eastAsia="仿宋_GB2312" w:cs="仿宋_GB2312"/>
          <w:bCs/>
          <w:sz w:val="32"/>
          <w:szCs w:val="32"/>
        </w:rPr>
        <w:t>分，得分</w:t>
      </w:r>
      <w:r>
        <w:rPr>
          <w:rFonts w:ascii="仿宋_GB2312" w:eastAsia="仿宋_GB2312" w:cs="仿宋_GB2312"/>
          <w:bCs/>
          <w:sz w:val="32"/>
          <w:szCs w:val="32"/>
        </w:rPr>
        <w:t>14</w:t>
      </w:r>
      <w:r>
        <w:rPr>
          <w:rFonts w:hint="eastAsia" w:ascii="仿宋_GB2312" w:eastAsia="仿宋_GB2312" w:cs="仿宋_GB2312"/>
          <w:bCs/>
          <w:sz w:val="32"/>
          <w:szCs w:val="32"/>
        </w:rPr>
        <w:t>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厨余垃圾分类率：</w:t>
      </w:r>
      <w:r>
        <w:rPr>
          <w:rFonts w:hint="eastAsia" w:ascii="仿宋_GB2312" w:eastAsia="仿宋_GB2312" w:cs="仿宋_GB2312"/>
          <w:bCs/>
          <w:sz w:val="32"/>
          <w:szCs w:val="32"/>
        </w:rPr>
        <w:t>202</w:t>
      </w:r>
      <w:r>
        <w:rPr>
          <w:rFonts w:ascii="仿宋_GB2312" w:eastAsia="仿宋_GB2312" w:cs="仿宋_GB2312"/>
          <w:bCs/>
          <w:sz w:val="32"/>
          <w:szCs w:val="32"/>
        </w:rPr>
        <w:t>2</w:t>
      </w:r>
      <w:r>
        <w:rPr>
          <w:rFonts w:hint="eastAsia" w:ascii="仿宋_GB2312" w:eastAsia="仿宋_GB2312" w:cs="仿宋_GB2312"/>
          <w:bCs/>
          <w:sz w:val="32"/>
          <w:szCs w:val="32"/>
        </w:rPr>
        <w:t>年龙华区厨余垃圾分类率达25.64%，已达到预期目标2</w:t>
      </w:r>
      <w:r>
        <w:rPr>
          <w:rFonts w:ascii="仿宋_GB2312" w:eastAsia="仿宋_GB2312" w:cs="仿宋_GB2312"/>
          <w:bCs/>
          <w:sz w:val="32"/>
          <w:szCs w:val="32"/>
        </w:rPr>
        <w:t>4</w:t>
      </w:r>
      <w:r>
        <w:rPr>
          <w:rFonts w:hint="eastAsia" w:ascii="仿宋_GB2312" w:eastAsia="仿宋_GB2312" w:cs="仿宋_GB2312"/>
          <w:bCs/>
          <w:sz w:val="32"/>
          <w:szCs w:val="32"/>
        </w:rPr>
        <w:t>%。该指标评价得分满分</w:t>
      </w:r>
      <w:r>
        <w:rPr>
          <w:rFonts w:ascii="仿宋_GB2312" w:eastAsia="仿宋_GB2312" w:cs="仿宋_GB2312"/>
          <w:bCs/>
          <w:sz w:val="32"/>
          <w:szCs w:val="32"/>
        </w:rPr>
        <w:t>6</w:t>
      </w:r>
      <w:r>
        <w:rPr>
          <w:rFonts w:hint="eastAsia" w:ascii="仿宋_GB2312" w:eastAsia="仿宋_GB2312" w:cs="仿宋_GB2312"/>
          <w:bCs/>
          <w:sz w:val="32"/>
          <w:szCs w:val="32"/>
        </w:rPr>
        <w:t>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生活垃圾回收利用率：</w:t>
      </w:r>
      <w:r>
        <w:rPr>
          <w:rFonts w:hint="eastAsia" w:ascii="仿宋_GB2312" w:eastAsia="仿宋_GB2312" w:cs="仿宋_GB2312"/>
          <w:bCs/>
          <w:sz w:val="32"/>
          <w:szCs w:val="32"/>
        </w:rPr>
        <w:t>依据《深圳市生活垃圾分类工作月报》《龙华区2022年生活垃圾分类工作情况》及相关的统计数据材料得知，202</w:t>
      </w:r>
      <w:r>
        <w:rPr>
          <w:rFonts w:ascii="仿宋_GB2312" w:eastAsia="仿宋_GB2312" w:cs="仿宋_GB2312"/>
          <w:bCs/>
          <w:sz w:val="32"/>
          <w:szCs w:val="32"/>
        </w:rPr>
        <w:t>2</w:t>
      </w:r>
      <w:r>
        <w:rPr>
          <w:rFonts w:hint="eastAsia" w:ascii="仿宋_GB2312" w:eastAsia="仿宋_GB2312" w:cs="仿宋_GB2312"/>
          <w:bCs/>
          <w:sz w:val="32"/>
          <w:szCs w:val="32"/>
        </w:rPr>
        <w:t>年生活垃圾回收利用率已达到</w:t>
      </w:r>
      <w:r>
        <w:rPr>
          <w:rFonts w:ascii="仿宋_GB2312" w:eastAsia="仿宋_GB2312" w:cs="仿宋_GB2312"/>
          <w:bCs/>
          <w:sz w:val="32"/>
          <w:szCs w:val="32"/>
        </w:rPr>
        <w:t>47.55</w:t>
      </w:r>
      <w:r>
        <w:rPr>
          <w:rFonts w:hint="eastAsia" w:ascii="仿宋_GB2312" w:eastAsia="仿宋_GB2312" w:cs="仿宋_GB2312"/>
          <w:bCs/>
          <w:sz w:val="32"/>
          <w:szCs w:val="32"/>
        </w:rPr>
        <w:t>%，已完成预期目标4</w:t>
      </w:r>
      <w:r>
        <w:rPr>
          <w:rFonts w:ascii="仿宋_GB2312" w:eastAsia="仿宋_GB2312" w:cs="仿宋_GB2312"/>
          <w:bCs/>
          <w:sz w:val="32"/>
          <w:szCs w:val="32"/>
        </w:rPr>
        <w:t>6%</w:t>
      </w:r>
      <w:r>
        <w:rPr>
          <w:rFonts w:hint="eastAsia" w:ascii="仿宋_GB2312" w:eastAsia="仿宋_GB2312" w:cs="仿宋_GB2312"/>
          <w:bCs/>
          <w:sz w:val="32"/>
          <w:szCs w:val="32"/>
        </w:rPr>
        <w:t>。该指标评价得分满分</w:t>
      </w:r>
      <w:r>
        <w:rPr>
          <w:rFonts w:ascii="仿宋_GB2312" w:eastAsia="仿宋_GB2312" w:cs="仿宋_GB2312"/>
          <w:bCs/>
          <w:sz w:val="32"/>
          <w:szCs w:val="32"/>
        </w:rPr>
        <w:t>8</w:t>
      </w:r>
      <w:r>
        <w:rPr>
          <w:rFonts w:hint="eastAsia" w:ascii="仿宋_GB2312" w:eastAsia="仿宋_GB2312" w:cs="仿宋_GB2312"/>
          <w:bCs/>
          <w:sz w:val="32"/>
          <w:szCs w:val="32"/>
        </w:rPr>
        <w:t>分。</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w:t>
      </w:r>
      <w:r>
        <w:rPr>
          <w:rFonts w:ascii="仿宋_GB2312" w:eastAsia="仿宋_GB2312" w:cs="仿宋_GB2312"/>
          <w:bCs/>
          <w:sz w:val="32"/>
          <w:szCs w:val="32"/>
        </w:rPr>
        <w:t>3</w:t>
      </w:r>
      <w:r>
        <w:rPr>
          <w:rFonts w:hint="eastAsia" w:ascii="仿宋_GB2312" w:eastAsia="仿宋_GB2312" w:cs="仿宋_GB2312"/>
          <w:bCs/>
          <w:sz w:val="32"/>
          <w:szCs w:val="32"/>
        </w:rPr>
        <w:t>）可持续影响（满分</w:t>
      </w:r>
      <w:r>
        <w:rPr>
          <w:rFonts w:ascii="仿宋_GB2312" w:eastAsia="仿宋_GB2312" w:cs="仿宋_GB2312"/>
          <w:bCs/>
          <w:sz w:val="32"/>
          <w:szCs w:val="32"/>
        </w:rPr>
        <w:t>4</w:t>
      </w:r>
      <w:r>
        <w:rPr>
          <w:rFonts w:hint="eastAsia" w:ascii="仿宋_GB2312" w:eastAsia="仿宋_GB2312" w:cs="仿宋_GB2312"/>
          <w:bCs/>
          <w:sz w:val="32"/>
          <w:szCs w:val="32"/>
        </w:rPr>
        <w:t>分，得分</w:t>
      </w:r>
      <w:r>
        <w:rPr>
          <w:rFonts w:ascii="仿宋_GB2312" w:eastAsia="仿宋_GB2312" w:cs="仿宋_GB2312"/>
          <w:bCs/>
          <w:sz w:val="32"/>
          <w:szCs w:val="32"/>
        </w:rPr>
        <w:t>2</w:t>
      </w:r>
      <w:r>
        <w:rPr>
          <w:rFonts w:hint="eastAsia" w:ascii="仿宋_GB2312" w:eastAsia="仿宋_GB2312" w:cs="仿宋_GB2312"/>
          <w:bCs/>
          <w:sz w:val="32"/>
          <w:szCs w:val="32"/>
        </w:rPr>
        <w:t>分）</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经现场实地调研发现，被激励对象情况在积极持续落实生活垃圾分类工作方面仍存在一定差距。2023年10月11-12日评价小组现场调研龙华区12个小区的垃圾分类情况，其中6个2022年度被评为绿色小区。调研发现：整体来看，绿色小区的垃圾分类情况与未被激励的小区相比，并无明显差别，均普遍存在垃圾分类意识不强、垃圾收集容器未按标准配备、垃圾收集容器周边积水未及时清理、垃圾满溢等问题。垃圾分类激励资金的激励效果的可持续性有待提高。综合评价扣2分，得分2分。</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w:t>
      </w:r>
      <w:r>
        <w:rPr>
          <w:rFonts w:ascii="仿宋_GB2312" w:eastAsia="仿宋_GB2312" w:cs="仿宋_GB2312"/>
          <w:bCs/>
          <w:sz w:val="32"/>
          <w:szCs w:val="32"/>
        </w:rPr>
        <w:t>4</w:t>
      </w:r>
      <w:r>
        <w:rPr>
          <w:rFonts w:hint="eastAsia" w:ascii="仿宋_GB2312" w:eastAsia="仿宋_GB2312" w:cs="仿宋_GB2312"/>
          <w:bCs/>
          <w:sz w:val="32"/>
          <w:szCs w:val="32"/>
        </w:rPr>
        <w:t>）满意度（满分</w:t>
      </w:r>
      <w:r>
        <w:rPr>
          <w:rFonts w:ascii="仿宋_GB2312" w:eastAsia="仿宋_GB2312" w:cs="仿宋_GB2312"/>
          <w:bCs/>
          <w:sz w:val="32"/>
          <w:szCs w:val="32"/>
        </w:rPr>
        <w:t>10</w:t>
      </w:r>
      <w:r>
        <w:rPr>
          <w:rFonts w:hint="eastAsia" w:ascii="仿宋_GB2312" w:eastAsia="仿宋_GB2312" w:cs="仿宋_GB2312"/>
          <w:bCs/>
          <w:sz w:val="32"/>
          <w:szCs w:val="32"/>
        </w:rPr>
        <w:t>分，得分</w:t>
      </w:r>
      <w:r>
        <w:rPr>
          <w:rFonts w:ascii="仿宋_GB2312" w:eastAsia="仿宋_GB2312" w:cs="仿宋_GB2312"/>
          <w:bCs/>
          <w:sz w:val="32"/>
          <w:szCs w:val="32"/>
        </w:rPr>
        <w:t>9</w:t>
      </w:r>
      <w:r>
        <w:rPr>
          <w:rFonts w:hint="eastAsia" w:ascii="仿宋_GB2312" w:eastAsia="仿宋_GB2312" w:cs="仿宋_GB2312"/>
          <w:bCs/>
          <w:sz w:val="32"/>
          <w:szCs w:val="32"/>
        </w:rPr>
        <w:t>分）</w:t>
      </w:r>
    </w:p>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公众对垃圾分类激励工作满意度：</w:t>
      </w:r>
      <w:r>
        <w:rPr>
          <w:rFonts w:hint="eastAsia" w:ascii="仿宋_GB2312" w:eastAsia="仿宋_GB2312" w:cs="仿宋_GB2312"/>
          <w:bCs/>
          <w:sz w:val="32"/>
          <w:szCs w:val="32"/>
        </w:rPr>
        <w:t>依据本次绩效评价关于龙华区生活垃圾分类及其激励政策的相关问卷调查统计结果得知，总共收集有效问卷</w:t>
      </w:r>
      <w:r>
        <w:rPr>
          <w:rFonts w:ascii="仿宋_GB2312" w:eastAsia="仿宋_GB2312" w:cs="仿宋_GB2312"/>
          <w:bCs/>
          <w:sz w:val="32"/>
          <w:szCs w:val="32"/>
        </w:rPr>
        <w:t>670</w:t>
      </w:r>
      <w:r>
        <w:rPr>
          <w:rFonts w:hint="eastAsia" w:ascii="仿宋_GB2312" w:eastAsia="仿宋_GB2312" w:cs="仿宋_GB2312"/>
          <w:bCs/>
          <w:sz w:val="32"/>
          <w:szCs w:val="32"/>
        </w:rPr>
        <w:t>份，其中对垃圾分类激励工作满意度为</w:t>
      </w:r>
      <w:r>
        <w:rPr>
          <w:rFonts w:ascii="仿宋_GB2312" w:eastAsia="仿宋_GB2312" w:cs="仿宋_GB2312"/>
          <w:bCs/>
          <w:sz w:val="32"/>
          <w:szCs w:val="32"/>
        </w:rPr>
        <w:t>85.67</w:t>
      </w:r>
      <w:r>
        <w:rPr>
          <w:rFonts w:hint="eastAsia" w:ascii="仿宋_GB2312" w:eastAsia="仿宋_GB2312" w:cs="仿宋_GB2312"/>
          <w:bCs/>
          <w:sz w:val="32"/>
          <w:szCs w:val="32"/>
        </w:rPr>
        <w:t>%，未达到预期目标，得分4分。</w:t>
      </w:r>
    </w:p>
    <w:p>
      <w:pPr>
        <w:spacing w:line="600" w:lineRule="exact"/>
        <w:ind w:firstLine="562" w:firstLineChars="200"/>
        <w:jc w:val="center"/>
        <w:rPr>
          <w:rFonts w:ascii="仿宋_GB2312" w:eastAsia="仿宋_GB2312" w:cs="仿宋_GB2312"/>
          <w:bCs/>
          <w:sz w:val="32"/>
          <w:szCs w:val="32"/>
        </w:rPr>
      </w:pPr>
      <w:r>
        <w:rPr>
          <w:rFonts w:hint="eastAsia" w:ascii="黑体" w:hAnsi="黑体" w:eastAsia="黑体" w:cs="仿宋_GB2312"/>
          <w:b/>
          <w:bCs/>
          <w:sz w:val="28"/>
          <w:szCs w:val="28"/>
        </w:rPr>
        <w:t>表</w:t>
      </w:r>
      <w:r>
        <w:rPr>
          <w:rFonts w:ascii="黑体" w:hAnsi="黑体" w:eastAsia="黑体" w:cs="仿宋_GB2312"/>
          <w:b/>
          <w:bCs/>
          <w:sz w:val="28"/>
          <w:szCs w:val="28"/>
        </w:rPr>
        <w:t>3-8</w:t>
      </w:r>
      <w:r>
        <w:rPr>
          <w:rFonts w:hint="eastAsia" w:ascii="黑体" w:hAnsi="黑体" w:eastAsia="黑体" w:cs="仿宋_GB2312"/>
          <w:b/>
          <w:bCs/>
          <w:sz w:val="28"/>
          <w:szCs w:val="28"/>
        </w:rPr>
        <w:t>公众对垃圾分类激励工作满意度调查数据</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7"/>
        <w:gridCol w:w="1732"/>
        <w:gridCol w:w="1943"/>
        <w:gridCol w:w="1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6" w:type="pct"/>
            <w:vAlign w:val="center"/>
          </w:tcPr>
          <w:p>
            <w:pPr>
              <w:widowControl/>
              <w:jc w:val="center"/>
              <w:rPr>
                <w:rFonts w:ascii="宋体" w:hAnsi="宋体" w:cs="宋体"/>
                <w:b/>
                <w:bCs/>
              </w:rPr>
            </w:pPr>
            <w:r>
              <w:rPr>
                <w:rFonts w:ascii="宋体" w:hAnsi="宋体" w:cs="宋体"/>
                <w:b/>
                <w:bCs/>
              </w:rPr>
              <w:t>选项</w:t>
            </w:r>
          </w:p>
        </w:tc>
        <w:tc>
          <w:tcPr>
            <w:tcW w:w="1016" w:type="pct"/>
            <w:noWrap/>
            <w:vAlign w:val="center"/>
          </w:tcPr>
          <w:p>
            <w:pPr>
              <w:widowControl/>
              <w:jc w:val="center"/>
              <w:rPr>
                <w:rFonts w:ascii="宋体" w:hAnsi="宋体" w:cs="宋体"/>
                <w:b/>
                <w:bCs/>
              </w:rPr>
            </w:pPr>
            <w:r>
              <w:rPr>
                <w:rFonts w:ascii="宋体" w:hAnsi="宋体" w:cs="宋体"/>
                <w:b/>
                <w:bCs/>
              </w:rPr>
              <w:t>小计</w:t>
            </w:r>
          </w:p>
        </w:tc>
        <w:tc>
          <w:tcPr>
            <w:tcW w:w="1140" w:type="pct"/>
            <w:vAlign w:val="center"/>
          </w:tcPr>
          <w:p>
            <w:pPr>
              <w:widowControl/>
              <w:jc w:val="center"/>
              <w:rPr>
                <w:rFonts w:ascii="宋体" w:hAnsi="宋体" w:cs="宋体"/>
                <w:b/>
                <w:bCs/>
              </w:rPr>
            </w:pPr>
            <w:r>
              <w:rPr>
                <w:rFonts w:hint="eastAsia" w:ascii="宋体" w:hAnsi="宋体" w:cs="宋体"/>
                <w:b/>
                <w:bCs/>
              </w:rPr>
              <w:t>占比</w:t>
            </w:r>
          </w:p>
        </w:tc>
        <w:tc>
          <w:tcPr>
            <w:tcW w:w="1139" w:type="pct"/>
            <w:vAlign w:val="center"/>
          </w:tcPr>
          <w:p>
            <w:pPr>
              <w:widowControl/>
              <w:jc w:val="center"/>
              <w:rPr>
                <w:rFonts w:ascii="宋体" w:hAnsi="宋体" w:cs="宋体"/>
                <w:b/>
                <w:bCs/>
              </w:rPr>
            </w:pPr>
            <w:r>
              <w:rPr>
                <w:rFonts w:hint="eastAsia" w:ascii="宋体" w:hAnsi="宋体" w:cs="宋体"/>
                <w:b/>
                <w:bCs/>
              </w:rPr>
              <w:t>累计占比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6" w:type="pct"/>
            <w:vAlign w:val="center"/>
          </w:tcPr>
          <w:p>
            <w:pPr>
              <w:widowControl/>
              <w:jc w:val="center"/>
              <w:rPr>
                <w:rFonts w:ascii="宋体" w:hAnsi="宋体" w:cs="宋体"/>
              </w:rPr>
            </w:pPr>
            <w:r>
              <w:rPr>
                <w:rFonts w:ascii="宋体" w:hAnsi="宋体" w:cs="宋体"/>
              </w:rPr>
              <w:t>非常满意</w:t>
            </w:r>
          </w:p>
        </w:tc>
        <w:tc>
          <w:tcPr>
            <w:tcW w:w="1016" w:type="pct"/>
            <w:vAlign w:val="center"/>
          </w:tcPr>
          <w:p>
            <w:pPr>
              <w:widowControl/>
              <w:jc w:val="center"/>
              <w:rPr>
                <w:rFonts w:ascii="宋体" w:hAnsi="宋体" w:cs="宋体"/>
              </w:rPr>
            </w:pPr>
            <w:r>
              <w:rPr>
                <w:rFonts w:ascii="宋体" w:hAnsi="宋体" w:cs="宋体"/>
              </w:rPr>
              <w:t>373</w:t>
            </w:r>
          </w:p>
        </w:tc>
        <w:tc>
          <w:tcPr>
            <w:tcW w:w="1140" w:type="pct"/>
            <w:vAlign w:val="center"/>
          </w:tcPr>
          <w:p>
            <w:pPr>
              <w:widowControl/>
              <w:jc w:val="center"/>
              <w:rPr>
                <w:rFonts w:ascii="宋体" w:hAnsi="宋体" w:cs="宋体"/>
              </w:rPr>
            </w:pPr>
            <w:r>
              <w:rPr>
                <w:rFonts w:ascii="宋体" w:hAnsi="宋体" w:cs="宋体"/>
              </w:rPr>
              <w:t>55.67%</w:t>
            </w:r>
          </w:p>
        </w:tc>
        <w:tc>
          <w:tcPr>
            <w:tcW w:w="1139" w:type="pct"/>
            <w:vAlign w:val="center"/>
          </w:tcPr>
          <w:p>
            <w:pPr>
              <w:widowControl/>
              <w:jc w:val="center"/>
              <w:rPr>
                <w:rFonts w:ascii="宋体" w:hAnsi="宋体" w:cs="宋体"/>
              </w:rPr>
            </w:pPr>
            <w:r>
              <w:rPr>
                <w:rFonts w:hint="eastAsia" w:ascii="宋体" w:hAnsi="宋体" w:cs="宋体"/>
              </w:rPr>
              <w:t>5</w:t>
            </w:r>
            <w:r>
              <w:rPr>
                <w:rFonts w:ascii="宋体" w:hAnsi="宋体" w:cs="宋体"/>
              </w:rPr>
              <w:t>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6" w:type="pct"/>
            <w:vAlign w:val="center"/>
          </w:tcPr>
          <w:p>
            <w:pPr>
              <w:widowControl/>
              <w:jc w:val="center"/>
              <w:rPr>
                <w:rFonts w:ascii="宋体" w:hAnsi="宋体" w:cs="宋体"/>
              </w:rPr>
            </w:pPr>
            <w:r>
              <w:rPr>
                <w:rFonts w:ascii="宋体" w:hAnsi="宋体" w:cs="宋体"/>
              </w:rPr>
              <w:t>比较满意</w:t>
            </w:r>
          </w:p>
        </w:tc>
        <w:tc>
          <w:tcPr>
            <w:tcW w:w="1016" w:type="pct"/>
            <w:vAlign w:val="center"/>
          </w:tcPr>
          <w:p>
            <w:pPr>
              <w:widowControl/>
              <w:jc w:val="center"/>
              <w:rPr>
                <w:rFonts w:ascii="宋体" w:hAnsi="宋体" w:cs="宋体"/>
              </w:rPr>
            </w:pPr>
            <w:r>
              <w:rPr>
                <w:rFonts w:ascii="宋体" w:hAnsi="宋体" w:cs="宋体"/>
              </w:rPr>
              <w:t>201</w:t>
            </w:r>
          </w:p>
        </w:tc>
        <w:tc>
          <w:tcPr>
            <w:tcW w:w="1140" w:type="pct"/>
            <w:vAlign w:val="center"/>
          </w:tcPr>
          <w:p>
            <w:pPr>
              <w:widowControl/>
              <w:jc w:val="center"/>
              <w:rPr>
                <w:rFonts w:ascii="宋体" w:hAnsi="宋体" w:cs="宋体"/>
              </w:rPr>
            </w:pPr>
            <w:r>
              <w:rPr>
                <w:rFonts w:ascii="宋体" w:hAnsi="宋体" w:cs="宋体"/>
              </w:rPr>
              <w:t>30%</w:t>
            </w:r>
          </w:p>
        </w:tc>
        <w:tc>
          <w:tcPr>
            <w:tcW w:w="1139" w:type="pct"/>
            <w:vAlign w:val="center"/>
          </w:tcPr>
          <w:p>
            <w:pPr>
              <w:widowControl/>
              <w:jc w:val="center"/>
              <w:rPr>
                <w:rFonts w:ascii="宋体" w:hAnsi="宋体" w:cs="宋体"/>
              </w:rPr>
            </w:pPr>
            <w:r>
              <w:rPr>
                <w:rFonts w:hint="eastAsia" w:ascii="宋体" w:hAnsi="宋体" w:cs="宋体"/>
              </w:rPr>
              <w:t>8</w:t>
            </w:r>
            <w:r>
              <w:rPr>
                <w:rFonts w:ascii="宋体" w:hAnsi="宋体" w:cs="宋体"/>
              </w:rPr>
              <w:t>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6" w:type="pct"/>
            <w:vAlign w:val="center"/>
          </w:tcPr>
          <w:p>
            <w:pPr>
              <w:widowControl/>
              <w:jc w:val="center"/>
              <w:rPr>
                <w:rFonts w:ascii="宋体" w:hAnsi="宋体" w:cs="宋体"/>
              </w:rPr>
            </w:pPr>
            <w:r>
              <w:rPr>
                <w:rFonts w:ascii="宋体" w:hAnsi="宋体" w:cs="宋体"/>
              </w:rPr>
              <w:t>一般</w:t>
            </w:r>
          </w:p>
        </w:tc>
        <w:tc>
          <w:tcPr>
            <w:tcW w:w="1016" w:type="pct"/>
            <w:vAlign w:val="center"/>
          </w:tcPr>
          <w:p>
            <w:pPr>
              <w:widowControl/>
              <w:jc w:val="center"/>
              <w:rPr>
                <w:rFonts w:ascii="宋体" w:hAnsi="宋体" w:cs="宋体"/>
              </w:rPr>
            </w:pPr>
            <w:r>
              <w:rPr>
                <w:rFonts w:ascii="宋体" w:hAnsi="宋体" w:cs="宋体"/>
              </w:rPr>
              <w:t>86</w:t>
            </w:r>
          </w:p>
        </w:tc>
        <w:tc>
          <w:tcPr>
            <w:tcW w:w="1140" w:type="pct"/>
            <w:vAlign w:val="center"/>
          </w:tcPr>
          <w:p>
            <w:pPr>
              <w:widowControl/>
              <w:jc w:val="center"/>
              <w:rPr>
                <w:rFonts w:ascii="宋体" w:hAnsi="宋体" w:cs="宋体"/>
              </w:rPr>
            </w:pPr>
            <w:r>
              <w:rPr>
                <w:rFonts w:ascii="宋体" w:hAnsi="宋体" w:cs="宋体"/>
              </w:rPr>
              <w:t>12.84%</w:t>
            </w:r>
          </w:p>
        </w:tc>
        <w:tc>
          <w:tcPr>
            <w:tcW w:w="1139" w:type="pct"/>
            <w:vAlign w:val="center"/>
          </w:tcPr>
          <w:p>
            <w:pPr>
              <w:widowControl/>
              <w:jc w:val="center"/>
              <w:rPr>
                <w:rFonts w:ascii="宋体" w:hAnsi="宋体" w:cs="宋体"/>
              </w:rPr>
            </w:pPr>
            <w:r>
              <w:rPr>
                <w:rFonts w:hint="eastAsia" w:ascii="宋体" w:hAnsi="宋体" w:cs="宋体"/>
              </w:rPr>
              <w:t>9</w:t>
            </w:r>
            <w:r>
              <w:rPr>
                <w:rFonts w:ascii="宋体" w:hAnsi="宋体" w:cs="宋体"/>
              </w:rPr>
              <w:t>8.51%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6" w:type="pct"/>
            <w:vAlign w:val="center"/>
          </w:tcPr>
          <w:p>
            <w:pPr>
              <w:widowControl/>
              <w:jc w:val="center"/>
              <w:rPr>
                <w:rFonts w:ascii="宋体" w:hAnsi="宋体" w:cs="宋体"/>
              </w:rPr>
            </w:pPr>
            <w:r>
              <w:rPr>
                <w:rFonts w:ascii="宋体" w:hAnsi="宋体" w:cs="宋体"/>
              </w:rPr>
              <w:t>比较不满意</w:t>
            </w:r>
          </w:p>
        </w:tc>
        <w:tc>
          <w:tcPr>
            <w:tcW w:w="1016" w:type="pct"/>
            <w:vAlign w:val="center"/>
          </w:tcPr>
          <w:p>
            <w:pPr>
              <w:widowControl/>
              <w:jc w:val="center"/>
              <w:rPr>
                <w:rFonts w:ascii="宋体" w:hAnsi="宋体" w:cs="宋体"/>
              </w:rPr>
            </w:pPr>
            <w:r>
              <w:rPr>
                <w:rFonts w:ascii="宋体" w:hAnsi="宋体" w:cs="宋体"/>
              </w:rPr>
              <w:t>3</w:t>
            </w:r>
          </w:p>
        </w:tc>
        <w:tc>
          <w:tcPr>
            <w:tcW w:w="1140" w:type="pct"/>
            <w:vAlign w:val="center"/>
          </w:tcPr>
          <w:p>
            <w:pPr>
              <w:widowControl/>
              <w:jc w:val="center"/>
              <w:rPr>
                <w:rFonts w:ascii="宋体" w:hAnsi="宋体" w:cs="宋体"/>
              </w:rPr>
            </w:pPr>
            <w:r>
              <w:rPr>
                <w:rFonts w:ascii="宋体" w:hAnsi="宋体" w:cs="宋体"/>
              </w:rPr>
              <w:t>0.45%</w:t>
            </w:r>
          </w:p>
        </w:tc>
        <w:tc>
          <w:tcPr>
            <w:tcW w:w="1139" w:type="pct"/>
            <w:vAlign w:val="center"/>
          </w:tcPr>
          <w:p>
            <w:pPr>
              <w:widowControl/>
              <w:jc w:val="center"/>
              <w:rPr>
                <w:rFonts w:ascii="宋体" w:hAnsi="宋体" w:cs="宋体"/>
              </w:rPr>
            </w:pPr>
            <w:r>
              <w:rPr>
                <w:rFonts w:hint="eastAsia" w:ascii="宋体" w:hAnsi="宋体" w:cs="宋体"/>
              </w:rPr>
              <w:t>9</w:t>
            </w:r>
            <w:r>
              <w:rPr>
                <w:rFonts w:ascii="宋体" w:hAnsi="宋体" w:cs="宋体"/>
              </w:rPr>
              <w:t>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6" w:type="pct"/>
            <w:vAlign w:val="center"/>
          </w:tcPr>
          <w:p>
            <w:pPr>
              <w:widowControl/>
              <w:jc w:val="center"/>
              <w:rPr>
                <w:rFonts w:ascii="宋体" w:hAnsi="宋体" w:cs="宋体"/>
              </w:rPr>
            </w:pPr>
            <w:r>
              <w:rPr>
                <w:rFonts w:ascii="宋体" w:hAnsi="宋体" w:cs="宋体"/>
              </w:rPr>
              <w:t>非常不满意</w:t>
            </w:r>
          </w:p>
        </w:tc>
        <w:tc>
          <w:tcPr>
            <w:tcW w:w="1016" w:type="pct"/>
            <w:vAlign w:val="center"/>
          </w:tcPr>
          <w:p>
            <w:pPr>
              <w:widowControl/>
              <w:jc w:val="center"/>
              <w:rPr>
                <w:rFonts w:ascii="宋体" w:hAnsi="宋体" w:cs="宋体"/>
              </w:rPr>
            </w:pPr>
            <w:r>
              <w:rPr>
                <w:rFonts w:ascii="宋体" w:hAnsi="宋体" w:cs="宋体"/>
              </w:rPr>
              <w:t>7</w:t>
            </w:r>
          </w:p>
        </w:tc>
        <w:tc>
          <w:tcPr>
            <w:tcW w:w="1140" w:type="pct"/>
            <w:vAlign w:val="center"/>
          </w:tcPr>
          <w:p>
            <w:pPr>
              <w:widowControl/>
              <w:jc w:val="center"/>
              <w:rPr>
                <w:rFonts w:ascii="宋体" w:hAnsi="宋体" w:cs="宋体"/>
              </w:rPr>
            </w:pPr>
            <w:r>
              <w:rPr>
                <w:rFonts w:ascii="宋体" w:hAnsi="宋体" w:cs="宋体"/>
              </w:rPr>
              <w:t>1.04%</w:t>
            </w:r>
          </w:p>
        </w:tc>
        <w:tc>
          <w:tcPr>
            <w:tcW w:w="1139" w:type="pct"/>
            <w:vAlign w:val="center"/>
          </w:tcPr>
          <w:p>
            <w:pPr>
              <w:widowControl/>
              <w:jc w:val="center"/>
              <w:rPr>
                <w:rFonts w:ascii="宋体" w:hAnsi="宋体" w:cs="宋体"/>
              </w:rPr>
            </w:pPr>
            <w:r>
              <w:rPr>
                <w:rFonts w:hint="eastAsia" w:ascii="宋体" w:hAnsi="宋体" w:cs="宋体"/>
              </w:rPr>
              <w:t>1</w:t>
            </w:r>
            <w:r>
              <w:rPr>
                <w:rFonts w:ascii="宋体" w:hAnsi="宋体" w:cs="宋体"/>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6" w:type="pct"/>
            <w:vAlign w:val="center"/>
          </w:tcPr>
          <w:p>
            <w:pPr>
              <w:widowControl/>
              <w:jc w:val="center"/>
              <w:rPr>
                <w:rFonts w:ascii="宋体" w:hAnsi="宋体" w:cs="宋体"/>
                <w:b/>
                <w:bCs/>
              </w:rPr>
            </w:pPr>
            <w:r>
              <w:rPr>
                <w:rFonts w:ascii="宋体" w:hAnsi="宋体" w:cs="宋体"/>
                <w:b/>
                <w:bCs/>
              </w:rPr>
              <w:t>本题有效填写人次</w:t>
            </w:r>
          </w:p>
        </w:tc>
        <w:tc>
          <w:tcPr>
            <w:tcW w:w="1016" w:type="pct"/>
            <w:vAlign w:val="center"/>
          </w:tcPr>
          <w:p>
            <w:pPr>
              <w:widowControl/>
              <w:jc w:val="center"/>
              <w:rPr>
                <w:rFonts w:ascii="宋体" w:hAnsi="宋体" w:cs="宋体"/>
                <w:b/>
                <w:bCs/>
              </w:rPr>
            </w:pPr>
            <w:r>
              <w:rPr>
                <w:rFonts w:ascii="宋体" w:hAnsi="宋体" w:cs="宋体"/>
                <w:b/>
                <w:bCs/>
              </w:rPr>
              <w:t>670</w:t>
            </w:r>
          </w:p>
        </w:tc>
        <w:tc>
          <w:tcPr>
            <w:tcW w:w="1140" w:type="pct"/>
            <w:vAlign w:val="center"/>
          </w:tcPr>
          <w:p>
            <w:pPr>
              <w:widowControl/>
              <w:jc w:val="center"/>
              <w:rPr>
                <w:rFonts w:ascii="宋体" w:hAnsi="宋体" w:cs="宋体"/>
                <w:b/>
                <w:bCs/>
              </w:rPr>
            </w:pPr>
            <w:r>
              <w:rPr>
                <w:rFonts w:hint="eastAsia" w:ascii="宋体" w:hAnsi="宋体" w:cs="宋体"/>
                <w:b/>
                <w:bCs/>
              </w:rPr>
              <w:t>1</w:t>
            </w:r>
            <w:r>
              <w:rPr>
                <w:rFonts w:ascii="宋体" w:hAnsi="宋体" w:cs="宋体"/>
                <w:b/>
                <w:bCs/>
              </w:rPr>
              <w:t>00%</w:t>
            </w:r>
          </w:p>
        </w:tc>
        <w:tc>
          <w:tcPr>
            <w:tcW w:w="1139" w:type="pct"/>
            <w:vAlign w:val="center"/>
          </w:tcPr>
          <w:p>
            <w:pPr>
              <w:widowControl/>
              <w:jc w:val="center"/>
              <w:rPr>
                <w:rFonts w:ascii="宋体" w:hAnsi="宋体" w:cs="宋体"/>
                <w:b/>
                <w:bCs/>
              </w:rPr>
            </w:pPr>
            <w:r>
              <w:rPr>
                <w:rFonts w:hint="eastAsia" w:ascii="宋体" w:hAnsi="宋体" w:cs="宋体"/>
                <w:b/>
                <w:bCs/>
              </w:rPr>
              <w:t>-</w:t>
            </w:r>
          </w:p>
        </w:tc>
      </w:tr>
    </w:tbl>
    <w:p>
      <w:pPr>
        <w:spacing w:line="560" w:lineRule="exact"/>
        <w:ind w:firstLine="642" w:firstLineChars="200"/>
        <w:rPr>
          <w:rFonts w:ascii="仿宋_GB2312" w:eastAsia="仿宋_GB2312" w:cs="仿宋_GB2312"/>
          <w:bCs/>
          <w:sz w:val="32"/>
          <w:szCs w:val="32"/>
        </w:rPr>
      </w:pPr>
      <w:r>
        <w:rPr>
          <w:rFonts w:hint="eastAsia" w:ascii="仿宋_GB2312" w:eastAsia="仿宋_GB2312" w:cs="仿宋_GB2312"/>
          <w:b/>
          <w:sz w:val="32"/>
          <w:szCs w:val="32"/>
        </w:rPr>
        <w:t>公众对垃圾分类工作满意度：</w:t>
      </w:r>
      <w:r>
        <w:rPr>
          <w:rFonts w:hint="eastAsia" w:ascii="仿宋_GB2312" w:eastAsia="仿宋_GB2312" w:cs="仿宋_GB2312"/>
          <w:bCs/>
          <w:sz w:val="32"/>
          <w:szCs w:val="32"/>
        </w:rPr>
        <w:t>依据本次绩效评价关于龙华区生活垃圾分类及其激励政策的相关问卷调查统计结果得知，总共收集有效问卷</w:t>
      </w:r>
      <w:r>
        <w:rPr>
          <w:rFonts w:ascii="仿宋_GB2312" w:eastAsia="仿宋_GB2312" w:cs="仿宋_GB2312"/>
          <w:bCs/>
          <w:sz w:val="32"/>
          <w:szCs w:val="32"/>
        </w:rPr>
        <w:t>670</w:t>
      </w:r>
      <w:r>
        <w:rPr>
          <w:rFonts w:hint="eastAsia" w:ascii="仿宋_GB2312" w:eastAsia="仿宋_GB2312" w:cs="仿宋_GB2312"/>
          <w:bCs/>
          <w:sz w:val="32"/>
          <w:szCs w:val="32"/>
        </w:rPr>
        <w:t>份，其中公众对垃圾分类工作满意度为</w:t>
      </w:r>
      <w:r>
        <w:rPr>
          <w:rFonts w:ascii="仿宋_GB2312" w:eastAsia="仿宋_GB2312" w:cs="仿宋_GB2312"/>
          <w:bCs/>
          <w:sz w:val="32"/>
          <w:szCs w:val="32"/>
        </w:rPr>
        <w:t>91.65</w:t>
      </w:r>
      <w:r>
        <w:rPr>
          <w:rFonts w:hint="eastAsia" w:ascii="仿宋_GB2312" w:eastAsia="仿宋_GB2312" w:cs="仿宋_GB2312"/>
          <w:bCs/>
          <w:sz w:val="32"/>
          <w:szCs w:val="32"/>
        </w:rPr>
        <w:t>%，达到预期目标，得满分</w:t>
      </w:r>
      <w:r>
        <w:rPr>
          <w:rFonts w:ascii="仿宋_GB2312" w:eastAsia="仿宋_GB2312" w:cs="仿宋_GB2312"/>
          <w:bCs/>
          <w:sz w:val="32"/>
          <w:szCs w:val="32"/>
        </w:rPr>
        <w:t>5</w:t>
      </w:r>
      <w:r>
        <w:rPr>
          <w:rFonts w:hint="eastAsia" w:ascii="仿宋_GB2312" w:eastAsia="仿宋_GB2312" w:cs="仿宋_GB2312"/>
          <w:bCs/>
          <w:sz w:val="32"/>
          <w:szCs w:val="32"/>
        </w:rPr>
        <w:t>分。</w:t>
      </w:r>
    </w:p>
    <w:p>
      <w:pPr>
        <w:spacing w:line="560" w:lineRule="exact"/>
        <w:ind w:firstLine="640" w:firstLineChars="200"/>
        <w:rPr>
          <w:rFonts w:ascii="仿宋_GB2312" w:eastAsia="仿宋_GB2312" w:cs="仿宋_GB2312"/>
          <w:bCs/>
          <w:sz w:val="32"/>
          <w:szCs w:val="32"/>
        </w:rPr>
      </w:pPr>
    </w:p>
    <w:p>
      <w:pPr>
        <w:spacing w:line="560" w:lineRule="exact"/>
        <w:ind w:firstLine="400" w:firstLineChars="200"/>
        <w:jc w:val="center"/>
        <w:rPr>
          <w:rFonts w:ascii="仿宋_GB2312" w:eastAsia="仿宋_GB2312" w:cs="仿宋_GB2312"/>
          <w:bCs/>
          <w:sz w:val="32"/>
          <w:szCs w:val="32"/>
        </w:rPr>
      </w:pPr>
      <w:r>
        <w:drawing>
          <wp:anchor distT="0" distB="0" distL="114300" distR="114300" simplePos="0" relativeHeight="251673600" behindDoc="0" locked="0" layoutInCell="1" allowOverlap="1">
            <wp:simplePos x="0" y="0"/>
            <wp:positionH relativeFrom="column">
              <wp:posOffset>516890</wp:posOffset>
            </wp:positionH>
            <wp:positionV relativeFrom="paragraph">
              <wp:posOffset>189865</wp:posOffset>
            </wp:positionV>
            <wp:extent cx="4813300" cy="2446655"/>
            <wp:effectExtent l="0" t="0" r="6350" b="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0"/>
                    <a:stretch>
                      <a:fillRect/>
                    </a:stretch>
                  </pic:blipFill>
                  <pic:spPr>
                    <a:xfrm>
                      <a:off x="0" y="0"/>
                      <a:ext cx="4813300" cy="2446655"/>
                    </a:xfrm>
                    <a:prstGeom prst="rect">
                      <a:avLst/>
                    </a:prstGeom>
                  </pic:spPr>
                </pic:pic>
              </a:graphicData>
            </a:graphic>
          </wp:anchor>
        </w:drawing>
      </w:r>
      <w:r>
        <w:rPr>
          <w:rFonts w:hint="eastAsia" w:ascii="仿宋_GB2312" w:eastAsia="仿宋_GB2312" w:cs="仿宋_GB2312"/>
          <w:bCs/>
          <w:sz w:val="32"/>
          <w:szCs w:val="32"/>
        </w:rPr>
        <w:t>图</w:t>
      </w:r>
      <w:r>
        <w:rPr>
          <w:rFonts w:ascii="仿宋_GB2312" w:eastAsia="仿宋_GB2312" w:cs="仿宋_GB2312"/>
          <w:bCs/>
          <w:sz w:val="32"/>
          <w:szCs w:val="32"/>
        </w:rPr>
        <w:t xml:space="preserve">2 </w:t>
      </w:r>
      <w:r>
        <w:rPr>
          <w:rFonts w:hint="eastAsia" w:ascii="仿宋_GB2312" w:eastAsia="仿宋_GB2312" w:cs="仿宋_GB2312"/>
          <w:bCs/>
          <w:sz w:val="32"/>
          <w:szCs w:val="32"/>
        </w:rPr>
        <w:t>垃圾分类工作满意度调查</w:t>
      </w:r>
    </w:p>
    <w:p>
      <w:pPr>
        <w:spacing w:line="560" w:lineRule="exact"/>
        <w:ind w:firstLine="640" w:firstLineChars="200"/>
        <w:outlineLvl w:val="0"/>
        <w:rPr>
          <w:rFonts w:ascii="黑体" w:hAnsi="黑体" w:eastAsia="黑体" w:cs="黑体"/>
          <w:sz w:val="32"/>
          <w:szCs w:val="32"/>
        </w:rPr>
      </w:pPr>
      <w:bookmarkStart w:id="24" w:name="_Toc148104152"/>
      <w:r>
        <w:rPr>
          <w:rFonts w:hint="eastAsia" w:ascii="黑体" w:hAnsi="黑体" w:eastAsia="黑体" w:cs="黑体"/>
          <w:sz w:val="32"/>
          <w:szCs w:val="32"/>
        </w:rPr>
        <w:t>四、主要经验及做法</w:t>
      </w:r>
      <w:bookmarkEnd w:id="24"/>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022</w:t>
      </w:r>
      <w:r>
        <w:rPr>
          <w:rFonts w:hint="eastAsia" w:ascii="仿宋_GB2312" w:hAnsi="仿宋_GB2312" w:eastAsia="仿宋_GB2312" w:cs="仿宋_GB2312"/>
          <w:sz w:val="32"/>
          <w:szCs w:val="32"/>
        </w:rPr>
        <w:t>年以来，区城管和综合执法局高度重视垃圾分类工作，以“1+2+3+4”工作方法为依托（即围绕一个目标、建立两个制度、抓牢三个端口、强化四个引领），持续完善生活垃圾分类投放、收集、运输、处置全链条体系，在全市首创“分类导师”新制度、“执法直播”新模式，分类执法排名全市第一，厨余垃圾分类率达25.64%，形成了推动垃圾分类、源头减量落地实施的强大合力。</w:t>
      </w:r>
    </w:p>
    <w:p>
      <w:pPr>
        <w:spacing w:line="560" w:lineRule="exact"/>
        <w:ind w:firstLine="642" w:firstLineChars="200"/>
        <w:outlineLvl w:val="1"/>
        <w:rPr>
          <w:rFonts w:ascii="楷体_GB2312" w:eastAsia="楷体_GB2312" w:cs="仿宋_GB2312"/>
          <w:b/>
          <w:bCs/>
          <w:sz w:val="32"/>
          <w:szCs w:val="32"/>
        </w:rPr>
      </w:pPr>
      <w:bookmarkStart w:id="25" w:name="_Toc148104153"/>
      <w:r>
        <w:rPr>
          <w:rFonts w:hint="eastAsia" w:ascii="楷体_GB2312" w:eastAsia="楷体_GB2312" w:cs="仿宋_GB2312"/>
          <w:b/>
          <w:bCs/>
          <w:sz w:val="32"/>
          <w:szCs w:val="32"/>
        </w:rPr>
        <w:t>（一）围绕“一个目标”，精准发力谋篇布局。</w:t>
      </w:r>
      <w:bookmarkEnd w:id="25"/>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将生活垃圾分类工作作为“一把手工程”，实行党委统一领导、党政齐抓共管，分别在区及6个街道成立了推进生活垃圾分类工作指挥部，由区政府主要领导以及6个街道办主要领导担任总指挥，明确各级任务目标及职责，强化垃圾分类工作统筹协调，凝聚全区合力推进垃圾分类工作，持续提高全区生活垃圾分类减量化、资源化、无害化的综合水平。</w:t>
      </w:r>
    </w:p>
    <w:p>
      <w:pPr>
        <w:spacing w:line="560" w:lineRule="exact"/>
        <w:ind w:firstLine="642" w:firstLineChars="200"/>
        <w:outlineLvl w:val="1"/>
        <w:rPr>
          <w:rFonts w:ascii="楷体_GB2312" w:eastAsia="楷体_GB2312" w:cs="仿宋_GB2312"/>
          <w:b/>
          <w:bCs/>
          <w:sz w:val="32"/>
          <w:szCs w:val="32"/>
        </w:rPr>
      </w:pPr>
      <w:bookmarkStart w:id="26" w:name="_Toc148104154"/>
      <w:r>
        <w:rPr>
          <w:rFonts w:hint="eastAsia" w:ascii="楷体_GB2312" w:eastAsia="楷体_GB2312" w:cs="仿宋_GB2312"/>
          <w:b/>
          <w:bCs/>
          <w:sz w:val="32"/>
          <w:szCs w:val="32"/>
        </w:rPr>
        <w:t>（二）建立“两个制度”，靶向施策推进分类。</w:t>
      </w:r>
      <w:bookmarkEnd w:id="26"/>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一是建立评估机制，根据市《深圳市推进垃圾分类工作“铁十条”》精神，在区政府常务会</w:t>
      </w:r>
      <w:bookmarkStart w:id="47" w:name="_GoBack"/>
      <w:bookmarkEnd w:id="47"/>
      <w:r>
        <w:rPr>
          <w:rFonts w:hint="eastAsia" w:ascii="仿宋_GB2312" w:hAnsi="仿宋_GB2312" w:eastAsia="仿宋_GB2312" w:cs="仿宋_GB2312"/>
          <w:sz w:val="32"/>
          <w:szCs w:val="32"/>
          <w:lang w:eastAsia="zh-CN"/>
        </w:rPr>
        <w:t>议</w:t>
      </w:r>
      <w:r>
        <w:rPr>
          <w:rFonts w:hint="eastAsia" w:ascii="仿宋_GB2312" w:hAnsi="仿宋_GB2312" w:eastAsia="仿宋_GB2312" w:cs="仿宋_GB2312"/>
          <w:sz w:val="32"/>
          <w:szCs w:val="32"/>
        </w:rPr>
        <w:t>、专题会议、季度推进会定期研究生活垃圾分类工作，加强政策联动，形成工作合力。建立健全体制机制，建立红黄绿挂牌和通报制度，通过季度评估、月度测评一级抓一级、层层抓落实，健全高效运行的长效工作机制，助推全区垃圾分类工作持续、有序、深入开展。</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是全市首创“生活垃圾分类导师”制度，组建“垃圾分类导师”队伍，累计招募分类导师1766人，通过引导、督促居民正确进行垃圾分类投放，从而有效提升社区垃圾分类投放的准确率。以实施“分类导师”为切入点，通过“小队伍”推动“大变化”，深化党建引领社区共建共治共享格局。</w:t>
      </w:r>
    </w:p>
    <w:p>
      <w:pPr>
        <w:spacing w:line="560" w:lineRule="exact"/>
        <w:ind w:firstLine="642" w:firstLineChars="200"/>
        <w:outlineLvl w:val="1"/>
        <w:rPr>
          <w:rFonts w:ascii="楷体_GB2312" w:eastAsia="楷体_GB2312" w:cs="仿宋_GB2312"/>
          <w:b/>
          <w:bCs/>
          <w:sz w:val="32"/>
          <w:szCs w:val="32"/>
        </w:rPr>
      </w:pPr>
      <w:bookmarkStart w:id="27" w:name="_Toc148104155"/>
      <w:r>
        <w:rPr>
          <w:rFonts w:hint="eastAsia" w:ascii="楷体_GB2312" w:eastAsia="楷体_GB2312" w:cs="仿宋_GB2312"/>
          <w:b/>
          <w:bCs/>
          <w:sz w:val="32"/>
          <w:szCs w:val="32"/>
        </w:rPr>
        <w:t>（三）抓牢“三个端口”，分类链条闭环管理。</w:t>
      </w:r>
      <w:bookmarkEnd w:id="27"/>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垃圾分类是源头减量分类投放、分类收集、分类运输、分类处理的一个完整链条。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是前端完善基础设施配套，保障居民投放。龙华区紧紧抓牢分类全链条体系建设的要点，按照便民高效的原则科学规划垃圾分类投放点，根据分类投放收集的实际需求和增强居民现场投放体验感，对全区2274个点位的集中分类投放点进行了密闭化和标准化升级改造。</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二是中端建立集中收运体系，规范收运流程。全区各街道通过配备专业的垃圾分类收运车辆和人员队伍，对各暂存点实行精准对接、推行分级收运，再交由特许经营收运企业进行收运处置。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是后端实现资源化利用，形成闭环管理。根据厨余垃圾、可回收物、有害垃圾和其他垃圾处理工艺的不同需求，建立厨余垃圾处理厂1个、废旧家具处理厂2个、绿化垃圾处理点1个，在所有街道各建设1个全品类玻金塑纸分拣中心、加强家用化学品回收宣传，并委托专业企业开展家用化学品回收试点工作；推动分类运输车辆新能源化，提高占比至70.3%。</w:t>
      </w:r>
    </w:p>
    <w:p>
      <w:pPr>
        <w:spacing w:line="560" w:lineRule="exact"/>
        <w:ind w:firstLine="642" w:firstLineChars="200"/>
        <w:outlineLvl w:val="1"/>
        <w:rPr>
          <w:rFonts w:ascii="楷体_GB2312" w:eastAsia="楷体_GB2312" w:cs="仿宋_GB2312"/>
          <w:b/>
          <w:bCs/>
          <w:sz w:val="32"/>
          <w:szCs w:val="32"/>
        </w:rPr>
      </w:pPr>
      <w:bookmarkStart w:id="28" w:name="_Toc148104156"/>
      <w:r>
        <w:rPr>
          <w:rFonts w:hint="eastAsia" w:ascii="楷体_GB2312" w:eastAsia="楷体_GB2312" w:cs="仿宋_GB2312"/>
          <w:b/>
          <w:bCs/>
          <w:sz w:val="32"/>
          <w:szCs w:val="32"/>
        </w:rPr>
        <w:t>（四）强化“四个引领”，多管齐下力促分类。</w:t>
      </w:r>
      <w:bookmarkEnd w:id="28"/>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一是强化党建引领。将垃圾分类融入基层治理体系，充分发挥党支部战斗堡垒作用和党员先锋模范作用，社区党员化身垃圾分类的宣传者、实践者，结合主题党日、在职党员进社区等活动，开展志愿督导服务。2</w:t>
      </w:r>
      <w:r>
        <w:rPr>
          <w:rFonts w:ascii="仿宋_GB2312" w:hAnsi="仿宋_GB2312" w:eastAsia="仿宋_GB2312" w:cs="仿宋_GB2312"/>
          <w:sz w:val="32"/>
          <w:szCs w:val="32"/>
        </w:rPr>
        <w:t>022</w:t>
      </w:r>
      <w:r>
        <w:rPr>
          <w:rFonts w:hint="eastAsia" w:ascii="仿宋_GB2312" w:hAnsi="仿宋_GB2312" w:eastAsia="仿宋_GB2312" w:cs="仿宋_GB2312"/>
          <w:sz w:val="32"/>
          <w:szCs w:val="32"/>
        </w:rPr>
        <w:t>年以来，全区党员、公职人员志愿督导2万人次。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二是强化导师引领。各街道办事处积极动员辖区参与，为上岗的垃圾分类导师“绶带”颁发聘书，激励“分类导师”在垃圾分类的新时尚中发光发热。2</w:t>
      </w:r>
      <w:r>
        <w:rPr>
          <w:rFonts w:ascii="仿宋_GB2312" w:hAnsi="仿宋_GB2312" w:eastAsia="仿宋_GB2312" w:cs="仿宋_GB2312"/>
          <w:sz w:val="32"/>
          <w:szCs w:val="32"/>
        </w:rPr>
        <w:t>022</w:t>
      </w:r>
      <w:r>
        <w:rPr>
          <w:rFonts w:hint="eastAsia" w:ascii="仿宋_GB2312" w:hAnsi="仿宋_GB2312" w:eastAsia="仿宋_GB2312" w:cs="仿宋_GB2312"/>
          <w:sz w:val="32"/>
          <w:szCs w:val="32"/>
        </w:rPr>
        <w:t>年全区56个社区已完成分类导师队伍组建工作，累计招募分类导师1766人，开展入户宣传1747场次、培训宣讲1061场次。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是强化宣教引领。发放分类指引及《条例》手册约73.9万份、张贴海报约2.1万张、播放视频超20万次，开展主题活动20余场、各类培训800余场、入户宣讲约87.2万户（覆盖率达93.37%）。摄制《餐饮场所垃圾分类指引》《果蔬门店、农贸市场、大型商超生鲜区垃圾分类指引》等短视频，在商超和市场电子屏滚动播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四是强化奖惩引领。为调动垃圾投放管理人和投放义务人参与垃圾分类的积极性和主动性，202</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年奖励</w:t>
      </w:r>
      <w:r>
        <w:rPr>
          <w:rFonts w:ascii="仿宋_GB2312" w:hAnsi="仿宋_GB2312" w:eastAsia="仿宋_GB2312" w:cs="仿宋_GB2312"/>
          <w:sz w:val="32"/>
          <w:szCs w:val="32"/>
        </w:rPr>
        <w:t>45</w:t>
      </w:r>
      <w:r>
        <w:rPr>
          <w:rFonts w:hint="eastAsia" w:ascii="仿宋_GB2312" w:hAnsi="仿宋_GB2312" w:eastAsia="仿宋_GB2312" w:cs="仿宋_GB2312"/>
          <w:sz w:val="32"/>
          <w:szCs w:val="32"/>
        </w:rPr>
        <w:t>个绿色单位、</w:t>
      </w:r>
      <w:r>
        <w:rPr>
          <w:rFonts w:ascii="仿宋_GB2312" w:hAnsi="仿宋_GB2312" w:eastAsia="仿宋_GB2312" w:cs="仿宋_GB2312"/>
          <w:sz w:val="32"/>
          <w:szCs w:val="32"/>
        </w:rPr>
        <w:t>33</w:t>
      </w:r>
      <w:r>
        <w:rPr>
          <w:rFonts w:hint="eastAsia" w:ascii="仿宋_GB2312" w:hAnsi="仿宋_GB2312" w:eastAsia="仿宋_GB2312" w:cs="仿宋_GB2312"/>
          <w:sz w:val="32"/>
          <w:szCs w:val="32"/>
        </w:rPr>
        <w:t>个绿色小区、</w:t>
      </w:r>
      <w:r>
        <w:rPr>
          <w:rFonts w:ascii="仿宋_GB2312" w:hAnsi="仿宋_GB2312" w:eastAsia="仿宋_GB2312" w:cs="仿宋_GB2312"/>
          <w:sz w:val="32"/>
          <w:szCs w:val="32"/>
        </w:rPr>
        <w:t>575</w:t>
      </w:r>
      <w:r>
        <w:rPr>
          <w:rFonts w:hint="eastAsia" w:ascii="仿宋_GB2312" w:hAnsi="仿宋_GB2312" w:eastAsia="仿宋_GB2312" w:cs="仿宋_GB2312"/>
          <w:sz w:val="32"/>
          <w:szCs w:val="32"/>
        </w:rPr>
        <w:t>个好家庭和</w:t>
      </w:r>
      <w:r>
        <w:rPr>
          <w:rFonts w:ascii="仿宋_GB2312" w:hAnsi="仿宋_GB2312" w:eastAsia="仿宋_GB2312" w:cs="仿宋_GB2312"/>
          <w:sz w:val="32"/>
          <w:szCs w:val="32"/>
        </w:rPr>
        <w:t>119</w:t>
      </w:r>
      <w:r>
        <w:rPr>
          <w:rFonts w:hint="eastAsia" w:ascii="仿宋_GB2312" w:hAnsi="仿宋_GB2312" w:eastAsia="仿宋_GB2312" w:cs="仿宋_GB2312"/>
          <w:sz w:val="32"/>
          <w:szCs w:val="32"/>
        </w:rPr>
        <w:t>个先进个人，发放激励资金4</w:t>
      </w:r>
      <w:r>
        <w:rPr>
          <w:rFonts w:ascii="仿宋_GB2312" w:hAnsi="仿宋_GB2312" w:eastAsia="仿宋_GB2312" w:cs="仿宋_GB2312"/>
          <w:sz w:val="32"/>
          <w:szCs w:val="32"/>
        </w:rPr>
        <w:t>77.48</w:t>
      </w:r>
      <w:r>
        <w:rPr>
          <w:rFonts w:hint="eastAsia" w:ascii="仿宋_GB2312" w:hAnsi="仿宋_GB2312" w:eastAsia="仿宋_GB2312" w:cs="仿宋_GB2312"/>
          <w:sz w:val="32"/>
          <w:szCs w:val="32"/>
        </w:rPr>
        <w:t>万元；开展垃圾分类在线直播执法检查活动，吸引超65万网友观看；2022年累计立案1231宗，罚款774350元，分类执法排名全市第一，形成以法治力量推动辖区生活垃圾分类管理规范化的局面。</w:t>
      </w:r>
    </w:p>
    <w:p>
      <w:pPr>
        <w:spacing w:line="560" w:lineRule="exact"/>
        <w:ind w:firstLine="642" w:firstLineChars="200"/>
        <w:outlineLvl w:val="1"/>
        <w:rPr>
          <w:rFonts w:ascii="仿宋_GB2312" w:eastAsia="仿宋_GB2312" w:cs="仿宋_GB2312"/>
          <w:sz w:val="32"/>
          <w:szCs w:val="32"/>
        </w:rPr>
      </w:pPr>
      <w:bookmarkStart w:id="29" w:name="_Toc17947"/>
      <w:bookmarkStart w:id="30" w:name="_Toc20961"/>
      <w:bookmarkStart w:id="31" w:name="_Toc18263"/>
      <w:bookmarkStart w:id="32" w:name="_Toc148104157"/>
      <w:r>
        <w:rPr>
          <w:rFonts w:hint="eastAsia" w:ascii="楷体_GB2312" w:eastAsia="楷体_GB2312" w:cs="仿宋_GB2312"/>
          <w:b/>
          <w:bCs/>
          <w:sz w:val="32"/>
          <w:szCs w:val="32"/>
        </w:rPr>
        <w:t>（五）</w:t>
      </w:r>
      <w:bookmarkEnd w:id="29"/>
      <w:bookmarkEnd w:id="30"/>
      <w:bookmarkEnd w:id="31"/>
      <w:r>
        <w:rPr>
          <w:rFonts w:hint="eastAsia" w:ascii="楷体_GB2312" w:eastAsia="楷体_GB2312" w:cs="仿宋_GB2312"/>
          <w:b/>
          <w:bCs/>
          <w:sz w:val="32"/>
          <w:szCs w:val="32"/>
        </w:rPr>
        <w:t>打造执法直播品牌，创新特色宣传活动。</w:t>
      </w:r>
      <w:bookmarkEnd w:id="32"/>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一是打造垃圾分类在线直播执法品牌，区司法局联合龙华街道执法队在线直播垃圾分类执法检查，吸引超65万网友观看。通过在线直播的方式，激发民众对垃圾分类行政执法的监督热情，提升民众对垃圾分类的知晓度和认同感。12月8日下午，区城管和综合执法局联合广电在壹方天地A区开展“美丽龙华垃圾分类十二类场所专项执法直播”活动，对于十二类场所中的商超和住宅区的分类设施、分类投放情况、集中投放点等进行执法检查，现场对于存在问题开出整改通知书，并由分类导师现场讲解垃圾分类的正确做法。通过壹深圳平台直播吸引8.9万人次在线观看，既加强了执法力度，又强化了宣传推广，全面提升了垃圾分类的群众知晓度、参与度。</w:t>
      </w:r>
    </w:p>
    <w:p>
      <w:pPr>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二是开展“龙华特色”垃圾分类宣传活动。首次推出以垃圾分类减量为主题的有轨电车，在带领市民和游客领略龙华风光美景的同时，使垃圾分类减量理念深入人心；以“垃圾分类减量”主题，线上组织开展“我的分类小妙招—龙华区第二届生活垃圾分类和减量VLOG短视频大赛”，提高群众认知程度以及参与热情；面向辖区机关单位、学校、社区开展“分类代言人·我为美丽龙华代言”活动，充分发挥代言人宣教作用，带动大家积极践行垃圾分类；打造以绿植花卉为特色的公园换享市集主题宣传教育活动，使群众在践行绿色低碳生活方式的同时也为慈善事业贡献力量。</w:t>
      </w:r>
    </w:p>
    <w:p>
      <w:pPr>
        <w:spacing w:line="560" w:lineRule="exact"/>
        <w:ind w:firstLine="640" w:firstLineChars="200"/>
        <w:outlineLvl w:val="0"/>
        <w:rPr>
          <w:rFonts w:ascii="黑体" w:hAnsi="黑体" w:eastAsia="黑体" w:cs="黑体"/>
          <w:sz w:val="32"/>
          <w:szCs w:val="32"/>
        </w:rPr>
      </w:pPr>
      <w:bookmarkStart w:id="33" w:name="_Toc148104158"/>
      <w:r>
        <w:rPr>
          <w:rFonts w:hint="eastAsia" w:ascii="黑体" w:hAnsi="黑体" w:eastAsia="黑体" w:cs="黑体"/>
          <w:sz w:val="32"/>
          <w:szCs w:val="32"/>
        </w:rPr>
        <w:t>五、存在的问题及原因分析</w:t>
      </w:r>
      <w:bookmarkEnd w:id="33"/>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项目在取得成效的同时，也存在部分问题仍需完善改进，具体存在问题及原因分析如下：</w:t>
      </w:r>
    </w:p>
    <w:p>
      <w:pPr>
        <w:spacing w:line="560" w:lineRule="exact"/>
        <w:ind w:firstLine="642" w:firstLineChars="200"/>
        <w:outlineLvl w:val="1"/>
        <w:rPr>
          <w:rFonts w:ascii="楷体_GB2312" w:eastAsia="楷体_GB2312" w:cs="仿宋_GB2312"/>
          <w:b/>
          <w:bCs/>
          <w:sz w:val="32"/>
          <w:szCs w:val="32"/>
        </w:rPr>
      </w:pPr>
      <w:bookmarkStart w:id="34" w:name="_Toc148104159"/>
      <w:r>
        <w:rPr>
          <w:rFonts w:hint="eastAsia" w:ascii="楷体_GB2312" w:eastAsia="楷体_GB2312" w:cs="仿宋_GB2312"/>
          <w:b/>
          <w:bCs/>
          <w:sz w:val="32"/>
          <w:szCs w:val="32"/>
        </w:rPr>
        <w:t>（一）绩效目标设置不全，绩效指标明确性有待提高。</w:t>
      </w:r>
      <w:bookmarkEnd w:id="34"/>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经查阅本项目2</w:t>
      </w:r>
      <w:r>
        <w:rPr>
          <w:rFonts w:ascii="仿宋_GB2312" w:eastAsia="仿宋_GB2312" w:cs="仿宋_GB2312"/>
          <w:bCs/>
          <w:sz w:val="32"/>
          <w:szCs w:val="32"/>
        </w:rPr>
        <w:t>022</w:t>
      </w:r>
      <w:r>
        <w:rPr>
          <w:rFonts w:hint="eastAsia" w:ascii="仿宋_GB2312" w:eastAsia="仿宋_GB2312" w:cs="仿宋_GB2312"/>
          <w:bCs/>
          <w:sz w:val="32"/>
          <w:szCs w:val="32"/>
        </w:rPr>
        <w:t>年度绩效目标申报材料，发现本项目2</w:t>
      </w:r>
      <w:r>
        <w:rPr>
          <w:rFonts w:ascii="仿宋_GB2312" w:eastAsia="仿宋_GB2312" w:cs="仿宋_GB2312"/>
          <w:bCs/>
          <w:sz w:val="32"/>
          <w:szCs w:val="32"/>
        </w:rPr>
        <w:t>022</w:t>
      </w:r>
      <w:r>
        <w:rPr>
          <w:rFonts w:hint="eastAsia" w:ascii="仿宋_GB2312" w:eastAsia="仿宋_GB2312" w:cs="仿宋_GB2312"/>
          <w:bCs/>
          <w:sz w:val="32"/>
          <w:szCs w:val="32"/>
        </w:rPr>
        <w:t>年度绩效目标设置不全，绩效指标明确性不足。</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一是缺少生态效益指标，目标设置不完整。本项目主要是通过发放生活垃圾分类激励资金的方式，引导居民群众主动进行垃圾分类，对生态环境是具有一定影响的，应考虑设置生态效益指标，如厨余垃圾分类率、生活垃圾回收利用率等生态效益指标。</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二是数量指标目标值缺少计量单位。数量指标“家庭激励数量”目标值“≤645”、数量指标“个人激励数量”目标值“≤130”、数量指标“住宅区激励数量”目标值“≤40”、数量指标“单位的激励数量”目标值“≤50”，上述目标值缺少计量单位（个），目标设置完整性有待提高。</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三是社会效益指标目标值可衡量性不足。社会效益指标“提高社会各界参与垃圾分类的积极性</w:t>
      </w:r>
      <w:r>
        <w:rPr>
          <w:rFonts w:hint="eastAsia" w:ascii="仿宋_GB2312" w:eastAsia="仿宋_GB2312" w:cs="仿宋_GB2312"/>
          <w:bCs/>
          <w:sz w:val="32"/>
          <w:szCs w:val="32"/>
        </w:rPr>
        <w:tab/>
      </w:r>
      <w:r>
        <w:rPr>
          <w:rFonts w:hint="eastAsia" w:ascii="仿宋_GB2312" w:eastAsia="仿宋_GB2312" w:cs="仿宋_GB2312"/>
          <w:bCs/>
          <w:sz w:val="32"/>
          <w:szCs w:val="32"/>
        </w:rPr>
        <w:t>”目标值“提高垃圾分类积极性”，指标目标值较难以衡量，指标可衡量性不足。</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出现此问题的主要原因是：对绩效指标的认识不够深入，未能结合项目预期目标准确设置绩效指标值，以充分反映和体现项目产出和实施成效的目标要求。</w:t>
      </w:r>
    </w:p>
    <w:p>
      <w:pPr>
        <w:spacing w:line="560" w:lineRule="exact"/>
        <w:ind w:firstLine="642" w:firstLineChars="200"/>
        <w:outlineLvl w:val="1"/>
        <w:rPr>
          <w:rFonts w:ascii="楷体_GB2312" w:eastAsia="楷体_GB2312" w:cs="仿宋_GB2312"/>
          <w:b/>
          <w:bCs/>
          <w:sz w:val="32"/>
          <w:szCs w:val="32"/>
        </w:rPr>
      </w:pPr>
      <w:bookmarkStart w:id="35" w:name="_Toc148104160"/>
      <w:r>
        <w:rPr>
          <w:rFonts w:hint="eastAsia" w:ascii="楷体_GB2312" w:eastAsia="楷体_GB2312" w:cs="仿宋_GB2312"/>
          <w:b/>
          <w:bCs/>
          <w:sz w:val="32"/>
          <w:szCs w:val="32"/>
        </w:rPr>
        <w:t>（二）部分绩效指标未达标，生活垃圾分类激励工作效益未能充分显现。</w:t>
      </w:r>
      <w:bookmarkEnd w:id="35"/>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根据本次调查问卷结果显示，“激励政策知晓率”“公众对垃圾分类激励工作满意度”等绩效指标略低于目标值，生活垃圾分类工作激励政策宣传成效未能充分显现，激励工作有待加强。</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出现此问题的主要原因是激励政策的宣传力度不够、宣传方式和宣传媒介不够丰富。本次调查问卷显示，社会公众对生活垃圾分类激励的宣传工作，满意率为8</w:t>
      </w:r>
      <w:r>
        <w:rPr>
          <w:rFonts w:ascii="仿宋_GB2312" w:eastAsia="仿宋_GB2312" w:cs="仿宋_GB2312"/>
          <w:bCs/>
          <w:sz w:val="32"/>
          <w:szCs w:val="32"/>
        </w:rPr>
        <w:t>7.31</w:t>
      </w:r>
      <w:r>
        <w:rPr>
          <w:rFonts w:hint="eastAsia" w:ascii="仿宋_GB2312" w:eastAsia="仿宋_GB2312" w:cs="仿宋_GB2312"/>
          <w:bCs/>
          <w:sz w:val="32"/>
          <w:szCs w:val="32"/>
        </w:rPr>
        <w:t>%，政策宣传仍有待加强。</w:t>
      </w:r>
    </w:p>
    <w:p>
      <w:pPr>
        <w:pStyle w:val="3"/>
        <w:keepNext w:val="0"/>
        <w:keepLines w:val="0"/>
        <w:spacing w:before="0" w:after="0" w:line="560" w:lineRule="exact"/>
        <w:ind w:firstLine="642" w:firstLineChars="200"/>
        <w:rPr>
          <w:rFonts w:ascii="Times New Roman" w:hAnsi="Times New Roman" w:eastAsia="楷体_GB2312"/>
          <w:bCs w:val="0"/>
        </w:rPr>
      </w:pPr>
      <w:bookmarkStart w:id="36" w:name="_Toc30985"/>
      <w:bookmarkStart w:id="37" w:name="_Toc148104161"/>
      <w:r>
        <w:rPr>
          <w:rFonts w:ascii="Times New Roman" w:hAnsi="Times New Roman" w:eastAsia="楷体_GB2312" w:cs="Times New Roman"/>
        </w:rPr>
        <w:t>（</w:t>
      </w:r>
      <w:r>
        <w:rPr>
          <w:rFonts w:hint="eastAsia" w:ascii="Times New Roman" w:hAnsi="Times New Roman" w:eastAsia="楷体_GB2312" w:cs="Times New Roman"/>
        </w:rPr>
        <w:t>三</w:t>
      </w:r>
      <w:r>
        <w:rPr>
          <w:rFonts w:ascii="Times New Roman" w:hAnsi="Times New Roman" w:eastAsia="楷体_GB2312" w:cs="Times New Roman"/>
        </w:rPr>
        <w:t>）</w:t>
      </w:r>
      <w:bookmarkEnd w:id="36"/>
      <w:r>
        <w:rPr>
          <w:rFonts w:hint="eastAsia" w:ascii="Times New Roman" w:hAnsi="Times New Roman" w:eastAsia="楷体_GB2312" w:cs="Times New Roman"/>
        </w:rPr>
        <w:t>激励效果对比不显著，项目可持续性影响有待提高。</w:t>
      </w:r>
      <w:bookmarkEnd w:id="37"/>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2023年10月11-12日评价小组现场调研龙华区12个小区的垃圾分类情况，其中6个小区为2022年度“生活垃圾分类绿色小区”。调研发现：整体来看，绿色小区的垃圾分类情况与未被激励的小区相比，并无显著差别，均普遍存在垃圾分类意识不强、垃圾收集容器未按标准配备、垃圾收集容器周边积水未及时清理、垃圾满溢等问题。垃圾分类激励资金的激励效果可持续性有待提高。</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出现此问题的主要原因是垃圾分类意识不强，激励对象的抽查复核机制力度不够，未能确保激励资金有效运用于垃圾分类工作。</w:t>
      </w:r>
    </w:p>
    <w:p>
      <w:pPr>
        <w:spacing w:line="560" w:lineRule="exact"/>
        <w:ind w:firstLine="640" w:firstLineChars="200"/>
        <w:outlineLvl w:val="0"/>
        <w:rPr>
          <w:rFonts w:ascii="黑体" w:hAnsi="黑体" w:eastAsia="黑体" w:cs="黑体"/>
          <w:sz w:val="32"/>
          <w:szCs w:val="32"/>
        </w:rPr>
      </w:pPr>
      <w:bookmarkStart w:id="38" w:name="_Toc148104162"/>
      <w:r>
        <w:rPr>
          <w:rFonts w:hint="eastAsia" w:ascii="黑体" w:hAnsi="黑体" w:eastAsia="黑体" w:cs="黑体"/>
          <w:sz w:val="32"/>
          <w:szCs w:val="32"/>
        </w:rPr>
        <w:t>六、有关建议</w:t>
      </w:r>
      <w:bookmarkEnd w:id="38"/>
    </w:p>
    <w:p>
      <w:pPr>
        <w:spacing w:line="560" w:lineRule="exact"/>
        <w:ind w:firstLine="640" w:firstLineChars="200"/>
        <w:rPr>
          <w:rFonts w:ascii="仿宋_GB2312" w:eastAsia="仿宋_GB2312" w:cs="仿宋_GB2312"/>
          <w:bCs/>
          <w:sz w:val="32"/>
          <w:szCs w:val="32"/>
        </w:rPr>
      </w:pPr>
      <w:bookmarkStart w:id="39" w:name="_Hlk16801333"/>
      <w:r>
        <w:rPr>
          <w:rFonts w:hint="eastAsia" w:ascii="仿宋_GB2312" w:eastAsia="仿宋_GB2312" w:cs="仿宋_GB2312"/>
          <w:bCs/>
          <w:sz w:val="32"/>
          <w:szCs w:val="32"/>
        </w:rPr>
        <w:t>为提高资金使用效益，强化项目管理，因此，针对评价过程中发现的问题，对应提出如下意见建议：</w:t>
      </w:r>
    </w:p>
    <w:p>
      <w:pPr>
        <w:spacing w:line="560" w:lineRule="exact"/>
        <w:ind w:firstLine="642" w:firstLineChars="200"/>
        <w:outlineLvl w:val="1"/>
        <w:rPr>
          <w:rFonts w:ascii="楷体_GB2312" w:eastAsia="楷体_GB2312" w:cs="仿宋_GB2312"/>
          <w:b/>
          <w:bCs/>
          <w:sz w:val="32"/>
          <w:szCs w:val="32"/>
        </w:rPr>
      </w:pPr>
      <w:bookmarkStart w:id="40" w:name="_Toc148104163"/>
      <w:r>
        <w:rPr>
          <w:rFonts w:hint="eastAsia" w:ascii="楷体_GB2312" w:eastAsia="楷体_GB2312" w:cs="仿宋_GB2312"/>
          <w:b/>
          <w:bCs/>
          <w:sz w:val="32"/>
          <w:szCs w:val="32"/>
        </w:rPr>
        <w:t>（一）优化绩效指标设置，充分反映和体现项目预期产出和成效。</w:t>
      </w:r>
      <w:bookmarkEnd w:id="40"/>
      <w:r>
        <w:rPr>
          <w:rFonts w:hint="eastAsia" w:ascii="楷体_GB2312" w:eastAsia="楷体_GB2312" w:cs="仿宋_GB2312"/>
          <w:b/>
          <w:bCs/>
          <w:sz w:val="32"/>
          <w:szCs w:val="32"/>
        </w:rPr>
        <w:t xml:space="preserve"> </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一是建议根据项目实际，增设“厨余垃圾分类率”、“生活垃圾回收利用率”等生态效益指标，有效反映项目实施所产生的生态效益情况。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是建议结合项目实际效益，尽量明确指标的评价维度和标准，客观反映项目实施的预期成效。例如，社会效益指标可设置“生活垃圾分类覆盖率”、“住宅区垃圾分类入户宣传率”、“激励政策知晓率”等清晰具体可衡量的指标，更好反映项目产出效益。</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三是建议单位加强预算绩效管理培训，提高工作人员的预算绩效管理意识和绩效目标设置技能，提高绩效目标编报质量。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四是按照“谁分配资金，谁审核绩效目标”的原则，加强绩效目标的审核管理，全面提升单位预算绩效管理水平。</w:t>
      </w:r>
    </w:p>
    <w:p>
      <w:pPr>
        <w:spacing w:line="560" w:lineRule="exact"/>
        <w:ind w:firstLine="642" w:firstLineChars="200"/>
        <w:outlineLvl w:val="1"/>
        <w:rPr>
          <w:rFonts w:ascii="楷体_GB2312" w:eastAsia="楷体_GB2312" w:cs="仿宋_GB2312"/>
          <w:b/>
          <w:bCs/>
          <w:sz w:val="32"/>
          <w:szCs w:val="32"/>
        </w:rPr>
      </w:pPr>
      <w:bookmarkStart w:id="41" w:name="_Toc148104164"/>
      <w:r>
        <w:rPr>
          <w:rFonts w:hint="eastAsia" w:ascii="楷体_GB2312" w:eastAsia="楷体_GB2312" w:cs="仿宋_GB2312"/>
          <w:b/>
          <w:bCs/>
          <w:sz w:val="32"/>
          <w:szCs w:val="32"/>
        </w:rPr>
        <w:t>（二）</w:t>
      </w:r>
      <w:r>
        <w:rPr>
          <w:rFonts w:ascii="楷体_GB2312" w:eastAsia="楷体_GB2312" w:cs="仿宋_GB2312"/>
          <w:b/>
          <w:bCs/>
          <w:sz w:val="32"/>
          <w:szCs w:val="32"/>
        </w:rPr>
        <w:t>强化宣传教育，进一步提高公众知晓率和满意度，充分凸显项目实施成效</w:t>
      </w:r>
      <w:r>
        <w:rPr>
          <w:rFonts w:hint="eastAsia" w:ascii="楷体_GB2312" w:eastAsia="楷体_GB2312" w:cs="仿宋_GB2312"/>
          <w:b/>
          <w:bCs/>
          <w:sz w:val="32"/>
          <w:szCs w:val="32"/>
        </w:rPr>
        <w:t>。</w:t>
      </w:r>
      <w:bookmarkEnd w:id="41"/>
    </w:p>
    <w:p>
      <w:pPr>
        <w:spacing w:line="560" w:lineRule="exact"/>
        <w:ind w:firstLine="640" w:firstLineChars="200"/>
        <w:rPr>
          <w:rFonts w:ascii="仿宋_GB2312" w:eastAsia="仿宋_GB2312" w:cs="仿宋_GB2312"/>
          <w:bCs/>
          <w:sz w:val="32"/>
          <w:szCs w:val="32"/>
        </w:rPr>
      </w:pPr>
      <w:r>
        <w:rPr>
          <w:rFonts w:ascii="仿宋_GB2312" w:eastAsia="仿宋_GB2312" w:cs="仿宋_GB2312"/>
          <w:bCs/>
          <w:sz w:val="32"/>
          <w:szCs w:val="32"/>
        </w:rPr>
        <w:t>一是建议进一步加大激励奖金政策的宣传力度，鼓励引导民众积极参与激励补助资金申报，提高民众对于生活垃圾分类知晓率和参与率，推动全社会积极参与生活垃圾分类。</w:t>
      </w:r>
    </w:p>
    <w:p>
      <w:pPr>
        <w:spacing w:line="560" w:lineRule="exact"/>
        <w:ind w:firstLine="640" w:firstLineChars="200"/>
        <w:rPr>
          <w:rFonts w:ascii="仿宋_GB2312" w:eastAsia="仿宋_GB2312" w:cs="仿宋_GB2312"/>
          <w:bCs/>
          <w:sz w:val="32"/>
          <w:szCs w:val="32"/>
        </w:rPr>
      </w:pPr>
      <w:r>
        <w:rPr>
          <w:rFonts w:ascii="仿宋_GB2312" w:eastAsia="仿宋_GB2312" w:cs="仿宋_GB2312"/>
          <w:bCs/>
          <w:sz w:val="32"/>
          <w:szCs w:val="32"/>
        </w:rPr>
        <w:t>二是针对性开展满意度随访，了解公众对生活垃圾分类及激励工作满意度情况及原因，并提出对应的改进措施，进一步提高公众对激励工作的满意程度。</w:t>
      </w:r>
    </w:p>
    <w:p>
      <w:pPr>
        <w:spacing w:line="560" w:lineRule="exact"/>
        <w:ind w:firstLine="640" w:firstLineChars="200"/>
        <w:rPr>
          <w:rFonts w:ascii="仿宋_GB2312" w:eastAsia="仿宋_GB2312" w:cs="仿宋_GB2312"/>
          <w:bCs/>
          <w:sz w:val="32"/>
          <w:szCs w:val="32"/>
        </w:rPr>
      </w:pPr>
      <w:r>
        <w:rPr>
          <w:rFonts w:ascii="仿宋_GB2312" w:eastAsia="仿宋_GB2312" w:cs="仿宋_GB2312"/>
          <w:bCs/>
          <w:sz w:val="32"/>
          <w:szCs w:val="32"/>
        </w:rPr>
        <w:t>三是建议进一步加强生活垃圾分类管理，提高家庭厨余垃圾收运，促进垃圾分类工作顺利开展，助力优化、改善辖区卫生环境，更为充分凸显项目实施成效。</w:t>
      </w:r>
    </w:p>
    <w:p>
      <w:pPr>
        <w:spacing w:line="560" w:lineRule="exact"/>
        <w:ind w:firstLine="642" w:firstLineChars="200"/>
        <w:outlineLvl w:val="1"/>
        <w:rPr>
          <w:rFonts w:ascii="楷体_GB2312" w:eastAsia="楷体_GB2312" w:cs="仿宋_GB2312"/>
          <w:b/>
          <w:bCs/>
          <w:sz w:val="32"/>
          <w:szCs w:val="32"/>
        </w:rPr>
      </w:pPr>
      <w:bookmarkStart w:id="42" w:name="_Toc22334"/>
      <w:bookmarkStart w:id="43" w:name="_Toc148104165"/>
      <w:r>
        <w:rPr>
          <w:rFonts w:ascii="楷体_GB2312" w:eastAsia="楷体_GB2312" w:cs="仿宋_GB2312"/>
          <w:b/>
          <w:bCs/>
          <w:sz w:val="32"/>
          <w:szCs w:val="32"/>
        </w:rPr>
        <w:t>（</w:t>
      </w:r>
      <w:r>
        <w:rPr>
          <w:rFonts w:hint="eastAsia" w:ascii="楷体_GB2312" w:eastAsia="楷体_GB2312" w:cs="仿宋_GB2312"/>
          <w:b/>
          <w:bCs/>
          <w:sz w:val="32"/>
          <w:szCs w:val="32"/>
        </w:rPr>
        <w:t>三</w:t>
      </w:r>
      <w:r>
        <w:rPr>
          <w:rFonts w:ascii="楷体_GB2312" w:eastAsia="楷体_GB2312" w:cs="仿宋_GB2312"/>
          <w:b/>
          <w:bCs/>
          <w:sz w:val="32"/>
          <w:szCs w:val="32"/>
        </w:rPr>
        <w:t>）</w:t>
      </w:r>
      <w:r>
        <w:rPr>
          <w:rFonts w:hint="eastAsia" w:ascii="楷体_GB2312" w:eastAsia="楷体_GB2312" w:cs="仿宋_GB2312"/>
          <w:b/>
          <w:bCs/>
          <w:sz w:val="32"/>
          <w:szCs w:val="32"/>
        </w:rPr>
        <w:t>强化激励对象抽查复核机制，推进激励效果落地</w:t>
      </w:r>
      <w:bookmarkEnd w:id="42"/>
      <w:r>
        <w:rPr>
          <w:rFonts w:hint="eastAsia" w:ascii="楷体_GB2312" w:eastAsia="楷体_GB2312" w:cs="仿宋_GB2312"/>
          <w:b/>
          <w:bCs/>
          <w:sz w:val="32"/>
          <w:szCs w:val="32"/>
        </w:rPr>
        <w:t>。</w:t>
      </w:r>
      <w:bookmarkEnd w:id="43"/>
    </w:p>
    <w:bookmarkEnd w:id="39"/>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根据《龙华区生活垃圾分类工作激励方法实施细则（试行）》（深龙华府办规〔2020〕7号）第十八条“区主管部门应对各街道生活垃圾分类激励工作进行监督检查，街道主管部门每年应对上年度激励对象进行抽样复查，并将复查结果上报区主管部门。” 建议增加监督检查和抽查复核频率，强化对激励对象的抽查复核机制和抽查结果奖惩机制，确保激励资金能够有效运用于垃圾分类工作，推进激励效果落地。</w:t>
      </w:r>
    </w:p>
    <w:p>
      <w:pPr>
        <w:spacing w:line="560" w:lineRule="exact"/>
        <w:ind w:firstLine="200"/>
        <w:rPr>
          <w:rFonts w:ascii="仿宋_GB2312" w:eastAsia="仿宋_GB2312" w:cs="仿宋_GB2312"/>
          <w:bCs/>
          <w:sz w:val="32"/>
          <w:szCs w:val="32"/>
        </w:rPr>
      </w:pP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附件：</w:t>
      </w:r>
    </w:p>
    <w:p>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1</w:t>
      </w:r>
      <w:r>
        <w:rPr>
          <w:rFonts w:ascii="仿宋_GB2312" w:eastAsia="仿宋_GB2312" w:cs="仿宋_GB2312"/>
          <w:bCs/>
          <w:sz w:val="32"/>
          <w:szCs w:val="32"/>
        </w:rPr>
        <w:t>.</w:t>
      </w:r>
      <w:r>
        <w:rPr>
          <w:rFonts w:hint="eastAsia" w:ascii="仿宋_GB2312" w:eastAsia="仿宋_GB2312" w:cs="仿宋_GB2312"/>
          <w:bCs/>
          <w:sz w:val="32"/>
          <w:szCs w:val="32"/>
        </w:rPr>
        <w:t>龙华区2022年生活垃圾分类激励资金项目绩效评价评分表</w:t>
      </w:r>
    </w:p>
    <w:p>
      <w:pPr>
        <w:spacing w:line="560" w:lineRule="exact"/>
        <w:ind w:firstLine="640" w:firstLineChars="200"/>
        <w:rPr>
          <w:rFonts w:ascii="仿宋_GB2312" w:eastAsia="仿宋_GB2312" w:cs="仿宋_GB2312"/>
          <w:bCs/>
          <w:sz w:val="32"/>
          <w:szCs w:val="32"/>
        </w:rPr>
      </w:pPr>
      <w:r>
        <w:rPr>
          <w:rFonts w:ascii="仿宋_GB2312" w:eastAsia="仿宋_GB2312" w:cs="仿宋_GB2312"/>
          <w:bCs/>
          <w:sz w:val="32"/>
          <w:szCs w:val="32"/>
        </w:rPr>
        <w:t>2.</w:t>
      </w:r>
      <w:r>
        <w:rPr>
          <w:rFonts w:hint="eastAsia" w:ascii="仿宋_GB2312" w:eastAsia="仿宋_GB2312" w:cs="仿宋_GB2312"/>
          <w:bCs/>
          <w:sz w:val="32"/>
          <w:szCs w:val="32"/>
        </w:rPr>
        <w:t>《深圳市龙华区生活垃圾分类及相应激励工作满意度调查问卷》及数据</w:t>
      </w:r>
    </w:p>
    <w:p>
      <w:pPr>
        <w:spacing w:line="560" w:lineRule="exact"/>
        <w:ind w:firstLine="640" w:firstLineChars="200"/>
        <w:rPr>
          <w:rFonts w:ascii="仿宋_GB2312" w:eastAsia="仿宋_GB2312" w:cs="仿宋_GB2312"/>
          <w:bCs/>
          <w:sz w:val="32"/>
          <w:szCs w:val="32"/>
        </w:rPr>
      </w:pPr>
      <w:r>
        <w:rPr>
          <w:rFonts w:ascii="仿宋_GB2312" w:eastAsia="仿宋_GB2312" w:cs="仿宋_GB2312"/>
          <w:bCs/>
          <w:sz w:val="32"/>
          <w:szCs w:val="32"/>
        </w:rPr>
        <w:t>3.</w:t>
      </w:r>
      <w:r>
        <w:rPr>
          <w:rFonts w:hint="eastAsia" w:ascii="仿宋_GB2312" w:eastAsia="仿宋_GB2312" w:cs="仿宋_GB2312"/>
          <w:bCs/>
          <w:sz w:val="32"/>
          <w:szCs w:val="32"/>
        </w:rPr>
        <w:t>现场调研情况分析</w:t>
      </w:r>
    </w:p>
    <w:p>
      <w:pPr>
        <w:spacing w:line="600" w:lineRule="exact"/>
        <w:ind w:firstLine="640" w:firstLineChars="200"/>
        <w:rPr>
          <w:rFonts w:ascii="仿宋_GB2312" w:eastAsia="仿宋_GB2312" w:cs="仿宋_GB2312"/>
          <w:bCs/>
          <w:sz w:val="32"/>
          <w:szCs w:val="32"/>
        </w:rPr>
        <w:sectPr>
          <w:footerReference r:id="rId7" w:type="default"/>
          <w:pgSz w:w="11906" w:h="16838"/>
          <w:pgMar w:top="1440" w:right="1800" w:bottom="1440" w:left="1800" w:header="851" w:footer="992" w:gutter="0"/>
          <w:pgNumType w:start="1"/>
          <w:cols w:space="425" w:num="1"/>
          <w:docGrid w:type="lines" w:linePitch="312" w:charSpace="0"/>
        </w:sectPr>
      </w:pPr>
    </w:p>
    <w:p>
      <w:pPr>
        <w:spacing w:line="600" w:lineRule="exact"/>
        <w:outlineLvl w:val="1"/>
        <w:rPr>
          <w:rFonts w:ascii="黑体" w:hAnsi="黑体" w:eastAsia="黑体" w:cs="仿宋_GB2312"/>
          <w:sz w:val="32"/>
          <w:szCs w:val="32"/>
        </w:rPr>
      </w:pPr>
      <w:bookmarkStart w:id="44" w:name="_Toc148104166"/>
      <w:r>
        <w:rPr>
          <w:rFonts w:hint="eastAsia" w:ascii="黑体" w:hAnsi="黑体" w:eastAsia="黑体" w:cs="仿宋_GB2312"/>
          <w:sz w:val="32"/>
          <w:szCs w:val="32"/>
        </w:rPr>
        <w:t>附件1</w:t>
      </w:r>
      <w:r>
        <w:rPr>
          <w:rFonts w:ascii="黑体" w:hAnsi="黑体" w:eastAsia="黑体" w:cs="仿宋_GB2312"/>
          <w:sz w:val="32"/>
          <w:szCs w:val="32"/>
        </w:rPr>
        <w:t xml:space="preserve"> </w:t>
      </w:r>
      <w:r>
        <w:rPr>
          <w:rFonts w:hint="eastAsia" w:ascii="黑体" w:hAnsi="黑体" w:eastAsia="黑体" w:cs="仿宋_GB2312"/>
          <w:sz w:val="32"/>
          <w:szCs w:val="32"/>
        </w:rPr>
        <w:t>龙华区2</w:t>
      </w:r>
      <w:r>
        <w:rPr>
          <w:rFonts w:ascii="黑体" w:hAnsi="黑体" w:eastAsia="黑体" w:cs="仿宋_GB2312"/>
          <w:sz w:val="32"/>
          <w:szCs w:val="32"/>
        </w:rPr>
        <w:t>022</w:t>
      </w:r>
      <w:r>
        <w:rPr>
          <w:rFonts w:hint="eastAsia" w:ascii="黑体" w:hAnsi="黑体" w:eastAsia="黑体" w:cs="仿宋_GB2312"/>
          <w:sz w:val="32"/>
          <w:szCs w:val="32"/>
        </w:rPr>
        <w:t>年生活垃圾分类激励资金项目绩效评价评分表</w:t>
      </w:r>
      <w:bookmarkEnd w:id="44"/>
    </w:p>
    <w:tbl>
      <w:tblPr>
        <w:tblStyle w:val="25"/>
        <w:tblW w:w="51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631"/>
        <w:gridCol w:w="629"/>
        <w:gridCol w:w="631"/>
        <w:gridCol w:w="629"/>
        <w:gridCol w:w="631"/>
        <w:gridCol w:w="2553"/>
        <w:gridCol w:w="4759"/>
        <w:gridCol w:w="864"/>
        <w:gridCol w:w="864"/>
        <w:gridCol w:w="1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trPr>
        <w:tc>
          <w:tcPr>
            <w:tcW w:w="429" w:type="pct"/>
            <w:gridSpan w:val="2"/>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一级指标</w:t>
            </w:r>
          </w:p>
        </w:tc>
        <w:tc>
          <w:tcPr>
            <w:tcW w:w="429" w:type="pct"/>
            <w:gridSpan w:val="2"/>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二级指标</w:t>
            </w:r>
          </w:p>
        </w:tc>
        <w:tc>
          <w:tcPr>
            <w:tcW w:w="429" w:type="pct"/>
            <w:gridSpan w:val="2"/>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三级指标</w:t>
            </w:r>
          </w:p>
        </w:tc>
        <w:tc>
          <w:tcPr>
            <w:tcW w:w="869" w:type="pct"/>
            <w:vMerge w:val="restart"/>
            <w:shd w:val="clear" w:color="auto" w:fill="auto"/>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指标解释</w:t>
            </w:r>
          </w:p>
        </w:tc>
        <w:tc>
          <w:tcPr>
            <w:tcW w:w="1620" w:type="pct"/>
            <w:vMerge w:val="restart"/>
            <w:shd w:val="clear" w:color="auto" w:fill="auto"/>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评分标准</w:t>
            </w:r>
          </w:p>
        </w:tc>
        <w:tc>
          <w:tcPr>
            <w:tcW w:w="294" w:type="pct"/>
            <w:vMerge w:val="restar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分值</w:t>
            </w:r>
          </w:p>
        </w:tc>
        <w:tc>
          <w:tcPr>
            <w:tcW w:w="294" w:type="pct"/>
            <w:vMerge w:val="restar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得分</w:t>
            </w:r>
          </w:p>
        </w:tc>
        <w:tc>
          <w:tcPr>
            <w:tcW w:w="636" w:type="pct"/>
            <w:vMerge w:val="restar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扣分原因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trPr>
        <w:tc>
          <w:tcPr>
            <w:tcW w:w="214"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名称</w:t>
            </w:r>
          </w:p>
        </w:tc>
        <w:tc>
          <w:tcPr>
            <w:tcW w:w="215"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权重</w:t>
            </w:r>
          </w:p>
        </w:tc>
        <w:tc>
          <w:tcPr>
            <w:tcW w:w="214"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名称</w:t>
            </w:r>
          </w:p>
        </w:tc>
        <w:tc>
          <w:tcPr>
            <w:tcW w:w="215"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权重</w:t>
            </w:r>
          </w:p>
        </w:tc>
        <w:tc>
          <w:tcPr>
            <w:tcW w:w="214"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名称</w:t>
            </w:r>
          </w:p>
        </w:tc>
        <w:tc>
          <w:tcPr>
            <w:tcW w:w="215"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权重</w:t>
            </w:r>
          </w:p>
        </w:tc>
        <w:tc>
          <w:tcPr>
            <w:tcW w:w="869" w:type="pct"/>
            <w:vMerge w:val="continue"/>
            <w:vAlign w:val="center"/>
          </w:tcPr>
          <w:p>
            <w:pPr>
              <w:kinsoku w:val="0"/>
              <w:autoSpaceDE w:val="0"/>
              <w:autoSpaceDN w:val="0"/>
              <w:adjustRightInd w:val="0"/>
              <w:snapToGrid w:val="0"/>
              <w:jc w:val="left"/>
              <w:rPr>
                <w:rFonts w:ascii="宋体" w:hAnsi="宋体" w:cs="宋体"/>
                <w:b/>
                <w:bCs/>
                <w:color w:val="000000"/>
              </w:rPr>
            </w:pPr>
          </w:p>
        </w:tc>
        <w:tc>
          <w:tcPr>
            <w:tcW w:w="1620" w:type="pct"/>
            <w:vMerge w:val="continue"/>
            <w:vAlign w:val="center"/>
          </w:tcPr>
          <w:p>
            <w:pPr>
              <w:kinsoku w:val="0"/>
              <w:autoSpaceDE w:val="0"/>
              <w:autoSpaceDN w:val="0"/>
              <w:adjustRightInd w:val="0"/>
              <w:snapToGrid w:val="0"/>
              <w:jc w:val="left"/>
              <w:rPr>
                <w:rFonts w:ascii="宋体" w:hAnsi="宋体" w:cs="宋体"/>
                <w:b/>
                <w:bCs/>
                <w:color w:val="000000"/>
              </w:rPr>
            </w:pPr>
          </w:p>
        </w:tc>
        <w:tc>
          <w:tcPr>
            <w:tcW w:w="294" w:type="pct"/>
            <w:vMerge w:val="continue"/>
            <w:vAlign w:val="center"/>
          </w:tcPr>
          <w:p>
            <w:pPr>
              <w:kinsoku w:val="0"/>
              <w:autoSpaceDE w:val="0"/>
              <w:autoSpaceDN w:val="0"/>
              <w:adjustRightInd w:val="0"/>
              <w:snapToGrid w:val="0"/>
              <w:jc w:val="left"/>
              <w:rPr>
                <w:rFonts w:ascii="宋体" w:hAnsi="宋体" w:cs="宋体"/>
                <w:b/>
                <w:bCs/>
                <w:color w:val="000000"/>
              </w:rPr>
            </w:pPr>
          </w:p>
        </w:tc>
        <w:tc>
          <w:tcPr>
            <w:tcW w:w="294" w:type="pct"/>
            <w:vMerge w:val="continue"/>
            <w:vAlign w:val="center"/>
          </w:tcPr>
          <w:p>
            <w:pPr>
              <w:kinsoku w:val="0"/>
              <w:autoSpaceDE w:val="0"/>
              <w:autoSpaceDN w:val="0"/>
              <w:adjustRightInd w:val="0"/>
              <w:snapToGrid w:val="0"/>
              <w:jc w:val="left"/>
              <w:rPr>
                <w:rFonts w:ascii="宋体" w:hAnsi="宋体" w:cs="宋体"/>
                <w:b/>
                <w:bCs/>
                <w:color w:val="000000"/>
              </w:rPr>
            </w:pPr>
          </w:p>
        </w:tc>
        <w:tc>
          <w:tcPr>
            <w:tcW w:w="636" w:type="pct"/>
            <w:vMerge w:val="continue"/>
            <w:vAlign w:val="center"/>
          </w:tcPr>
          <w:p>
            <w:pPr>
              <w:kinsoku w:val="0"/>
              <w:autoSpaceDE w:val="0"/>
              <w:autoSpaceDN w:val="0"/>
              <w:adjustRightInd w:val="0"/>
              <w:snapToGrid w:val="0"/>
              <w:jc w:val="left"/>
              <w:rPr>
                <w:rFonts w:ascii="宋体" w:hAnsi="宋体" w:cs="宋体"/>
                <w:b/>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9" w:hRule="atLeast"/>
        </w:trPr>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决策</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18</w:t>
            </w:r>
          </w:p>
        </w:tc>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项目立项</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立项依据充分性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项目立项是否符合法律法规、相关政策、发展规划以及部门职责，用以反映和考核项目立项依据情况。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①项目立项符合国家法律法规、国民经济发展规划和相关政策；</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②项目立项符合行业发展规划和政策要求；</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③项目立项与部门职责范围相符，属于部门履职所需；</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④项目属于公共财政支持范围，符合市、区事权支出责任划分原则；</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⑤项目未与相关部门同类项目或部门内部相关项目重复。</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以上五个维度分别占本指标1/5的权重分，符合则得分，否则扣除相应权重分。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636"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立项程序规范性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项目申请、设立过程是否符合相关要求，用以反映和考核项目立项的规范情况。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①项目按照规定的程序申请设立；</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②审批文件、材料符合相关要求；</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③事前已经过必要的可行性研究、专家论证、集体决策。</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以上三个维度分别占本指标1/3的权重分，符合则得分，否则扣除相应权重分。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636"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绩效目标</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绩效目标合理性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3</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项目所设定的绩效目标是否依据充分，是否符合客观实际，用以反映和考核项目绩效目标与项目实施的相符情况。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①项目有绩效目标，绩效目标完整；</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②项目绩效目标与实际工作内容具有相关性；</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③项目预期产出效益和效果符合正常的业绩水平；</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以上三个维度分别占本指标1/3的权重分，符合则得分，否则扣除相应权重分。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3</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636"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缺少生态效益指标，目标设置不完整。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绩效指标明确性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3</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依据绩效目标设定的绩效指标是否清晰、细化、可衡量等，用以反映和考核项目绩效目标的明细情况。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①将项目绩效目标细化分解为具体的绩效指标；</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②通过清晰、可衡量的指标值予以体现；</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③与项目目标任务数或计划数相对应。</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以上三个维度分别占本指标1/3的权重分，符合则得分，否则扣除相应权重分。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3</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636"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数量指标目标值缺少计量单位；社会效益指标目标值可衡量性不足。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资金投入</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预算编制科学性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项目预算编制是否经过科学论证、有明确标准，资金额度与年度目标是否相适应，用以反映和考核项目预算编制的科学性、合理性情况。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①预算额度测算依据充分，按照标准编制；</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②预算内容与项目内容匹配；</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③预算确定的项目投资额或资金量与工作任务相匹配；</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④不存在年中大幅调整预算的情况。</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以上四个维度分别占本指标1/4的权重分，符合则得分，否则扣除相应权重分。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636"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资金分配合理性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项目预算资金分配是否有测算依据，与地方实际是否相适应，用以反映和考核项目预算资金分配的科学性、合理性情况。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①预算资金分配依据充分，体现厉行节俭从严从紧安排的导向；</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②资金分配额度合理，与地方实际相适应。</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以上两个维度分别占本指标1/2的权重分，符合则得分，否则扣除相应权重分。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636"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过程</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22</w:t>
            </w:r>
          </w:p>
        </w:tc>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预算管理</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预算执行率</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项目预算资金是否按照计划执行，用以反映或考核项目预算执行情况。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ascii="宋体" w:hAnsi="宋体" w:cs="宋体"/>
                <w:color w:val="000000"/>
              </w:rPr>
              <w:t>预算执行率=（实际支出资金/实际到位资金）×100%。</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实际支出资金：一定时期（本年度或项目期）内项目实际拨付的资金。</w:t>
            </w:r>
          </w:p>
          <w:p>
            <w:pPr>
              <w:kinsoku w:val="0"/>
              <w:autoSpaceDE w:val="0"/>
              <w:autoSpaceDN w:val="0"/>
              <w:adjustRightInd w:val="0"/>
              <w:snapToGrid w:val="0"/>
              <w:jc w:val="left"/>
              <w:rPr>
                <w:rFonts w:ascii="宋体" w:hAnsi="宋体" w:cs="宋体"/>
                <w:color w:val="000000"/>
              </w:rPr>
            </w:pPr>
            <w:r>
              <w:rPr>
                <w:rFonts w:ascii="宋体" w:hAnsi="宋体" w:cs="宋体"/>
                <w:color w:val="000000"/>
              </w:rPr>
              <w:t>预算执行力达到100%得满分，每较目标值下降1%，扣除本指标权重分5%，直至扣完。</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 xml:space="preserve">1.71 </w:t>
            </w:r>
          </w:p>
        </w:tc>
        <w:tc>
          <w:tcPr>
            <w:tcW w:w="636"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预算执行率为85.72%。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预算管理规范性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项目预算调整和执行是否按照规定执行，用以反映或考核项目预算管理的合规性。</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①未频繁进行预算调整调剂；</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②预算调整调剂有完整的审批程序和手续。</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以上两个维度分别占本指标1/2的权重分，符合则得分，否则扣除相应权重分。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636"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财务管理</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财务制度健全性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项目实施单位的财务内控管理制度是否健全，用以反映和考核财务内控管理制度对项目顺利实施的保障情况。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①制定了适用于本项目的财务内控管理制度，包括预算管理制度、采购管理制度、支出管理制度、合同管理制度等；</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②财务内控制度合法、合规、完整。</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以上两个维度分别占本指标1/2的权重分，符合则得分，否则扣除相应权重分。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636"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资金使用规范性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项目资金使用是否符合相关的财务管理制度规定，用以反映和考核项目资金的规范运行情况。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①符合国家财经法规和财务管理制度的规定；</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②资金的拨付有完整的审批程序和手续；</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③符合项目预算批复或合同规定的用途；</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④不存在截留、挤占、挪用、虚列支出等情况。</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以上四个维度分别占本指标1/4的权重分，符合则得分，否则扣除相应权重分。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636"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组织实施</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12</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项目实施制度健全性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项目实施单位的业务管理制度是否健全，用以反映和考核业务管理制度对项目顺利实施的保障情况。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①已制定相应的业务管理制度；</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②相应业务管理制度在激励对象申请之前印发；</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③业务管理制度合法、合规、完整，辖区实施细则或方案不与市文件冲突。</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以上三个维度分别占本指标1/3的权重分，符合则得分，否则扣除相应权重分。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636"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项目实施执行有效性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项目实施是否符合相关管理规定，用以反映和考核项目实施制度的有效执行情况。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①项目实施过程包括初审、复审、公示、公布、复查等符合办法、辖区实施细则、方案等相关规定；</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②项目激励对象申请、初审、评选、发放、复查等资料齐全并及时归档；</w:t>
            </w:r>
          </w:p>
          <w:p>
            <w:pPr>
              <w:kinsoku w:val="0"/>
              <w:autoSpaceDE w:val="0"/>
              <w:autoSpaceDN w:val="0"/>
              <w:adjustRightInd w:val="0"/>
              <w:snapToGrid w:val="0"/>
              <w:jc w:val="left"/>
              <w:rPr>
                <w:rFonts w:ascii="宋体" w:hAnsi="宋体" w:cs="宋体"/>
                <w:color w:val="000000"/>
              </w:rPr>
            </w:pPr>
            <w:r>
              <w:rPr>
                <w:rFonts w:ascii="宋体" w:hAnsi="宋体" w:cs="宋体"/>
                <w:color w:val="000000"/>
              </w:rPr>
              <w:t>以上两个维度分别占本指标1/2的权重分，符合则得分，否则扣除相应权重分。</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636"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5" w:hRule="atLeast"/>
        </w:trPr>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产出</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20</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产出数量</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实际完成率</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项目实施的实际产出数与计划产出数的比率，用以反映和考核项目产出数量目标的实现程度。</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实际完成率=（实际产出数/计划产出数）×100%。</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实际产出数：一定时期（本年度或项目期）内项目实际评选出的生活垃圾分类绿色单位、绿色小区、好家庭、积极个人数量。</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计划产出数：项目绩效目标确定的在一定时期（本年度或项目期）内计划评选出的生活垃圾分类绿色单位、绿色小区、好家庭、积极个人数量。</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按照好家庭、积极个人、绿色小区、垃圾分类绿色单位四个类别分别计算实际完成率，每个类别1分。</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3.54</w:t>
            </w:r>
          </w:p>
        </w:tc>
        <w:tc>
          <w:tcPr>
            <w:tcW w:w="636"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1.好家庭评选完成率89.15%，得分0.89分；2.积极个人评选完成率91.54%，得分0.92分；3.绿色小区评选完成率82.50%，得分0.83分；4.绿色单位评选完成率90.00%，得0.90分；共计得3.54分。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产出质量</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质量达标率</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项目完成的质量达标产出数与实际产出数的比率，用以反映和考核项目产出质量目标的实现程度。</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质量达标率=（质量达标产出数/实际产出数）×100%。</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质量达标产出数：项目期内评选出的实际达到既定质量标准的激励对象数量，既定质量标准是指文件规定的各类激励对象的评选条件要求。</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按照垃圾分类绿色单位、绿色小区、好家庭、积极个人四个类别分别计算实际激励对象评选质量达标率，每个类别1.5分。</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636"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产出时效</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完成及时性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项目实际完成时间与计划完成时间的比较，用以反映和考核项目产出时效目标的实现程度。</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实际完成时间：项目实施单位完成该项目实际所耗用的时间。</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计划完成时间：按照规定单位需于12月上旬将评选结果报送市生活垃圾分类管理事务中心。</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按时完成得满分，否则不得分。</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636"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2"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产出成本</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补助标准</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用以反映和考核项目实施过程中，是否按照规定标准对激励对象给予补助。</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①生活垃圾分类绿色单位的主要领导、分管领导（或主管部门领导）、经办人分别认定为“生活垃圾分类积极个人”（不占用区积极个人名额），给予补助资金1000元/人；</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②生活垃圾分类绿色小区按照10万元/1000户的标准补助，不足1000户的，每减少100户，补助资金减少5%，超过1000户的，每增加100户，补助资金增加5%，最高补助不超过30万元；</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③生活垃圾分类好家庭通报表扬并补助资金 2000元；</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④生活垃圾分类积极个人通报表扬并补助资金1000元。</w:t>
            </w:r>
          </w:p>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每发现一例未按标准发放补助资金的情况扣0.5分，扣完为止。</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636"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效益</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40</w:t>
            </w:r>
          </w:p>
        </w:tc>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社会效益</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12</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生活垃圾分类覆盖率</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5</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反映和考察辖区垃圾分类工作覆盖情况，指已实施垃圾分类工作的住宅区数量占住宅区总数的比例。</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根据辖区相关统计数据，2022生活垃圾分类覆盖率达到100%，本指标得满分；95%以上、不满100%的得4分；90%以上、不满95%的得3分；85%以上、不满90%的得2分；80%以上、不满85%的得1分；不满80%的不得分。</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5</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5</w:t>
            </w:r>
          </w:p>
        </w:tc>
        <w:tc>
          <w:tcPr>
            <w:tcW w:w="636"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住宅区垃圾分类入户宣传率</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反映和考察辖区住宅区垃圾分类入户宣传的覆盖情况，指住宅区入户宣传覆盖户数占住宅区实际入住总户数的比例。</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根据辖区相关统计数据，2021年11月至2022年底前住宅区垃圾分类入户宣传率达到95%，本指标得满分；90%以上、不满95%的得1.5分；85%以上、不满90%的得1分；80%以上、不满85%的得0.5分；不满80%的不得分。</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2</w:t>
            </w:r>
          </w:p>
        </w:tc>
        <w:tc>
          <w:tcPr>
            <w:tcW w:w="636"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激励政策知晓率</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5</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反映辖区居民对《深圳市生活垃圾分类工作激励办法》的知晓程度，考核政策宣传的效果。</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一般采用抽样调查的方式，根据项目抽样调查结果，居民政策知晓率达到90%，本指标得满分；85%以上、不满90%的得4分；80%以上、不满85%的得3分；75%以上、不满80%的得2分；70%以上、不满75%得1分；不满70%的不得分。</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5</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3</w:t>
            </w:r>
          </w:p>
        </w:tc>
        <w:tc>
          <w:tcPr>
            <w:tcW w:w="636"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政策知晓率为</w:t>
            </w:r>
            <w:r>
              <w:rPr>
                <w:rFonts w:ascii="宋体" w:hAnsi="宋体" w:cs="宋体"/>
                <w:color w:val="000000"/>
              </w:rPr>
              <w:t>83.58</w:t>
            </w:r>
            <w:r>
              <w:rPr>
                <w:rFonts w:hint="eastAsia" w:ascii="宋体" w:hAnsi="宋体" w:cs="宋体"/>
                <w:color w:val="000000"/>
              </w:rPr>
              <w:t>%，该项指标得</w:t>
            </w:r>
            <w:r>
              <w:rPr>
                <w:rFonts w:ascii="宋体" w:hAnsi="宋体" w:cs="宋体"/>
                <w:color w:val="000000"/>
              </w:rPr>
              <w:t>3</w:t>
            </w:r>
            <w:r>
              <w:rPr>
                <w:rFonts w:hint="eastAsia" w:ascii="宋体" w:hAnsi="宋体" w:cs="宋体"/>
                <w:color w:val="00000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生态效益</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14</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厨余垃圾分类率</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反映辖区内厨余垃圾分类情况。</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根据辖区相关统计数据，2022年底厨余垃圾分类率达到24%，得满分；否则每较指标值下降1%，扣除权重的1分，扣完为止。</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6</w:t>
            </w:r>
          </w:p>
        </w:tc>
        <w:tc>
          <w:tcPr>
            <w:tcW w:w="636"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生活垃圾回收利用率</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8</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反映辖区分类回收处理的可回收物和厨余垃圾占生活垃圾产生量的比例。</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根据辖区相关统计数据，2022年底前生活垃圾回收利用率达到</w:t>
            </w:r>
            <w:r>
              <w:rPr>
                <w:rFonts w:ascii="宋体" w:hAnsi="宋体" w:cs="宋体"/>
                <w:color w:val="FF0000"/>
              </w:rPr>
              <w:t>46</w:t>
            </w:r>
            <w:r>
              <w:rPr>
                <w:rFonts w:ascii="宋体" w:hAnsi="宋体" w:cs="宋体"/>
                <w:color w:val="000000"/>
              </w:rPr>
              <w:t>%，本指标得满分；否则每较指标值下降1%，扣除权重的1分，扣完为止。</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8</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8</w:t>
            </w:r>
          </w:p>
        </w:tc>
        <w:tc>
          <w:tcPr>
            <w:tcW w:w="636"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可持续影响</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落实垃圾分类要求持续性</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反映被激励对象是否持续积极参与垃圾分类工作且成效显著。</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一般采用抽样调查的方式，对被激励对象进行复查，每发现一个激励对象未按要求开展垃圾分类工作，扣除0.5分，扣完为止。</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ascii="宋体" w:hAnsi="宋体" w:cs="宋体"/>
                <w:color w:val="000000"/>
              </w:rPr>
              <w:t>2</w:t>
            </w:r>
          </w:p>
        </w:tc>
        <w:tc>
          <w:tcPr>
            <w:tcW w:w="636"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现场调查6个绿色小区，其中4个绿色小区未有效落实垃圾分类工作，扣2分。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满意度</w:t>
            </w:r>
          </w:p>
        </w:tc>
        <w:tc>
          <w:tcPr>
            <w:tcW w:w="215" w:type="pct"/>
            <w:vMerge w:val="restar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10</w:t>
            </w: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公众对垃圾分类激励工作满意度</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5</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辖区内社会公众对辖区开展垃圾分类激励工作的满意程度。（仅针对《深圳市生活垃圾分类工作激励办法》（深城管规〔2019〕4 号））</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根据满意度调查，对激励工作满意度达到90%，本指标得满分；85%以上、不满90%的得4分；80%以上、不满85%的得3分；75%以上、不满80%的得2分；70%以上、不满75%得1分；不满70%的不得分。</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5</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4</w:t>
            </w:r>
          </w:p>
        </w:tc>
        <w:tc>
          <w:tcPr>
            <w:tcW w:w="636"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居民对生活垃圾分类激励工作满意度为</w:t>
            </w:r>
            <w:r>
              <w:rPr>
                <w:rFonts w:ascii="宋体" w:hAnsi="宋体" w:cs="宋体"/>
                <w:color w:val="000000"/>
              </w:rPr>
              <w:t>85.67%</w:t>
            </w:r>
            <w:r>
              <w:rPr>
                <w:rFonts w:hint="eastAsia" w:ascii="宋体" w:hAnsi="宋体" w:cs="宋体"/>
                <w:color w:val="000000"/>
              </w:rPr>
              <w:t>%，该指标得</w:t>
            </w:r>
            <w:r>
              <w:rPr>
                <w:rFonts w:ascii="宋体" w:hAnsi="宋体" w:cs="宋体"/>
                <w:color w:val="000000"/>
              </w:rPr>
              <w:t>4</w:t>
            </w:r>
            <w:r>
              <w:rPr>
                <w:rFonts w:hint="eastAsia" w:ascii="宋体" w:hAnsi="宋体" w:cs="宋体"/>
                <w:color w:val="00000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vMerge w:val="continue"/>
            <w:vAlign w:val="center"/>
          </w:tcPr>
          <w:p>
            <w:pPr>
              <w:kinsoku w:val="0"/>
              <w:autoSpaceDE w:val="0"/>
              <w:autoSpaceDN w:val="0"/>
              <w:adjustRightInd w:val="0"/>
              <w:snapToGrid w:val="0"/>
              <w:jc w:val="left"/>
              <w:rPr>
                <w:rFonts w:ascii="宋体" w:hAnsi="宋体" w:cs="宋体"/>
                <w:color w:val="000000"/>
              </w:rPr>
            </w:pPr>
          </w:p>
        </w:tc>
        <w:tc>
          <w:tcPr>
            <w:tcW w:w="215" w:type="pct"/>
            <w:vMerge w:val="continue"/>
            <w:vAlign w:val="center"/>
          </w:tcPr>
          <w:p>
            <w:pPr>
              <w:kinsoku w:val="0"/>
              <w:autoSpaceDE w:val="0"/>
              <w:autoSpaceDN w:val="0"/>
              <w:adjustRightInd w:val="0"/>
              <w:snapToGrid w:val="0"/>
              <w:jc w:val="left"/>
              <w:rPr>
                <w:rFonts w:ascii="宋体" w:hAnsi="宋体" w:cs="宋体"/>
                <w:color w:val="000000"/>
              </w:rPr>
            </w:pPr>
          </w:p>
        </w:tc>
        <w:tc>
          <w:tcPr>
            <w:tcW w:w="21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公众对垃圾分类工作满意度</w:t>
            </w:r>
          </w:p>
        </w:tc>
        <w:tc>
          <w:tcPr>
            <w:tcW w:w="215"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5</w:t>
            </w:r>
          </w:p>
        </w:tc>
        <w:tc>
          <w:tcPr>
            <w:tcW w:w="869"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辖区内社会公众对辖区垃圾分类工作的满意程度。</w:t>
            </w:r>
          </w:p>
        </w:tc>
        <w:tc>
          <w:tcPr>
            <w:tcW w:w="1620" w:type="pct"/>
            <w:shd w:val="clear" w:color="auto" w:fill="auto"/>
            <w:vAlign w:val="center"/>
          </w:tcPr>
          <w:p>
            <w:pPr>
              <w:kinsoku w:val="0"/>
              <w:autoSpaceDE w:val="0"/>
              <w:autoSpaceDN w:val="0"/>
              <w:adjustRightInd w:val="0"/>
              <w:snapToGrid w:val="0"/>
              <w:jc w:val="left"/>
              <w:rPr>
                <w:rFonts w:ascii="宋体" w:hAnsi="宋体" w:cs="宋体"/>
                <w:color w:val="000000"/>
              </w:rPr>
            </w:pPr>
            <w:r>
              <w:rPr>
                <w:rFonts w:hint="eastAsia" w:ascii="宋体" w:hAnsi="宋体" w:cs="宋体"/>
                <w:color w:val="000000"/>
              </w:rPr>
              <w:t>根据满意度调查，对垃圾分类工作满意度达到90%，本指标得满分；85%以上、不满90%的得4分；80%以上、不满85%的得3分；75%以上、不满80%的得2分；70%以上、不满75%得1分；不满70%的不得分。</w:t>
            </w:r>
          </w:p>
        </w:tc>
        <w:tc>
          <w:tcPr>
            <w:tcW w:w="294"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5</w:t>
            </w:r>
          </w:p>
        </w:tc>
        <w:tc>
          <w:tcPr>
            <w:tcW w:w="294" w:type="pct"/>
            <w:shd w:val="clear" w:color="auto" w:fill="auto"/>
            <w:noWrap/>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color w:val="000000"/>
              </w:rPr>
              <w:t>5</w:t>
            </w:r>
          </w:p>
        </w:tc>
        <w:tc>
          <w:tcPr>
            <w:tcW w:w="636" w:type="pct"/>
            <w:shd w:val="clear" w:color="auto" w:fill="auto"/>
            <w:vAlign w:val="center"/>
          </w:tcPr>
          <w:p>
            <w:pPr>
              <w:kinsoku w:val="0"/>
              <w:autoSpaceDE w:val="0"/>
              <w:autoSpaceDN w:val="0"/>
              <w:adjustRightInd w:val="0"/>
              <w:snapToGrid w:val="0"/>
              <w:jc w:val="center"/>
              <w:rPr>
                <w:rFonts w:ascii="宋体" w:hAnsi="宋体" w:cs="宋体"/>
                <w:color w:val="000000"/>
              </w:rPr>
            </w:pPr>
            <w:r>
              <w:rPr>
                <w:rFonts w:hint="eastAsia" w:ascii="宋体" w:hAnsi="宋体" w:cs="宋体"/>
                <w:b/>
                <w:bCs/>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4"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总分</w:t>
            </w:r>
          </w:p>
        </w:tc>
        <w:tc>
          <w:tcPr>
            <w:tcW w:w="215"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100</w:t>
            </w:r>
          </w:p>
        </w:tc>
        <w:tc>
          <w:tcPr>
            <w:tcW w:w="214"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w:t>
            </w:r>
          </w:p>
        </w:tc>
        <w:tc>
          <w:tcPr>
            <w:tcW w:w="215"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100</w:t>
            </w:r>
          </w:p>
        </w:tc>
        <w:tc>
          <w:tcPr>
            <w:tcW w:w="214"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w:t>
            </w:r>
          </w:p>
        </w:tc>
        <w:tc>
          <w:tcPr>
            <w:tcW w:w="215"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100</w:t>
            </w:r>
          </w:p>
        </w:tc>
        <w:tc>
          <w:tcPr>
            <w:tcW w:w="869"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w:t>
            </w:r>
          </w:p>
        </w:tc>
        <w:tc>
          <w:tcPr>
            <w:tcW w:w="1620"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w:t>
            </w:r>
          </w:p>
        </w:tc>
        <w:tc>
          <w:tcPr>
            <w:tcW w:w="294"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100</w:t>
            </w:r>
          </w:p>
        </w:tc>
        <w:tc>
          <w:tcPr>
            <w:tcW w:w="294"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9</w:t>
            </w:r>
            <w:r>
              <w:rPr>
                <w:rFonts w:ascii="宋体" w:hAnsi="宋体" w:cs="宋体"/>
                <w:b/>
                <w:bCs/>
                <w:color w:val="000000"/>
              </w:rPr>
              <w:t>2.25</w:t>
            </w:r>
          </w:p>
        </w:tc>
        <w:tc>
          <w:tcPr>
            <w:tcW w:w="636" w:type="pct"/>
            <w:shd w:val="clear" w:color="auto" w:fill="auto"/>
            <w:noWrap/>
            <w:vAlign w:val="center"/>
          </w:tcPr>
          <w:p>
            <w:pPr>
              <w:kinsoku w:val="0"/>
              <w:autoSpaceDE w:val="0"/>
              <w:autoSpaceDN w:val="0"/>
              <w:adjustRightInd w:val="0"/>
              <w:snapToGrid w:val="0"/>
              <w:jc w:val="center"/>
              <w:rPr>
                <w:rFonts w:ascii="宋体" w:hAnsi="宋体" w:cs="宋体"/>
                <w:b/>
                <w:bCs/>
                <w:color w:val="000000"/>
              </w:rPr>
            </w:pPr>
            <w:r>
              <w:rPr>
                <w:rFonts w:hint="eastAsia" w:ascii="宋体" w:hAnsi="宋体" w:cs="宋体"/>
                <w:b/>
                <w:bCs/>
                <w:color w:val="000000"/>
              </w:rPr>
              <w:t>/</w:t>
            </w:r>
          </w:p>
        </w:tc>
      </w:tr>
    </w:tbl>
    <w:p>
      <w:pPr>
        <w:spacing w:line="600" w:lineRule="exact"/>
        <w:rPr>
          <w:rFonts w:ascii="仿宋_GB2312" w:eastAsia="仿宋_GB2312" w:cs="仿宋_GB2312"/>
          <w:bCs/>
          <w:sz w:val="32"/>
          <w:szCs w:val="32"/>
        </w:rPr>
      </w:pPr>
    </w:p>
    <w:p>
      <w:pPr>
        <w:spacing w:line="600" w:lineRule="exact"/>
        <w:rPr>
          <w:rFonts w:ascii="仿宋_GB2312" w:eastAsia="仿宋_GB2312" w:cs="仿宋_GB2312"/>
          <w:bCs/>
          <w:sz w:val="32"/>
          <w:szCs w:val="32"/>
        </w:rPr>
      </w:pPr>
    </w:p>
    <w:p>
      <w:pPr>
        <w:spacing w:line="600" w:lineRule="exact"/>
        <w:rPr>
          <w:rFonts w:ascii="仿宋_GB2312" w:eastAsia="仿宋_GB2312" w:cs="仿宋_GB2312"/>
          <w:bCs/>
          <w:sz w:val="32"/>
          <w:szCs w:val="32"/>
        </w:rPr>
      </w:pPr>
    </w:p>
    <w:p>
      <w:pPr>
        <w:widowControl/>
        <w:jc w:val="left"/>
        <w:rPr>
          <w:rFonts w:ascii="仿宋_GB2312" w:eastAsia="仿宋_GB2312" w:cs="仿宋_GB2312"/>
          <w:bCs/>
          <w:sz w:val="30"/>
          <w:szCs w:val="30"/>
        </w:rPr>
        <w:sectPr>
          <w:pgSz w:w="16838" w:h="11906" w:orient="landscape"/>
          <w:pgMar w:top="1800" w:right="1440" w:bottom="1800" w:left="1440" w:header="851" w:footer="992" w:gutter="0"/>
          <w:cols w:space="425" w:num="1"/>
          <w:docGrid w:type="lines" w:linePitch="312" w:charSpace="0"/>
        </w:sectPr>
      </w:pPr>
    </w:p>
    <w:p>
      <w:pPr>
        <w:spacing w:line="600" w:lineRule="exact"/>
        <w:outlineLvl w:val="1"/>
        <w:rPr>
          <w:rFonts w:ascii="黑体" w:hAnsi="黑体" w:eastAsia="黑体" w:cs="仿宋_GB2312"/>
          <w:sz w:val="32"/>
          <w:szCs w:val="32"/>
        </w:rPr>
      </w:pPr>
      <w:bookmarkStart w:id="45" w:name="_Toc148104167"/>
      <w:r>
        <w:rPr>
          <w:rFonts w:hint="eastAsia" w:ascii="黑体" w:hAnsi="黑体" w:eastAsia="黑体" w:cs="仿宋_GB2312"/>
          <w:sz w:val="32"/>
          <w:szCs w:val="32"/>
        </w:rPr>
        <w:t>附件</w:t>
      </w:r>
      <w:r>
        <w:rPr>
          <w:rFonts w:ascii="黑体" w:hAnsi="黑体" w:eastAsia="黑体" w:cs="仿宋_GB2312"/>
          <w:sz w:val="32"/>
          <w:szCs w:val="32"/>
        </w:rPr>
        <w:t xml:space="preserve">2 </w:t>
      </w:r>
      <w:r>
        <w:rPr>
          <w:rFonts w:hint="eastAsia" w:ascii="黑体" w:hAnsi="黑体" w:eastAsia="黑体" w:cs="仿宋_GB2312"/>
          <w:sz w:val="32"/>
          <w:szCs w:val="32"/>
        </w:rPr>
        <w:t>《深圳市龙华区生活垃圾分类及相应激励工作满意度调查问卷》及数据</w:t>
      </w:r>
      <w:bookmarkEnd w:id="45"/>
    </w:p>
    <w:p>
      <w:pPr>
        <w:rPr>
          <w:rFonts w:ascii="宋体" w:hAnsi="宋体"/>
          <w:color w:val="000000"/>
        </w:rPr>
      </w:pPr>
    </w:p>
    <w:p>
      <w:pPr>
        <w:rPr>
          <w:rFonts w:ascii="宋体" w:hAnsi="宋体"/>
          <w:color w:val="0066FF"/>
        </w:rPr>
      </w:pPr>
      <w:r>
        <w:rPr>
          <w:rFonts w:ascii="宋体" w:hAnsi="宋体"/>
          <w:color w:val="000000"/>
        </w:rPr>
        <w:t xml:space="preserve">1.您所在的街道?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龙华街道</w:t>
            </w:r>
          </w:p>
        </w:tc>
        <w:tc>
          <w:tcPr>
            <w:tcW w:w="999" w:type="dxa"/>
            <w:shd w:val="clear" w:color="auto" w:fill="FFFFFF"/>
            <w:vAlign w:val="center"/>
          </w:tcPr>
          <w:p>
            <w:pPr>
              <w:jc w:val="center"/>
              <w:rPr>
                <w:rFonts w:ascii="宋体" w:hAnsi="宋体"/>
              </w:rPr>
            </w:pPr>
            <w:r>
              <w:rPr>
                <w:rFonts w:ascii="宋体" w:hAnsi="宋体"/>
              </w:rPr>
              <w:t>93</w:t>
            </w:r>
          </w:p>
        </w:tc>
        <w:tc>
          <w:tcPr>
            <w:tcW w:w="3104" w:type="dxa"/>
            <w:shd w:val="clear" w:color="auto" w:fill="FFFFFF"/>
            <w:vAlign w:val="center"/>
          </w:tcPr>
          <w:p>
            <w:pPr>
              <w:rPr>
                <w:rFonts w:ascii="宋体" w:hAnsi="宋体"/>
              </w:rPr>
            </w:pPr>
            <w:r>
              <w:rPr>
                <w:rFonts w:ascii="宋体" w:hAnsi="宋体"/>
              </w:rPr>
              <w:drawing>
                <wp:inline distT="0" distB="0" distL="0" distR="0">
                  <wp:extent cx="180975" cy="1143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1"/>
                          <a:stretch>
                            <a:fillRect/>
                          </a:stretch>
                        </pic:blipFill>
                        <pic:spPr>
                          <a:xfrm>
                            <a:off x="0" y="0"/>
                            <a:ext cx="181000" cy="114316"/>
                          </a:xfrm>
                          <a:prstGeom prst="rect">
                            <a:avLst/>
                          </a:prstGeom>
                        </pic:spPr>
                      </pic:pic>
                    </a:graphicData>
                  </a:graphic>
                </wp:inline>
              </w:drawing>
            </w:r>
            <w:r>
              <w:rPr>
                <w:rFonts w:ascii="宋体" w:hAnsi="宋体"/>
              </w:rPr>
              <w:drawing>
                <wp:inline distT="0" distB="0" distL="0" distR="0">
                  <wp:extent cx="1171575" cy="114300"/>
                  <wp:effectExtent l="0" t="0" r="0" b="0"/>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pic:cNvPicPr>
                            <a:picLocks noChangeAspect="1"/>
                          </pic:cNvPicPr>
                        </pic:nvPicPr>
                        <pic:blipFill>
                          <a:blip r:embed="rId12"/>
                          <a:stretch>
                            <a:fillRect/>
                          </a:stretch>
                        </pic:blipFill>
                        <pic:spPr>
                          <a:xfrm>
                            <a:off x="0" y="0"/>
                            <a:ext cx="1171739" cy="114316"/>
                          </a:xfrm>
                          <a:prstGeom prst="rect">
                            <a:avLst/>
                          </a:prstGeom>
                        </pic:spPr>
                      </pic:pic>
                    </a:graphicData>
                  </a:graphic>
                </wp:inline>
              </w:drawing>
            </w:r>
            <w:r>
              <w:rPr>
                <w:rFonts w:ascii="宋体" w:hAnsi="宋体"/>
              </w:rPr>
              <w:t>13.88%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大浪街道</w:t>
            </w:r>
          </w:p>
        </w:tc>
        <w:tc>
          <w:tcPr>
            <w:tcW w:w="999" w:type="dxa"/>
            <w:shd w:val="clear" w:color="auto" w:fill="FAFAFA"/>
            <w:vAlign w:val="center"/>
          </w:tcPr>
          <w:p>
            <w:pPr>
              <w:jc w:val="center"/>
              <w:rPr>
                <w:rFonts w:ascii="宋体" w:hAnsi="宋体"/>
              </w:rPr>
            </w:pPr>
            <w:r>
              <w:rPr>
                <w:rFonts w:ascii="宋体" w:hAnsi="宋体"/>
              </w:rPr>
              <w:t>97</w:t>
            </w:r>
          </w:p>
        </w:tc>
        <w:tc>
          <w:tcPr>
            <w:tcW w:w="3104" w:type="dxa"/>
            <w:shd w:val="clear" w:color="auto" w:fill="FAFAFA"/>
            <w:vAlign w:val="center"/>
          </w:tcPr>
          <w:p>
            <w:pPr>
              <w:rPr>
                <w:rFonts w:ascii="宋体" w:hAnsi="宋体"/>
              </w:rPr>
            </w:pPr>
            <w:r>
              <w:rPr>
                <w:rFonts w:ascii="宋体" w:hAnsi="宋体"/>
              </w:rPr>
              <w:drawing>
                <wp:inline distT="0" distB="0" distL="0" distR="0">
                  <wp:extent cx="190500" cy="1143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a:stretch>
                            <a:fillRect/>
                          </a:stretch>
                        </pic:blipFill>
                        <pic:spPr>
                          <a:xfrm>
                            <a:off x="0" y="0"/>
                            <a:ext cx="190527" cy="114316"/>
                          </a:xfrm>
                          <a:prstGeom prst="rect">
                            <a:avLst/>
                          </a:prstGeom>
                        </pic:spPr>
                      </pic:pic>
                    </a:graphicData>
                  </a:graphic>
                </wp:inline>
              </w:drawing>
            </w:r>
            <w:r>
              <w:rPr>
                <w:rFonts w:ascii="宋体" w:hAnsi="宋体"/>
              </w:rPr>
              <w:drawing>
                <wp:inline distT="0" distB="0" distL="0" distR="0">
                  <wp:extent cx="1162050" cy="1143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4"/>
                          <a:stretch>
                            <a:fillRect/>
                          </a:stretch>
                        </pic:blipFill>
                        <pic:spPr>
                          <a:xfrm>
                            <a:off x="0" y="0"/>
                            <a:ext cx="1162212" cy="114316"/>
                          </a:xfrm>
                          <a:prstGeom prst="rect">
                            <a:avLst/>
                          </a:prstGeom>
                        </pic:spPr>
                      </pic:pic>
                    </a:graphicData>
                  </a:graphic>
                </wp:inline>
              </w:drawing>
            </w:r>
            <w:r>
              <w:rPr>
                <w:rFonts w:ascii="宋体" w:hAnsi="宋体"/>
              </w:rPr>
              <w:t>14.48%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民治街道</w:t>
            </w:r>
          </w:p>
        </w:tc>
        <w:tc>
          <w:tcPr>
            <w:tcW w:w="999" w:type="dxa"/>
            <w:shd w:val="clear" w:color="auto" w:fill="FFFFFF"/>
            <w:vAlign w:val="center"/>
          </w:tcPr>
          <w:p>
            <w:pPr>
              <w:jc w:val="center"/>
              <w:rPr>
                <w:rFonts w:ascii="宋体" w:hAnsi="宋体"/>
              </w:rPr>
            </w:pPr>
            <w:r>
              <w:rPr>
                <w:rFonts w:ascii="宋体" w:hAnsi="宋体"/>
              </w:rPr>
              <w:t>103</w:t>
            </w:r>
          </w:p>
        </w:tc>
        <w:tc>
          <w:tcPr>
            <w:tcW w:w="3104" w:type="dxa"/>
            <w:shd w:val="clear" w:color="auto" w:fill="FFFFFF"/>
            <w:vAlign w:val="center"/>
          </w:tcPr>
          <w:p>
            <w:pPr>
              <w:rPr>
                <w:rFonts w:ascii="宋体" w:hAnsi="宋体"/>
              </w:rPr>
            </w:pPr>
            <w:r>
              <w:rPr>
                <w:rFonts w:ascii="宋体" w:hAnsi="宋体"/>
              </w:rPr>
              <w:drawing>
                <wp:inline distT="0" distB="0" distL="0" distR="0">
                  <wp:extent cx="200025" cy="1143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5"/>
                          <a:stretch>
                            <a:fillRect/>
                          </a:stretch>
                        </pic:blipFill>
                        <pic:spPr>
                          <a:xfrm>
                            <a:off x="0" y="0"/>
                            <a:ext cx="200053" cy="114316"/>
                          </a:xfrm>
                          <a:prstGeom prst="rect">
                            <a:avLst/>
                          </a:prstGeom>
                        </pic:spPr>
                      </pic:pic>
                    </a:graphicData>
                  </a:graphic>
                </wp:inline>
              </w:drawing>
            </w:r>
            <w:r>
              <w:rPr>
                <w:rFonts w:ascii="宋体" w:hAnsi="宋体"/>
              </w:rPr>
              <w:drawing>
                <wp:inline distT="0" distB="0" distL="0" distR="0">
                  <wp:extent cx="1152525" cy="1143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6"/>
                          <a:stretch>
                            <a:fillRect/>
                          </a:stretch>
                        </pic:blipFill>
                        <pic:spPr>
                          <a:xfrm>
                            <a:off x="0" y="0"/>
                            <a:ext cx="1152686" cy="114316"/>
                          </a:xfrm>
                          <a:prstGeom prst="rect">
                            <a:avLst/>
                          </a:prstGeom>
                        </pic:spPr>
                      </pic:pic>
                    </a:graphicData>
                  </a:graphic>
                </wp:inline>
              </w:drawing>
            </w:r>
            <w:r>
              <w:rPr>
                <w:rFonts w:ascii="宋体" w:hAnsi="宋体"/>
              </w:rPr>
              <w:t>15.37%</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观湖街道</w:t>
            </w:r>
          </w:p>
        </w:tc>
        <w:tc>
          <w:tcPr>
            <w:tcW w:w="999" w:type="dxa"/>
            <w:shd w:val="clear" w:color="auto" w:fill="FAFAFA"/>
            <w:vAlign w:val="center"/>
          </w:tcPr>
          <w:p>
            <w:pPr>
              <w:jc w:val="center"/>
              <w:rPr>
                <w:rFonts w:ascii="宋体" w:hAnsi="宋体"/>
              </w:rPr>
            </w:pPr>
            <w:r>
              <w:rPr>
                <w:rFonts w:ascii="宋体" w:hAnsi="宋体"/>
              </w:rPr>
              <w:t>150</w:t>
            </w:r>
          </w:p>
        </w:tc>
        <w:tc>
          <w:tcPr>
            <w:tcW w:w="3104" w:type="dxa"/>
            <w:shd w:val="clear" w:color="auto" w:fill="FAFAFA"/>
            <w:vAlign w:val="center"/>
          </w:tcPr>
          <w:p>
            <w:pPr>
              <w:rPr>
                <w:rFonts w:ascii="宋体" w:hAnsi="宋体"/>
              </w:rPr>
            </w:pPr>
            <w:r>
              <w:rPr>
                <w:rFonts w:ascii="宋体" w:hAnsi="宋体"/>
              </w:rPr>
              <w:drawing>
                <wp:inline distT="0" distB="0" distL="0" distR="0">
                  <wp:extent cx="295275" cy="1143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7"/>
                          <a:stretch>
                            <a:fillRect/>
                          </a:stretch>
                        </pic:blipFill>
                        <pic:spPr>
                          <a:xfrm>
                            <a:off x="0" y="0"/>
                            <a:ext cx="295316" cy="114316"/>
                          </a:xfrm>
                          <a:prstGeom prst="rect">
                            <a:avLst/>
                          </a:prstGeom>
                        </pic:spPr>
                      </pic:pic>
                    </a:graphicData>
                  </a:graphic>
                </wp:inline>
              </w:drawing>
            </w:r>
            <w:r>
              <w:rPr>
                <w:rFonts w:ascii="宋体" w:hAnsi="宋体"/>
              </w:rPr>
              <w:drawing>
                <wp:inline distT="0" distB="0" distL="0" distR="0">
                  <wp:extent cx="1057275" cy="1143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8"/>
                          <a:stretch>
                            <a:fillRect/>
                          </a:stretch>
                        </pic:blipFill>
                        <pic:spPr>
                          <a:xfrm>
                            <a:off x="0" y="0"/>
                            <a:ext cx="1057423" cy="114316"/>
                          </a:xfrm>
                          <a:prstGeom prst="rect">
                            <a:avLst/>
                          </a:prstGeom>
                        </pic:spPr>
                      </pic:pic>
                    </a:graphicData>
                  </a:graphic>
                </wp:inline>
              </w:drawing>
            </w:r>
            <w:r>
              <w:rPr>
                <w:rFonts w:ascii="宋体" w:hAnsi="宋体"/>
              </w:rPr>
              <w:t>22.39%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福城街道</w:t>
            </w:r>
          </w:p>
        </w:tc>
        <w:tc>
          <w:tcPr>
            <w:tcW w:w="999" w:type="dxa"/>
            <w:shd w:val="clear" w:color="auto" w:fill="FFFFFF"/>
            <w:vAlign w:val="center"/>
          </w:tcPr>
          <w:p>
            <w:pPr>
              <w:jc w:val="center"/>
              <w:rPr>
                <w:rFonts w:ascii="宋体" w:hAnsi="宋体"/>
              </w:rPr>
            </w:pPr>
            <w:r>
              <w:rPr>
                <w:rFonts w:ascii="宋体" w:hAnsi="宋体"/>
              </w:rPr>
              <w:t>85</w:t>
            </w:r>
          </w:p>
        </w:tc>
        <w:tc>
          <w:tcPr>
            <w:tcW w:w="3104" w:type="dxa"/>
            <w:shd w:val="clear" w:color="auto" w:fill="FFFFFF"/>
            <w:vAlign w:val="center"/>
          </w:tcPr>
          <w:p>
            <w:pPr>
              <w:rPr>
                <w:rFonts w:ascii="宋体" w:hAnsi="宋体"/>
              </w:rPr>
            </w:pPr>
            <w:r>
              <w:rPr>
                <w:rFonts w:ascii="宋体" w:hAnsi="宋体"/>
              </w:rPr>
              <w:drawing>
                <wp:inline distT="0" distB="0" distL="0" distR="0">
                  <wp:extent cx="171450" cy="1143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9"/>
                          <a:stretch>
                            <a:fillRect/>
                          </a:stretch>
                        </pic:blipFill>
                        <pic:spPr>
                          <a:xfrm>
                            <a:off x="0" y="0"/>
                            <a:ext cx="171474" cy="114316"/>
                          </a:xfrm>
                          <a:prstGeom prst="rect">
                            <a:avLst/>
                          </a:prstGeom>
                        </pic:spPr>
                      </pic:pic>
                    </a:graphicData>
                  </a:graphic>
                </wp:inline>
              </w:drawing>
            </w:r>
            <w:r>
              <w:rPr>
                <w:rFonts w:ascii="宋体" w:hAnsi="宋体"/>
              </w:rPr>
              <w:drawing>
                <wp:inline distT="0" distB="0" distL="0" distR="0">
                  <wp:extent cx="1181100" cy="1143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20"/>
                          <a:stretch>
                            <a:fillRect/>
                          </a:stretch>
                        </pic:blipFill>
                        <pic:spPr>
                          <a:xfrm>
                            <a:off x="0" y="0"/>
                            <a:ext cx="1181265" cy="114316"/>
                          </a:xfrm>
                          <a:prstGeom prst="rect">
                            <a:avLst/>
                          </a:prstGeom>
                        </pic:spPr>
                      </pic:pic>
                    </a:graphicData>
                  </a:graphic>
                </wp:inline>
              </w:drawing>
            </w:r>
            <w:r>
              <w:rPr>
                <w:rFonts w:ascii="宋体" w:hAnsi="宋体"/>
              </w:rPr>
              <w:t>12.69%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观澜街道</w:t>
            </w:r>
          </w:p>
        </w:tc>
        <w:tc>
          <w:tcPr>
            <w:tcW w:w="999" w:type="dxa"/>
            <w:shd w:val="clear" w:color="auto" w:fill="FAFAFA"/>
            <w:vAlign w:val="center"/>
          </w:tcPr>
          <w:p>
            <w:pPr>
              <w:jc w:val="center"/>
              <w:rPr>
                <w:rFonts w:ascii="宋体" w:hAnsi="宋体"/>
              </w:rPr>
            </w:pPr>
            <w:r>
              <w:rPr>
                <w:rFonts w:ascii="宋体" w:hAnsi="宋体"/>
              </w:rPr>
              <w:t>142</w:t>
            </w:r>
          </w:p>
        </w:tc>
        <w:tc>
          <w:tcPr>
            <w:tcW w:w="3104" w:type="dxa"/>
            <w:shd w:val="clear" w:color="auto" w:fill="FAFAFA"/>
            <w:vAlign w:val="center"/>
          </w:tcPr>
          <w:p>
            <w:pPr>
              <w:rPr>
                <w:rFonts w:ascii="宋体" w:hAnsi="宋体"/>
              </w:rPr>
            </w:pPr>
            <w:r>
              <w:rPr>
                <w:rFonts w:ascii="宋体" w:hAnsi="宋体"/>
              </w:rPr>
              <w:drawing>
                <wp:inline distT="0" distB="0" distL="0" distR="0">
                  <wp:extent cx="285750" cy="1143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21"/>
                          <a:stretch>
                            <a:fillRect/>
                          </a:stretch>
                        </pic:blipFill>
                        <pic:spPr>
                          <a:xfrm>
                            <a:off x="0" y="0"/>
                            <a:ext cx="285790" cy="114316"/>
                          </a:xfrm>
                          <a:prstGeom prst="rect">
                            <a:avLst/>
                          </a:prstGeom>
                        </pic:spPr>
                      </pic:pic>
                    </a:graphicData>
                  </a:graphic>
                </wp:inline>
              </w:drawing>
            </w:r>
            <w:r>
              <w:rPr>
                <w:rFonts w:ascii="宋体" w:hAnsi="宋体"/>
              </w:rPr>
              <w:drawing>
                <wp:inline distT="0" distB="0" distL="0" distR="0">
                  <wp:extent cx="1066800" cy="1143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22"/>
                          <a:stretch>
                            <a:fillRect/>
                          </a:stretch>
                        </pic:blipFill>
                        <pic:spPr>
                          <a:xfrm>
                            <a:off x="0" y="0"/>
                            <a:ext cx="1066949" cy="114316"/>
                          </a:xfrm>
                          <a:prstGeom prst="rect">
                            <a:avLst/>
                          </a:prstGeom>
                        </pic:spPr>
                      </pic:pic>
                    </a:graphicData>
                  </a:graphic>
                </wp:inline>
              </w:drawing>
            </w:r>
            <w:r>
              <w:rPr>
                <w:rFonts w:ascii="宋体" w:hAnsi="宋体"/>
              </w:rPr>
              <w:t>21.19%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670</w:t>
            </w:r>
          </w:p>
        </w:tc>
        <w:tc>
          <w:tcPr>
            <w:tcW w:w="3104" w:type="dxa"/>
            <w:shd w:val="clear" w:color="auto" w:fill="F5F5F5"/>
            <w:vAlign w:val="center"/>
          </w:tcPr>
          <w:p>
            <w:pPr>
              <w:rPr>
                <w:rFonts w:ascii="宋体" w:hAnsi="宋体"/>
              </w:rPr>
            </w:pPr>
          </w:p>
        </w:tc>
      </w:tr>
    </w:tbl>
    <w:p>
      <w:pPr>
        <w:rPr>
          <w:rFonts w:ascii="宋体" w:hAnsi="宋体"/>
        </w:rPr>
      </w:pPr>
    </w:p>
    <w:p>
      <w:pPr>
        <w:rPr>
          <w:rFonts w:ascii="宋体" w:hAnsi="宋体"/>
          <w:color w:val="0066FF"/>
        </w:rPr>
      </w:pPr>
      <w:r>
        <w:rPr>
          <w:rFonts w:ascii="宋体" w:hAnsi="宋体"/>
          <w:color w:val="000000"/>
        </w:rPr>
        <w:t xml:space="preserve">2.处理生活垃圾时，您有将垃圾分类的习惯吗?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经常</w:t>
            </w:r>
          </w:p>
        </w:tc>
        <w:tc>
          <w:tcPr>
            <w:tcW w:w="999" w:type="dxa"/>
            <w:shd w:val="clear" w:color="auto" w:fill="FFFFFF"/>
            <w:vAlign w:val="center"/>
          </w:tcPr>
          <w:p>
            <w:pPr>
              <w:jc w:val="center"/>
              <w:rPr>
                <w:rFonts w:ascii="宋体" w:hAnsi="宋体"/>
              </w:rPr>
            </w:pPr>
            <w:r>
              <w:rPr>
                <w:rFonts w:ascii="宋体" w:hAnsi="宋体"/>
              </w:rPr>
              <w:t>555</w:t>
            </w:r>
          </w:p>
        </w:tc>
        <w:tc>
          <w:tcPr>
            <w:tcW w:w="3104" w:type="dxa"/>
            <w:shd w:val="clear" w:color="auto" w:fill="FFFFFF"/>
            <w:vAlign w:val="center"/>
          </w:tcPr>
          <w:p>
            <w:pPr>
              <w:rPr>
                <w:rFonts w:ascii="宋体" w:hAnsi="宋体"/>
              </w:rPr>
            </w:pPr>
            <w:r>
              <w:rPr>
                <w:rFonts w:ascii="宋体" w:hAnsi="宋体"/>
              </w:rPr>
              <w:drawing>
                <wp:inline distT="0" distB="0" distL="0" distR="0">
                  <wp:extent cx="1114425" cy="1143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23"/>
                          <a:stretch>
                            <a:fillRect/>
                          </a:stretch>
                        </pic:blipFill>
                        <pic:spPr>
                          <a:xfrm>
                            <a:off x="0" y="0"/>
                            <a:ext cx="1114581" cy="114316"/>
                          </a:xfrm>
                          <a:prstGeom prst="rect">
                            <a:avLst/>
                          </a:prstGeom>
                        </pic:spPr>
                      </pic:pic>
                    </a:graphicData>
                  </a:graphic>
                </wp:inline>
              </w:drawing>
            </w:r>
            <w:r>
              <w:rPr>
                <w:rFonts w:ascii="宋体" w:hAnsi="宋体"/>
              </w:rPr>
              <w:drawing>
                <wp:inline distT="0" distB="0" distL="0" distR="0">
                  <wp:extent cx="238125" cy="1143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4"/>
                          <a:stretch>
                            <a:fillRect/>
                          </a:stretch>
                        </pic:blipFill>
                        <pic:spPr>
                          <a:xfrm>
                            <a:off x="0" y="0"/>
                            <a:ext cx="238158" cy="114316"/>
                          </a:xfrm>
                          <a:prstGeom prst="rect">
                            <a:avLst/>
                          </a:prstGeom>
                        </pic:spPr>
                      </pic:pic>
                    </a:graphicData>
                  </a:graphic>
                </wp:inline>
              </w:drawing>
            </w:r>
            <w:r>
              <w:rPr>
                <w:rFonts w:ascii="宋体" w:hAnsi="宋体"/>
              </w:rPr>
              <w:t>82.84%</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偶尔</w:t>
            </w:r>
          </w:p>
        </w:tc>
        <w:tc>
          <w:tcPr>
            <w:tcW w:w="999" w:type="dxa"/>
            <w:shd w:val="clear" w:color="auto" w:fill="FAFAFA"/>
            <w:vAlign w:val="center"/>
          </w:tcPr>
          <w:p>
            <w:pPr>
              <w:jc w:val="center"/>
              <w:rPr>
                <w:rFonts w:ascii="宋体" w:hAnsi="宋体"/>
              </w:rPr>
            </w:pPr>
            <w:r>
              <w:rPr>
                <w:rFonts w:ascii="宋体" w:hAnsi="宋体"/>
              </w:rPr>
              <w:t>89</w:t>
            </w:r>
          </w:p>
        </w:tc>
        <w:tc>
          <w:tcPr>
            <w:tcW w:w="3104" w:type="dxa"/>
            <w:shd w:val="clear" w:color="auto" w:fill="FAFAFA"/>
            <w:vAlign w:val="center"/>
          </w:tcPr>
          <w:p>
            <w:pPr>
              <w:rPr>
                <w:rFonts w:ascii="宋体" w:hAnsi="宋体"/>
              </w:rPr>
            </w:pPr>
            <w:r>
              <w:rPr>
                <w:rFonts w:ascii="宋体" w:hAnsi="宋体"/>
              </w:rPr>
              <w:drawing>
                <wp:inline distT="0" distB="0" distL="0" distR="0">
                  <wp:extent cx="171450" cy="1143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a:stretch>
                            <a:fillRect/>
                          </a:stretch>
                        </pic:blipFill>
                        <pic:spPr>
                          <a:xfrm>
                            <a:off x="0" y="0"/>
                            <a:ext cx="171474" cy="114316"/>
                          </a:xfrm>
                          <a:prstGeom prst="rect">
                            <a:avLst/>
                          </a:prstGeom>
                        </pic:spPr>
                      </pic:pic>
                    </a:graphicData>
                  </a:graphic>
                </wp:inline>
              </w:drawing>
            </w:r>
            <w:r>
              <w:rPr>
                <w:rFonts w:ascii="宋体" w:hAnsi="宋体"/>
              </w:rPr>
              <w:drawing>
                <wp:inline distT="0" distB="0" distL="0" distR="0">
                  <wp:extent cx="1181100" cy="1143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0"/>
                          <a:stretch>
                            <a:fillRect/>
                          </a:stretch>
                        </pic:blipFill>
                        <pic:spPr>
                          <a:xfrm>
                            <a:off x="0" y="0"/>
                            <a:ext cx="1181265" cy="114316"/>
                          </a:xfrm>
                          <a:prstGeom prst="rect">
                            <a:avLst/>
                          </a:prstGeom>
                        </pic:spPr>
                      </pic:pic>
                    </a:graphicData>
                  </a:graphic>
                </wp:inline>
              </w:drawing>
            </w:r>
            <w:r>
              <w:rPr>
                <w:rFonts w:ascii="宋体" w:hAnsi="宋体"/>
              </w:rPr>
              <w:t>13.28%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很少</w:t>
            </w:r>
          </w:p>
        </w:tc>
        <w:tc>
          <w:tcPr>
            <w:tcW w:w="999" w:type="dxa"/>
            <w:shd w:val="clear" w:color="auto" w:fill="FFFFFF"/>
            <w:vAlign w:val="center"/>
          </w:tcPr>
          <w:p>
            <w:pPr>
              <w:jc w:val="center"/>
              <w:rPr>
                <w:rFonts w:ascii="宋体" w:hAnsi="宋体"/>
              </w:rPr>
            </w:pPr>
            <w:r>
              <w:rPr>
                <w:rFonts w:ascii="宋体" w:hAnsi="宋体"/>
              </w:rPr>
              <w:t>19</w:t>
            </w:r>
          </w:p>
        </w:tc>
        <w:tc>
          <w:tcPr>
            <w:tcW w:w="3104" w:type="dxa"/>
            <w:shd w:val="clear" w:color="auto" w:fill="FFFFFF"/>
            <w:vAlign w:val="center"/>
          </w:tcPr>
          <w:p>
            <w:pPr>
              <w:rPr>
                <w:rFonts w:ascii="宋体" w:hAnsi="宋体"/>
              </w:rPr>
            </w:pPr>
            <w:r>
              <w:rPr>
                <w:rFonts w:ascii="宋体" w:hAnsi="宋体"/>
              </w:rPr>
              <w:drawing>
                <wp:inline distT="0" distB="0" distL="0" distR="0">
                  <wp:extent cx="38100" cy="1143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5"/>
                          <a:stretch>
                            <a:fillRect/>
                          </a:stretch>
                        </pic:blipFill>
                        <pic:spPr>
                          <a:xfrm>
                            <a:off x="0" y="0"/>
                            <a:ext cx="38105" cy="114316"/>
                          </a:xfrm>
                          <a:prstGeom prst="rect">
                            <a:avLst/>
                          </a:prstGeom>
                        </pic:spPr>
                      </pic:pic>
                    </a:graphicData>
                  </a:graphic>
                </wp:inline>
              </w:drawing>
            </w:r>
            <w:r>
              <w:rPr>
                <w:rFonts w:ascii="宋体" w:hAnsi="宋体"/>
              </w:rPr>
              <w:drawing>
                <wp:inline distT="0" distB="0" distL="0" distR="0">
                  <wp:extent cx="1314450" cy="1143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6"/>
                          <a:stretch>
                            <a:fillRect/>
                          </a:stretch>
                        </pic:blipFill>
                        <pic:spPr>
                          <a:xfrm>
                            <a:off x="0" y="0"/>
                            <a:ext cx="1314634" cy="114316"/>
                          </a:xfrm>
                          <a:prstGeom prst="rect">
                            <a:avLst/>
                          </a:prstGeom>
                        </pic:spPr>
                      </pic:pic>
                    </a:graphicData>
                  </a:graphic>
                </wp:inline>
              </w:drawing>
            </w:r>
            <w:r>
              <w:rPr>
                <w:rFonts w:ascii="宋体" w:hAnsi="宋体"/>
              </w:rPr>
              <w:t>2.84%</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从来没有</w:t>
            </w:r>
          </w:p>
        </w:tc>
        <w:tc>
          <w:tcPr>
            <w:tcW w:w="999" w:type="dxa"/>
            <w:shd w:val="clear" w:color="auto" w:fill="FAFAFA"/>
            <w:vAlign w:val="center"/>
          </w:tcPr>
          <w:p>
            <w:pPr>
              <w:jc w:val="center"/>
              <w:rPr>
                <w:rFonts w:ascii="宋体" w:hAnsi="宋体"/>
              </w:rPr>
            </w:pPr>
            <w:r>
              <w:rPr>
                <w:rFonts w:ascii="宋体" w:hAnsi="宋体"/>
              </w:rPr>
              <w:t>7</w:t>
            </w:r>
          </w:p>
        </w:tc>
        <w:tc>
          <w:tcPr>
            <w:tcW w:w="3104" w:type="dxa"/>
            <w:shd w:val="clear" w:color="auto" w:fill="FAFAFA"/>
            <w:vAlign w:val="center"/>
          </w:tcPr>
          <w:p>
            <w:pPr>
              <w:rPr>
                <w:rFonts w:ascii="宋体" w:hAnsi="宋体"/>
              </w:rPr>
            </w:pPr>
            <w:r>
              <w:rPr>
                <w:rFonts w:ascii="宋体" w:hAnsi="宋体"/>
              </w:rPr>
              <w:drawing>
                <wp:inline distT="0" distB="0" distL="0" distR="0">
                  <wp:extent cx="9525" cy="1143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7"/>
                          <a:stretch>
                            <a:fillRect/>
                          </a:stretch>
                        </pic:blipFill>
                        <pic:spPr>
                          <a:xfrm>
                            <a:off x="0" y="0"/>
                            <a:ext cx="9526" cy="114316"/>
                          </a:xfrm>
                          <a:prstGeom prst="rect">
                            <a:avLst/>
                          </a:prstGeom>
                        </pic:spPr>
                      </pic:pic>
                    </a:graphicData>
                  </a:graphic>
                </wp:inline>
              </w:drawing>
            </w:r>
            <w:r>
              <w:rPr>
                <w:rFonts w:ascii="宋体" w:hAnsi="宋体"/>
              </w:rPr>
              <w:drawing>
                <wp:inline distT="0" distB="0" distL="0" distR="0">
                  <wp:extent cx="1343025" cy="1143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8"/>
                          <a:stretch>
                            <a:fillRect/>
                          </a:stretch>
                        </pic:blipFill>
                        <pic:spPr>
                          <a:xfrm>
                            <a:off x="0" y="0"/>
                            <a:ext cx="1343212" cy="114316"/>
                          </a:xfrm>
                          <a:prstGeom prst="rect">
                            <a:avLst/>
                          </a:prstGeom>
                        </pic:spPr>
                      </pic:pic>
                    </a:graphicData>
                  </a:graphic>
                </wp:inline>
              </w:drawing>
            </w:r>
            <w:r>
              <w:rPr>
                <w:rFonts w:ascii="宋体" w:hAnsi="宋体"/>
              </w:rPr>
              <w:t>1.04%</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670</w:t>
            </w:r>
          </w:p>
        </w:tc>
        <w:tc>
          <w:tcPr>
            <w:tcW w:w="3104" w:type="dxa"/>
            <w:shd w:val="clear" w:color="auto" w:fill="F5F5F5"/>
            <w:vAlign w:val="center"/>
          </w:tcPr>
          <w:p>
            <w:pPr>
              <w:rPr>
                <w:rFonts w:ascii="宋体" w:hAnsi="宋体"/>
              </w:rPr>
            </w:pPr>
          </w:p>
        </w:tc>
      </w:tr>
    </w:tbl>
    <w:p>
      <w:pPr>
        <w:rPr>
          <w:rFonts w:ascii="宋体" w:hAnsi="宋体"/>
        </w:rPr>
      </w:pPr>
    </w:p>
    <w:p>
      <w:pPr>
        <w:spacing w:line="300" w:lineRule="atLeast"/>
        <w:rPr>
          <w:rFonts w:ascii="宋体" w:hAnsi="宋体"/>
          <w:color w:val="444444"/>
        </w:rPr>
      </w:pPr>
      <w:r>
        <w:rPr>
          <w:rFonts w:ascii="宋体" w:hAnsi="宋体" w:cs="PMingLiU"/>
          <w:color w:val="444444"/>
        </w:rPr>
        <w:t>一、对龙华区生活垃圾分类工作的满意度</w:t>
      </w:r>
    </w:p>
    <w:p>
      <w:pPr>
        <w:rPr>
          <w:rFonts w:ascii="宋体" w:hAnsi="宋体"/>
          <w:color w:val="0066FF"/>
        </w:rPr>
      </w:pPr>
      <w:r>
        <w:rPr>
          <w:rFonts w:ascii="宋体" w:hAnsi="宋体"/>
          <w:color w:val="000000"/>
        </w:rPr>
        <w:t xml:space="preserve">3.在开展了生活垃圾分类工作之后，您对小区环境卫生满意吗?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非常满意</w:t>
            </w:r>
          </w:p>
        </w:tc>
        <w:tc>
          <w:tcPr>
            <w:tcW w:w="999" w:type="dxa"/>
            <w:shd w:val="clear" w:color="auto" w:fill="FFFFFF"/>
            <w:vAlign w:val="center"/>
          </w:tcPr>
          <w:p>
            <w:pPr>
              <w:jc w:val="center"/>
              <w:rPr>
                <w:rFonts w:ascii="宋体" w:hAnsi="宋体"/>
              </w:rPr>
            </w:pPr>
            <w:r>
              <w:rPr>
                <w:rFonts w:ascii="宋体" w:hAnsi="宋体"/>
              </w:rPr>
              <w:t>423</w:t>
            </w:r>
          </w:p>
        </w:tc>
        <w:tc>
          <w:tcPr>
            <w:tcW w:w="3104" w:type="dxa"/>
            <w:shd w:val="clear" w:color="auto" w:fill="FFFFFF"/>
            <w:vAlign w:val="center"/>
          </w:tcPr>
          <w:p>
            <w:pPr>
              <w:rPr>
                <w:rFonts w:ascii="宋体" w:hAnsi="宋体"/>
              </w:rPr>
            </w:pPr>
            <w:r>
              <w:rPr>
                <w:rFonts w:ascii="宋体" w:hAnsi="宋体"/>
              </w:rPr>
              <w:drawing>
                <wp:inline distT="0" distB="0" distL="0" distR="0">
                  <wp:extent cx="847725" cy="1143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9"/>
                          <a:stretch>
                            <a:fillRect/>
                          </a:stretch>
                        </pic:blipFill>
                        <pic:spPr>
                          <a:xfrm>
                            <a:off x="0" y="0"/>
                            <a:ext cx="847843" cy="114316"/>
                          </a:xfrm>
                          <a:prstGeom prst="rect">
                            <a:avLst/>
                          </a:prstGeom>
                        </pic:spPr>
                      </pic:pic>
                    </a:graphicData>
                  </a:graphic>
                </wp:inline>
              </w:drawing>
            </w:r>
            <w:r>
              <w:rPr>
                <w:rFonts w:ascii="宋体" w:hAnsi="宋体"/>
              </w:rPr>
              <w:drawing>
                <wp:inline distT="0" distB="0" distL="0" distR="0">
                  <wp:extent cx="504825" cy="1143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30"/>
                          <a:stretch>
                            <a:fillRect/>
                          </a:stretch>
                        </pic:blipFill>
                        <pic:spPr>
                          <a:xfrm>
                            <a:off x="0" y="0"/>
                            <a:ext cx="504895" cy="114316"/>
                          </a:xfrm>
                          <a:prstGeom prst="rect">
                            <a:avLst/>
                          </a:prstGeom>
                        </pic:spPr>
                      </pic:pic>
                    </a:graphicData>
                  </a:graphic>
                </wp:inline>
              </w:drawing>
            </w:r>
            <w:r>
              <w:rPr>
                <w:rFonts w:ascii="宋体" w:hAnsi="宋体"/>
              </w:rPr>
              <w:t>63.13%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比较满意</w:t>
            </w:r>
          </w:p>
        </w:tc>
        <w:tc>
          <w:tcPr>
            <w:tcW w:w="999" w:type="dxa"/>
            <w:shd w:val="clear" w:color="auto" w:fill="FAFAFA"/>
            <w:vAlign w:val="center"/>
          </w:tcPr>
          <w:p>
            <w:pPr>
              <w:jc w:val="center"/>
              <w:rPr>
                <w:rFonts w:ascii="宋体" w:hAnsi="宋体"/>
              </w:rPr>
            </w:pPr>
            <w:r>
              <w:rPr>
                <w:rFonts w:ascii="宋体" w:hAnsi="宋体"/>
              </w:rPr>
              <w:t>198</w:t>
            </w:r>
          </w:p>
        </w:tc>
        <w:tc>
          <w:tcPr>
            <w:tcW w:w="3104" w:type="dxa"/>
            <w:shd w:val="clear" w:color="auto" w:fill="FAFAFA"/>
            <w:vAlign w:val="center"/>
          </w:tcPr>
          <w:p>
            <w:pPr>
              <w:rPr>
                <w:rFonts w:ascii="宋体" w:hAnsi="宋体"/>
              </w:rPr>
            </w:pPr>
            <w:r>
              <w:rPr>
                <w:rFonts w:ascii="宋体" w:hAnsi="宋体"/>
              </w:rPr>
              <w:drawing>
                <wp:inline distT="0" distB="0" distL="0" distR="0">
                  <wp:extent cx="390525" cy="1143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31"/>
                          <a:stretch>
                            <a:fillRect/>
                          </a:stretch>
                        </pic:blipFill>
                        <pic:spPr>
                          <a:xfrm>
                            <a:off x="0" y="0"/>
                            <a:ext cx="390580" cy="114316"/>
                          </a:xfrm>
                          <a:prstGeom prst="rect">
                            <a:avLst/>
                          </a:prstGeom>
                        </pic:spPr>
                      </pic:pic>
                    </a:graphicData>
                  </a:graphic>
                </wp:inline>
              </w:drawing>
            </w:r>
            <w:r>
              <w:rPr>
                <w:rFonts w:ascii="宋体" w:hAnsi="宋体"/>
              </w:rPr>
              <w:drawing>
                <wp:inline distT="0" distB="0" distL="0" distR="0">
                  <wp:extent cx="962025" cy="1143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32"/>
                          <a:stretch>
                            <a:fillRect/>
                          </a:stretch>
                        </pic:blipFill>
                        <pic:spPr>
                          <a:xfrm>
                            <a:off x="0" y="0"/>
                            <a:ext cx="962159" cy="114316"/>
                          </a:xfrm>
                          <a:prstGeom prst="rect">
                            <a:avLst/>
                          </a:prstGeom>
                        </pic:spPr>
                      </pic:pic>
                    </a:graphicData>
                  </a:graphic>
                </wp:inline>
              </w:drawing>
            </w:r>
            <w:r>
              <w:rPr>
                <w:rFonts w:ascii="宋体" w:hAnsi="宋体"/>
              </w:rPr>
              <w:t>29.55%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一般</w:t>
            </w:r>
          </w:p>
        </w:tc>
        <w:tc>
          <w:tcPr>
            <w:tcW w:w="999" w:type="dxa"/>
            <w:shd w:val="clear" w:color="auto" w:fill="FFFFFF"/>
            <w:vAlign w:val="center"/>
          </w:tcPr>
          <w:p>
            <w:pPr>
              <w:jc w:val="center"/>
              <w:rPr>
                <w:rFonts w:ascii="宋体" w:hAnsi="宋体"/>
              </w:rPr>
            </w:pPr>
            <w:r>
              <w:rPr>
                <w:rFonts w:ascii="宋体" w:hAnsi="宋体"/>
              </w:rPr>
              <w:t>44</w:t>
            </w:r>
          </w:p>
        </w:tc>
        <w:tc>
          <w:tcPr>
            <w:tcW w:w="3104" w:type="dxa"/>
            <w:shd w:val="clear" w:color="auto" w:fill="FFFFFF"/>
            <w:vAlign w:val="center"/>
          </w:tcPr>
          <w:p>
            <w:pPr>
              <w:rPr>
                <w:rFonts w:ascii="宋体" w:hAnsi="宋体"/>
              </w:rPr>
            </w:pPr>
            <w:r>
              <w:rPr>
                <w:rFonts w:ascii="宋体" w:hAnsi="宋体"/>
              </w:rPr>
              <w:drawing>
                <wp:inline distT="0" distB="0" distL="0" distR="0">
                  <wp:extent cx="85725" cy="1143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33"/>
                          <a:stretch>
                            <a:fillRect/>
                          </a:stretch>
                        </pic:blipFill>
                        <pic:spPr>
                          <a:xfrm>
                            <a:off x="0" y="0"/>
                            <a:ext cx="85737" cy="114316"/>
                          </a:xfrm>
                          <a:prstGeom prst="rect">
                            <a:avLst/>
                          </a:prstGeom>
                        </pic:spPr>
                      </pic:pic>
                    </a:graphicData>
                  </a:graphic>
                </wp:inline>
              </w:drawing>
            </w:r>
            <w:r>
              <w:rPr>
                <w:rFonts w:ascii="宋体" w:hAnsi="宋体"/>
              </w:rPr>
              <w:drawing>
                <wp:inline distT="0" distB="0" distL="0" distR="0">
                  <wp:extent cx="1266825" cy="1143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34"/>
                          <a:stretch>
                            <a:fillRect/>
                          </a:stretch>
                        </pic:blipFill>
                        <pic:spPr>
                          <a:xfrm>
                            <a:off x="0" y="0"/>
                            <a:ext cx="1267002" cy="114316"/>
                          </a:xfrm>
                          <a:prstGeom prst="rect">
                            <a:avLst/>
                          </a:prstGeom>
                        </pic:spPr>
                      </pic:pic>
                    </a:graphicData>
                  </a:graphic>
                </wp:inline>
              </w:drawing>
            </w:r>
            <w:r>
              <w:rPr>
                <w:rFonts w:ascii="宋体" w:hAnsi="宋体"/>
              </w:rPr>
              <w:t>6.57%</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比较不满意</w:t>
            </w:r>
          </w:p>
        </w:tc>
        <w:tc>
          <w:tcPr>
            <w:tcW w:w="999" w:type="dxa"/>
            <w:shd w:val="clear" w:color="auto" w:fill="FAFAFA"/>
            <w:vAlign w:val="center"/>
          </w:tcPr>
          <w:p>
            <w:pPr>
              <w:jc w:val="center"/>
              <w:rPr>
                <w:rFonts w:ascii="宋体" w:hAnsi="宋体"/>
              </w:rPr>
            </w:pPr>
            <w:r>
              <w:rPr>
                <w:rFonts w:ascii="宋体" w:hAnsi="宋体"/>
              </w:rPr>
              <w:t>2</w:t>
            </w:r>
          </w:p>
        </w:tc>
        <w:tc>
          <w:tcPr>
            <w:tcW w:w="3104" w:type="dxa"/>
            <w:shd w:val="clear" w:color="auto" w:fill="FAFAFA"/>
            <w:vAlign w:val="center"/>
          </w:tcPr>
          <w:p>
            <w:pPr>
              <w:rPr>
                <w:rFonts w:ascii="宋体" w:hAnsi="宋体"/>
              </w:rPr>
            </w:pPr>
            <w:r>
              <w:rPr>
                <w:rFonts w:ascii="宋体" w:hAnsi="宋体"/>
              </w:rPr>
              <w:drawing>
                <wp:inline distT="0" distB="0" distL="0" distR="0">
                  <wp:extent cx="1352550" cy="1143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非常不满意</w:t>
            </w:r>
          </w:p>
        </w:tc>
        <w:tc>
          <w:tcPr>
            <w:tcW w:w="999" w:type="dxa"/>
            <w:shd w:val="clear" w:color="auto" w:fill="FFFFFF"/>
            <w:vAlign w:val="center"/>
          </w:tcPr>
          <w:p>
            <w:pPr>
              <w:jc w:val="center"/>
              <w:rPr>
                <w:rFonts w:ascii="宋体" w:hAnsi="宋体"/>
              </w:rPr>
            </w:pPr>
            <w:r>
              <w:rPr>
                <w:rFonts w:ascii="宋体" w:hAnsi="宋体"/>
              </w:rPr>
              <w:t>3</w:t>
            </w:r>
          </w:p>
        </w:tc>
        <w:tc>
          <w:tcPr>
            <w:tcW w:w="3104" w:type="dxa"/>
            <w:shd w:val="clear" w:color="auto" w:fill="FFFFFF"/>
            <w:vAlign w:val="center"/>
          </w:tcPr>
          <w:p>
            <w:pPr>
              <w:rPr>
                <w:rFonts w:ascii="宋体" w:hAnsi="宋体"/>
              </w:rPr>
            </w:pPr>
            <w:r>
              <w:rPr>
                <w:rFonts w:ascii="宋体" w:hAnsi="宋体"/>
              </w:rPr>
              <w:drawing>
                <wp:inline distT="0" distB="0" distL="0" distR="0">
                  <wp:extent cx="1352550" cy="114300"/>
                  <wp:effectExtent l="0" t="0" r="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0.45%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670</w:t>
            </w:r>
          </w:p>
        </w:tc>
        <w:tc>
          <w:tcPr>
            <w:tcW w:w="3104" w:type="dxa"/>
            <w:shd w:val="clear" w:color="auto" w:fill="F5F5F5"/>
            <w:vAlign w:val="center"/>
          </w:tcPr>
          <w:p>
            <w:pPr>
              <w:rPr>
                <w:rFonts w:ascii="宋体" w:hAnsi="宋体"/>
              </w:rPr>
            </w:pPr>
          </w:p>
        </w:tc>
      </w:tr>
    </w:tbl>
    <w:p>
      <w:pPr>
        <w:rPr>
          <w:rFonts w:ascii="宋体" w:hAnsi="宋体"/>
        </w:rPr>
      </w:pPr>
    </w:p>
    <w:p>
      <w:pPr>
        <w:rPr>
          <w:rFonts w:ascii="宋体" w:hAnsi="宋体"/>
        </w:rPr>
      </w:pPr>
    </w:p>
    <w:p>
      <w:pPr>
        <w:rPr>
          <w:rFonts w:ascii="宋体" w:hAnsi="宋体"/>
          <w:color w:val="0066FF"/>
        </w:rPr>
      </w:pPr>
      <w:r>
        <w:rPr>
          <w:rFonts w:ascii="宋体" w:hAnsi="宋体"/>
          <w:color w:val="000000"/>
        </w:rPr>
        <w:t xml:space="preserve">4.您对小区内开展的生活垃圾分类宣传活动满意吗?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非常满意</w:t>
            </w:r>
          </w:p>
        </w:tc>
        <w:tc>
          <w:tcPr>
            <w:tcW w:w="999" w:type="dxa"/>
            <w:shd w:val="clear" w:color="auto" w:fill="FFFFFF"/>
            <w:vAlign w:val="center"/>
          </w:tcPr>
          <w:p>
            <w:pPr>
              <w:jc w:val="center"/>
              <w:rPr>
                <w:rFonts w:ascii="宋体" w:hAnsi="宋体"/>
              </w:rPr>
            </w:pPr>
            <w:r>
              <w:rPr>
                <w:rFonts w:ascii="宋体" w:hAnsi="宋体"/>
              </w:rPr>
              <w:t>445</w:t>
            </w:r>
          </w:p>
        </w:tc>
        <w:tc>
          <w:tcPr>
            <w:tcW w:w="3104" w:type="dxa"/>
            <w:shd w:val="clear" w:color="auto" w:fill="FFFFFF"/>
            <w:vAlign w:val="center"/>
          </w:tcPr>
          <w:p>
            <w:pPr>
              <w:rPr>
                <w:rFonts w:ascii="宋体" w:hAnsi="宋体"/>
              </w:rPr>
            </w:pPr>
            <w:r>
              <w:rPr>
                <w:rFonts w:ascii="宋体" w:hAnsi="宋体"/>
              </w:rPr>
              <w:drawing>
                <wp:inline distT="0" distB="0" distL="0" distR="0">
                  <wp:extent cx="895350" cy="1143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36"/>
                          <a:stretch>
                            <a:fillRect/>
                          </a:stretch>
                        </pic:blipFill>
                        <pic:spPr>
                          <a:xfrm>
                            <a:off x="0" y="0"/>
                            <a:ext cx="895475" cy="114316"/>
                          </a:xfrm>
                          <a:prstGeom prst="rect">
                            <a:avLst/>
                          </a:prstGeom>
                        </pic:spPr>
                      </pic:pic>
                    </a:graphicData>
                  </a:graphic>
                </wp:inline>
              </w:drawing>
            </w:r>
            <w:r>
              <w:rPr>
                <w:rFonts w:ascii="宋体" w:hAnsi="宋体"/>
              </w:rPr>
              <w:drawing>
                <wp:inline distT="0" distB="0" distL="0" distR="0">
                  <wp:extent cx="457200" cy="114300"/>
                  <wp:effectExtent l="0" t="0" r="0" b="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37"/>
                          <a:stretch>
                            <a:fillRect/>
                          </a:stretch>
                        </pic:blipFill>
                        <pic:spPr>
                          <a:xfrm>
                            <a:off x="0" y="0"/>
                            <a:ext cx="457264" cy="114316"/>
                          </a:xfrm>
                          <a:prstGeom prst="rect">
                            <a:avLst/>
                          </a:prstGeom>
                        </pic:spPr>
                      </pic:pic>
                    </a:graphicData>
                  </a:graphic>
                </wp:inline>
              </w:drawing>
            </w:r>
            <w:r>
              <w:rPr>
                <w:rFonts w:ascii="宋体" w:hAnsi="宋体"/>
              </w:rPr>
              <w:t>66.42%</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比较满意</w:t>
            </w:r>
          </w:p>
        </w:tc>
        <w:tc>
          <w:tcPr>
            <w:tcW w:w="999" w:type="dxa"/>
            <w:shd w:val="clear" w:color="auto" w:fill="FAFAFA"/>
            <w:vAlign w:val="center"/>
          </w:tcPr>
          <w:p>
            <w:pPr>
              <w:jc w:val="center"/>
              <w:rPr>
                <w:rFonts w:ascii="宋体" w:hAnsi="宋体"/>
              </w:rPr>
            </w:pPr>
            <w:r>
              <w:rPr>
                <w:rFonts w:ascii="宋体" w:hAnsi="宋体"/>
              </w:rPr>
              <w:t>170</w:t>
            </w:r>
          </w:p>
        </w:tc>
        <w:tc>
          <w:tcPr>
            <w:tcW w:w="3104" w:type="dxa"/>
            <w:shd w:val="clear" w:color="auto" w:fill="FAFAFA"/>
            <w:vAlign w:val="center"/>
          </w:tcPr>
          <w:p>
            <w:pPr>
              <w:rPr>
                <w:rFonts w:ascii="宋体" w:hAnsi="宋体"/>
              </w:rPr>
            </w:pPr>
            <w:r>
              <w:rPr>
                <w:rFonts w:ascii="宋体" w:hAnsi="宋体"/>
              </w:rPr>
              <w:drawing>
                <wp:inline distT="0" distB="0" distL="0" distR="0">
                  <wp:extent cx="342900" cy="1143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38"/>
                          <a:stretch>
                            <a:fillRect/>
                          </a:stretch>
                        </pic:blipFill>
                        <pic:spPr>
                          <a:xfrm>
                            <a:off x="0" y="0"/>
                            <a:ext cx="342948" cy="114316"/>
                          </a:xfrm>
                          <a:prstGeom prst="rect">
                            <a:avLst/>
                          </a:prstGeom>
                        </pic:spPr>
                      </pic:pic>
                    </a:graphicData>
                  </a:graphic>
                </wp:inline>
              </w:drawing>
            </w:r>
            <w:r>
              <w:rPr>
                <w:rFonts w:ascii="宋体" w:hAnsi="宋体"/>
              </w:rPr>
              <w:drawing>
                <wp:inline distT="0" distB="0" distL="0" distR="0">
                  <wp:extent cx="1009650" cy="1143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39"/>
                          <a:stretch>
                            <a:fillRect/>
                          </a:stretch>
                        </pic:blipFill>
                        <pic:spPr>
                          <a:xfrm>
                            <a:off x="0" y="0"/>
                            <a:ext cx="1009791" cy="114316"/>
                          </a:xfrm>
                          <a:prstGeom prst="rect">
                            <a:avLst/>
                          </a:prstGeom>
                        </pic:spPr>
                      </pic:pic>
                    </a:graphicData>
                  </a:graphic>
                </wp:inline>
              </w:drawing>
            </w:r>
            <w:r>
              <w:rPr>
                <w:rFonts w:ascii="宋体" w:hAnsi="宋体"/>
              </w:rPr>
              <w:t>25.37%</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一般</w:t>
            </w:r>
          </w:p>
        </w:tc>
        <w:tc>
          <w:tcPr>
            <w:tcW w:w="999" w:type="dxa"/>
            <w:shd w:val="clear" w:color="auto" w:fill="FFFFFF"/>
            <w:vAlign w:val="center"/>
          </w:tcPr>
          <w:p>
            <w:pPr>
              <w:jc w:val="center"/>
              <w:rPr>
                <w:rFonts w:ascii="宋体" w:hAnsi="宋体"/>
              </w:rPr>
            </w:pPr>
            <w:r>
              <w:rPr>
                <w:rFonts w:ascii="宋体" w:hAnsi="宋体"/>
              </w:rPr>
              <w:t>51</w:t>
            </w:r>
          </w:p>
        </w:tc>
        <w:tc>
          <w:tcPr>
            <w:tcW w:w="3104" w:type="dxa"/>
            <w:shd w:val="clear" w:color="auto" w:fill="FFFFFF"/>
            <w:vAlign w:val="center"/>
          </w:tcPr>
          <w:p>
            <w:pPr>
              <w:rPr>
                <w:rFonts w:ascii="宋体" w:hAnsi="宋体"/>
              </w:rPr>
            </w:pPr>
            <w:r>
              <w:rPr>
                <w:rFonts w:ascii="宋体" w:hAnsi="宋体"/>
              </w:rPr>
              <w:drawing>
                <wp:inline distT="0" distB="0" distL="0" distR="0">
                  <wp:extent cx="95250" cy="1143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40"/>
                          <a:stretch>
                            <a:fillRect/>
                          </a:stretch>
                        </pic:blipFill>
                        <pic:spPr>
                          <a:xfrm>
                            <a:off x="0" y="0"/>
                            <a:ext cx="95263" cy="114316"/>
                          </a:xfrm>
                          <a:prstGeom prst="rect">
                            <a:avLst/>
                          </a:prstGeom>
                        </pic:spPr>
                      </pic:pic>
                    </a:graphicData>
                  </a:graphic>
                </wp:inline>
              </w:drawing>
            </w:r>
            <w:r>
              <w:rPr>
                <w:rFonts w:ascii="宋体" w:hAnsi="宋体"/>
              </w:rPr>
              <w:drawing>
                <wp:inline distT="0" distB="0" distL="0" distR="0">
                  <wp:extent cx="1257300" cy="114300"/>
                  <wp:effectExtent l="0" t="0" r="0" b="0"/>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41"/>
                          <a:stretch>
                            <a:fillRect/>
                          </a:stretch>
                        </pic:blipFill>
                        <pic:spPr>
                          <a:xfrm>
                            <a:off x="0" y="0"/>
                            <a:ext cx="1257476" cy="114316"/>
                          </a:xfrm>
                          <a:prstGeom prst="rect">
                            <a:avLst/>
                          </a:prstGeom>
                        </pic:spPr>
                      </pic:pic>
                    </a:graphicData>
                  </a:graphic>
                </wp:inline>
              </w:drawing>
            </w:r>
            <w:r>
              <w:rPr>
                <w:rFonts w:ascii="宋体" w:hAnsi="宋体"/>
              </w:rPr>
              <w:t>7.61%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比较不满意</w:t>
            </w:r>
          </w:p>
        </w:tc>
        <w:tc>
          <w:tcPr>
            <w:tcW w:w="999" w:type="dxa"/>
            <w:shd w:val="clear" w:color="auto" w:fill="FAFAFA"/>
            <w:vAlign w:val="center"/>
          </w:tcPr>
          <w:p>
            <w:pPr>
              <w:jc w:val="center"/>
              <w:rPr>
                <w:rFonts w:ascii="宋体" w:hAnsi="宋体"/>
              </w:rPr>
            </w:pPr>
            <w:r>
              <w:rPr>
                <w:rFonts w:ascii="宋体" w:hAnsi="宋体"/>
              </w:rPr>
              <w:t>1</w:t>
            </w:r>
          </w:p>
        </w:tc>
        <w:tc>
          <w:tcPr>
            <w:tcW w:w="3104" w:type="dxa"/>
            <w:shd w:val="clear" w:color="auto" w:fill="FAFAFA"/>
            <w:vAlign w:val="center"/>
          </w:tcPr>
          <w:p>
            <w:pPr>
              <w:rPr>
                <w:rFonts w:ascii="宋体" w:hAnsi="宋体"/>
              </w:rPr>
            </w:pPr>
            <w:r>
              <w:rPr>
                <w:rFonts w:ascii="宋体" w:hAnsi="宋体"/>
              </w:rPr>
              <w:drawing>
                <wp:inline distT="0" distB="0" distL="0" distR="0">
                  <wp:extent cx="1352550" cy="1143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0.15%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非常不满意</w:t>
            </w:r>
          </w:p>
        </w:tc>
        <w:tc>
          <w:tcPr>
            <w:tcW w:w="999" w:type="dxa"/>
            <w:shd w:val="clear" w:color="auto" w:fill="FFFFFF"/>
            <w:vAlign w:val="center"/>
          </w:tcPr>
          <w:p>
            <w:pPr>
              <w:jc w:val="center"/>
              <w:rPr>
                <w:rFonts w:ascii="宋体" w:hAnsi="宋体"/>
              </w:rPr>
            </w:pPr>
            <w:r>
              <w:rPr>
                <w:rFonts w:ascii="宋体" w:hAnsi="宋体"/>
              </w:rPr>
              <w:t>3</w:t>
            </w:r>
          </w:p>
        </w:tc>
        <w:tc>
          <w:tcPr>
            <w:tcW w:w="3104" w:type="dxa"/>
            <w:shd w:val="clear" w:color="auto" w:fill="FFFFFF"/>
            <w:vAlign w:val="center"/>
          </w:tcPr>
          <w:p>
            <w:pPr>
              <w:rPr>
                <w:rFonts w:ascii="宋体" w:hAnsi="宋体"/>
              </w:rPr>
            </w:pPr>
            <w:r>
              <w:rPr>
                <w:rFonts w:ascii="宋体" w:hAnsi="宋体"/>
              </w:rPr>
              <w:drawing>
                <wp:inline distT="0" distB="0" distL="0" distR="0">
                  <wp:extent cx="1352550" cy="114300"/>
                  <wp:effectExtent l="0" t="0" r="0" b="0"/>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0.45%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670</w:t>
            </w:r>
          </w:p>
        </w:tc>
        <w:tc>
          <w:tcPr>
            <w:tcW w:w="3104" w:type="dxa"/>
            <w:shd w:val="clear" w:color="auto" w:fill="F5F5F5"/>
            <w:vAlign w:val="center"/>
          </w:tcPr>
          <w:p>
            <w:pPr>
              <w:rPr>
                <w:rFonts w:ascii="宋体" w:hAnsi="宋体"/>
              </w:rPr>
            </w:pPr>
          </w:p>
        </w:tc>
      </w:tr>
    </w:tbl>
    <w:p>
      <w:pPr>
        <w:rPr>
          <w:rFonts w:ascii="宋体" w:hAnsi="宋体"/>
          <w:color w:val="000000"/>
        </w:rPr>
      </w:pPr>
    </w:p>
    <w:p>
      <w:pPr>
        <w:rPr>
          <w:rFonts w:ascii="宋体" w:hAnsi="宋体"/>
          <w:color w:val="0066FF"/>
        </w:rPr>
      </w:pPr>
      <w:r>
        <w:rPr>
          <w:rFonts w:ascii="宋体" w:hAnsi="宋体"/>
          <w:color w:val="000000"/>
        </w:rPr>
        <w:t xml:space="preserve">5.您对生活垃圾分类的整体工作满意吗?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非常满意</w:t>
            </w:r>
          </w:p>
        </w:tc>
        <w:tc>
          <w:tcPr>
            <w:tcW w:w="999" w:type="dxa"/>
            <w:shd w:val="clear" w:color="auto" w:fill="FFFFFF"/>
            <w:vAlign w:val="center"/>
          </w:tcPr>
          <w:p>
            <w:pPr>
              <w:jc w:val="center"/>
              <w:rPr>
                <w:rFonts w:ascii="宋体" w:hAnsi="宋体"/>
              </w:rPr>
            </w:pPr>
            <w:r>
              <w:rPr>
                <w:rFonts w:ascii="宋体" w:hAnsi="宋体"/>
              </w:rPr>
              <w:t>421</w:t>
            </w:r>
          </w:p>
        </w:tc>
        <w:tc>
          <w:tcPr>
            <w:tcW w:w="3104" w:type="dxa"/>
            <w:shd w:val="clear" w:color="auto" w:fill="FFFFFF"/>
            <w:vAlign w:val="center"/>
          </w:tcPr>
          <w:p>
            <w:pPr>
              <w:rPr>
                <w:rFonts w:ascii="宋体" w:hAnsi="宋体"/>
              </w:rPr>
            </w:pPr>
            <w:r>
              <w:rPr>
                <w:rFonts w:ascii="宋体" w:hAnsi="宋体"/>
              </w:rPr>
              <w:drawing>
                <wp:inline distT="0" distB="0" distL="0" distR="0">
                  <wp:extent cx="847725" cy="1143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9"/>
                          <a:stretch>
                            <a:fillRect/>
                          </a:stretch>
                        </pic:blipFill>
                        <pic:spPr>
                          <a:xfrm>
                            <a:off x="0" y="0"/>
                            <a:ext cx="847843" cy="114316"/>
                          </a:xfrm>
                          <a:prstGeom prst="rect">
                            <a:avLst/>
                          </a:prstGeom>
                        </pic:spPr>
                      </pic:pic>
                    </a:graphicData>
                  </a:graphic>
                </wp:inline>
              </w:drawing>
            </w:r>
            <w:r>
              <w:rPr>
                <w:rFonts w:ascii="宋体" w:hAnsi="宋体"/>
              </w:rPr>
              <w:drawing>
                <wp:inline distT="0" distB="0" distL="0" distR="0">
                  <wp:extent cx="504825" cy="114300"/>
                  <wp:effectExtent l="0" t="0" r="0" b="0"/>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30"/>
                          <a:stretch>
                            <a:fillRect/>
                          </a:stretch>
                        </pic:blipFill>
                        <pic:spPr>
                          <a:xfrm>
                            <a:off x="0" y="0"/>
                            <a:ext cx="504895" cy="114316"/>
                          </a:xfrm>
                          <a:prstGeom prst="rect">
                            <a:avLst/>
                          </a:prstGeom>
                        </pic:spPr>
                      </pic:pic>
                    </a:graphicData>
                  </a:graphic>
                </wp:inline>
              </w:drawing>
            </w:r>
            <w:r>
              <w:rPr>
                <w:rFonts w:ascii="宋体" w:hAnsi="宋体"/>
              </w:rPr>
              <w:t>62.84%</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比较满意</w:t>
            </w:r>
          </w:p>
        </w:tc>
        <w:tc>
          <w:tcPr>
            <w:tcW w:w="999" w:type="dxa"/>
            <w:shd w:val="clear" w:color="auto" w:fill="FAFAFA"/>
            <w:vAlign w:val="center"/>
          </w:tcPr>
          <w:p>
            <w:pPr>
              <w:jc w:val="center"/>
              <w:rPr>
                <w:rFonts w:ascii="宋体" w:hAnsi="宋体"/>
              </w:rPr>
            </w:pPr>
            <w:r>
              <w:rPr>
                <w:rFonts w:ascii="宋体" w:hAnsi="宋体"/>
              </w:rPr>
              <w:t>193</w:t>
            </w:r>
          </w:p>
        </w:tc>
        <w:tc>
          <w:tcPr>
            <w:tcW w:w="3104" w:type="dxa"/>
            <w:shd w:val="clear" w:color="auto" w:fill="FAFAFA"/>
            <w:vAlign w:val="center"/>
          </w:tcPr>
          <w:p>
            <w:pPr>
              <w:rPr>
                <w:rFonts w:ascii="宋体" w:hAnsi="宋体"/>
              </w:rPr>
            </w:pPr>
            <w:r>
              <w:rPr>
                <w:rFonts w:ascii="宋体" w:hAnsi="宋体"/>
              </w:rPr>
              <w:drawing>
                <wp:inline distT="0" distB="0" distL="0" distR="0">
                  <wp:extent cx="381000" cy="1143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42"/>
                          <a:stretch>
                            <a:fillRect/>
                          </a:stretch>
                        </pic:blipFill>
                        <pic:spPr>
                          <a:xfrm>
                            <a:off x="0" y="0"/>
                            <a:ext cx="381053" cy="114316"/>
                          </a:xfrm>
                          <a:prstGeom prst="rect">
                            <a:avLst/>
                          </a:prstGeom>
                        </pic:spPr>
                      </pic:pic>
                    </a:graphicData>
                  </a:graphic>
                </wp:inline>
              </w:drawing>
            </w:r>
            <w:r>
              <w:rPr>
                <w:rFonts w:ascii="宋体" w:hAnsi="宋体"/>
              </w:rPr>
              <w:drawing>
                <wp:inline distT="0" distB="0" distL="0" distR="0">
                  <wp:extent cx="971550" cy="114300"/>
                  <wp:effectExtent l="0" t="0" r="0" b="0"/>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43"/>
                          <a:stretch>
                            <a:fillRect/>
                          </a:stretch>
                        </pic:blipFill>
                        <pic:spPr>
                          <a:xfrm>
                            <a:off x="0" y="0"/>
                            <a:ext cx="971686" cy="114316"/>
                          </a:xfrm>
                          <a:prstGeom prst="rect">
                            <a:avLst/>
                          </a:prstGeom>
                        </pic:spPr>
                      </pic:pic>
                    </a:graphicData>
                  </a:graphic>
                </wp:inline>
              </w:drawing>
            </w:r>
            <w:r>
              <w:rPr>
                <w:rFonts w:ascii="宋体" w:hAnsi="宋体"/>
              </w:rPr>
              <w:t>28.81%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一般</w:t>
            </w:r>
          </w:p>
        </w:tc>
        <w:tc>
          <w:tcPr>
            <w:tcW w:w="999" w:type="dxa"/>
            <w:shd w:val="clear" w:color="auto" w:fill="FFFFFF"/>
            <w:vAlign w:val="center"/>
          </w:tcPr>
          <w:p>
            <w:pPr>
              <w:jc w:val="center"/>
              <w:rPr>
                <w:rFonts w:ascii="宋体" w:hAnsi="宋体"/>
              </w:rPr>
            </w:pPr>
            <w:r>
              <w:rPr>
                <w:rFonts w:ascii="宋体" w:hAnsi="宋体"/>
              </w:rPr>
              <w:t>50</w:t>
            </w:r>
          </w:p>
        </w:tc>
        <w:tc>
          <w:tcPr>
            <w:tcW w:w="3104" w:type="dxa"/>
            <w:shd w:val="clear" w:color="auto" w:fill="FFFFFF"/>
            <w:vAlign w:val="center"/>
          </w:tcPr>
          <w:p>
            <w:pPr>
              <w:rPr>
                <w:rFonts w:ascii="宋体" w:hAnsi="宋体"/>
              </w:rPr>
            </w:pPr>
            <w:r>
              <w:rPr>
                <w:rFonts w:ascii="宋体" w:hAnsi="宋体"/>
              </w:rPr>
              <w:drawing>
                <wp:inline distT="0" distB="0" distL="0" distR="0">
                  <wp:extent cx="95250" cy="1143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40"/>
                          <a:stretch>
                            <a:fillRect/>
                          </a:stretch>
                        </pic:blipFill>
                        <pic:spPr>
                          <a:xfrm>
                            <a:off x="0" y="0"/>
                            <a:ext cx="95263" cy="114316"/>
                          </a:xfrm>
                          <a:prstGeom prst="rect">
                            <a:avLst/>
                          </a:prstGeom>
                        </pic:spPr>
                      </pic:pic>
                    </a:graphicData>
                  </a:graphic>
                </wp:inline>
              </w:drawing>
            </w:r>
            <w:r>
              <w:rPr>
                <w:rFonts w:ascii="宋体" w:hAnsi="宋体"/>
              </w:rPr>
              <w:drawing>
                <wp:inline distT="0" distB="0" distL="0" distR="0">
                  <wp:extent cx="1257300" cy="114300"/>
                  <wp:effectExtent l="0" t="0" r="0" b="0"/>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41"/>
                          <a:stretch>
                            <a:fillRect/>
                          </a:stretch>
                        </pic:blipFill>
                        <pic:spPr>
                          <a:xfrm>
                            <a:off x="0" y="0"/>
                            <a:ext cx="1257476" cy="114316"/>
                          </a:xfrm>
                          <a:prstGeom prst="rect">
                            <a:avLst/>
                          </a:prstGeom>
                        </pic:spPr>
                      </pic:pic>
                    </a:graphicData>
                  </a:graphic>
                </wp:inline>
              </w:drawing>
            </w:r>
            <w:r>
              <w:rPr>
                <w:rFonts w:ascii="宋体" w:hAnsi="宋体"/>
              </w:rPr>
              <w:t>7.46%</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比较不满意</w:t>
            </w:r>
          </w:p>
        </w:tc>
        <w:tc>
          <w:tcPr>
            <w:tcW w:w="999" w:type="dxa"/>
            <w:shd w:val="clear" w:color="auto" w:fill="FAFAFA"/>
            <w:vAlign w:val="center"/>
          </w:tcPr>
          <w:p>
            <w:pPr>
              <w:jc w:val="center"/>
              <w:rPr>
                <w:rFonts w:ascii="宋体" w:hAnsi="宋体"/>
              </w:rPr>
            </w:pPr>
            <w:r>
              <w:rPr>
                <w:rFonts w:ascii="宋体" w:hAnsi="宋体"/>
              </w:rPr>
              <w:t>3</w:t>
            </w:r>
          </w:p>
        </w:tc>
        <w:tc>
          <w:tcPr>
            <w:tcW w:w="3104" w:type="dxa"/>
            <w:shd w:val="clear" w:color="auto" w:fill="FAFAFA"/>
            <w:vAlign w:val="center"/>
          </w:tcPr>
          <w:p>
            <w:pPr>
              <w:rPr>
                <w:rFonts w:ascii="宋体" w:hAnsi="宋体"/>
              </w:rPr>
            </w:pPr>
            <w:r>
              <w:rPr>
                <w:rFonts w:ascii="宋体" w:hAnsi="宋体"/>
              </w:rPr>
              <w:drawing>
                <wp:inline distT="0" distB="0" distL="0" distR="0">
                  <wp:extent cx="1352550" cy="1143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0.45%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非常不满意</w:t>
            </w:r>
          </w:p>
        </w:tc>
        <w:tc>
          <w:tcPr>
            <w:tcW w:w="999" w:type="dxa"/>
            <w:shd w:val="clear" w:color="auto" w:fill="FFFFFF"/>
            <w:vAlign w:val="center"/>
          </w:tcPr>
          <w:p>
            <w:pPr>
              <w:jc w:val="center"/>
              <w:rPr>
                <w:rFonts w:ascii="宋体" w:hAnsi="宋体"/>
              </w:rPr>
            </w:pPr>
            <w:r>
              <w:rPr>
                <w:rFonts w:ascii="宋体" w:hAnsi="宋体"/>
              </w:rPr>
              <w:t>3</w:t>
            </w:r>
          </w:p>
        </w:tc>
        <w:tc>
          <w:tcPr>
            <w:tcW w:w="3104" w:type="dxa"/>
            <w:shd w:val="clear" w:color="auto" w:fill="FFFFFF"/>
            <w:vAlign w:val="center"/>
          </w:tcPr>
          <w:p>
            <w:pPr>
              <w:rPr>
                <w:rFonts w:ascii="宋体" w:hAnsi="宋体"/>
              </w:rPr>
            </w:pPr>
            <w:r>
              <w:rPr>
                <w:rFonts w:ascii="宋体" w:hAnsi="宋体"/>
              </w:rPr>
              <w:drawing>
                <wp:inline distT="0" distB="0" distL="0" distR="0">
                  <wp:extent cx="1352550" cy="114300"/>
                  <wp:effectExtent l="0" t="0" r="0" b="0"/>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0.45%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670</w:t>
            </w:r>
          </w:p>
        </w:tc>
        <w:tc>
          <w:tcPr>
            <w:tcW w:w="3104" w:type="dxa"/>
            <w:shd w:val="clear" w:color="auto" w:fill="F5F5F5"/>
            <w:vAlign w:val="center"/>
          </w:tcPr>
          <w:p>
            <w:pPr>
              <w:rPr>
                <w:rFonts w:ascii="宋体" w:hAnsi="宋体"/>
              </w:rPr>
            </w:pPr>
          </w:p>
        </w:tc>
      </w:tr>
    </w:tbl>
    <w:p>
      <w:pPr>
        <w:rPr>
          <w:rFonts w:ascii="宋体" w:hAnsi="宋体"/>
        </w:rPr>
      </w:pPr>
    </w:p>
    <w:p>
      <w:pPr>
        <w:spacing w:line="300" w:lineRule="atLeast"/>
        <w:rPr>
          <w:rFonts w:ascii="宋体" w:hAnsi="宋体"/>
          <w:color w:val="444444"/>
        </w:rPr>
      </w:pPr>
      <w:r>
        <w:rPr>
          <w:rFonts w:ascii="宋体" w:hAnsi="宋体" w:cs="PMingLiU"/>
          <w:color w:val="444444"/>
        </w:rPr>
        <w:t>二、对龙华区生活垃圾分类激励工作的满意度</w:t>
      </w:r>
    </w:p>
    <w:p>
      <w:pPr>
        <w:rPr>
          <w:rFonts w:ascii="宋体" w:hAnsi="宋体"/>
          <w:color w:val="0066FF"/>
        </w:rPr>
      </w:pPr>
      <w:r>
        <w:rPr>
          <w:rFonts w:ascii="宋体" w:hAnsi="宋体"/>
          <w:color w:val="000000"/>
        </w:rPr>
        <w:t xml:space="preserve">6.您对生活垃圾分类激励政策是否了解?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非常了解</w:t>
            </w:r>
          </w:p>
        </w:tc>
        <w:tc>
          <w:tcPr>
            <w:tcW w:w="999" w:type="dxa"/>
            <w:shd w:val="clear" w:color="auto" w:fill="FFFFFF"/>
            <w:vAlign w:val="center"/>
          </w:tcPr>
          <w:p>
            <w:pPr>
              <w:jc w:val="center"/>
              <w:rPr>
                <w:rFonts w:ascii="宋体" w:hAnsi="宋体"/>
              </w:rPr>
            </w:pPr>
            <w:r>
              <w:rPr>
                <w:rFonts w:ascii="宋体" w:hAnsi="宋体"/>
              </w:rPr>
              <w:t>337</w:t>
            </w:r>
          </w:p>
        </w:tc>
        <w:tc>
          <w:tcPr>
            <w:tcW w:w="3104" w:type="dxa"/>
            <w:shd w:val="clear" w:color="auto" w:fill="FFFFFF"/>
            <w:vAlign w:val="center"/>
          </w:tcPr>
          <w:p>
            <w:pPr>
              <w:rPr>
                <w:rFonts w:ascii="宋体" w:hAnsi="宋体"/>
              </w:rPr>
            </w:pPr>
            <w:r>
              <w:rPr>
                <w:rFonts w:ascii="宋体" w:hAnsi="宋体"/>
              </w:rPr>
              <w:drawing>
                <wp:inline distT="0" distB="0" distL="0" distR="0">
                  <wp:extent cx="676275" cy="114300"/>
                  <wp:effectExtent l="0" t="0" r="0" b="0"/>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44"/>
                          <a:stretch>
                            <a:fillRect/>
                          </a:stretch>
                        </pic:blipFill>
                        <pic:spPr>
                          <a:xfrm>
                            <a:off x="0" y="0"/>
                            <a:ext cx="676369" cy="114316"/>
                          </a:xfrm>
                          <a:prstGeom prst="rect">
                            <a:avLst/>
                          </a:prstGeom>
                        </pic:spPr>
                      </pic:pic>
                    </a:graphicData>
                  </a:graphic>
                </wp:inline>
              </w:drawing>
            </w:r>
            <w:r>
              <w:rPr>
                <w:rFonts w:ascii="宋体" w:hAnsi="宋体"/>
              </w:rPr>
              <w:drawing>
                <wp:inline distT="0" distB="0" distL="0" distR="0">
                  <wp:extent cx="676275" cy="1143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45"/>
                          <a:stretch>
                            <a:fillRect/>
                          </a:stretch>
                        </pic:blipFill>
                        <pic:spPr>
                          <a:xfrm>
                            <a:off x="0" y="0"/>
                            <a:ext cx="676369" cy="114316"/>
                          </a:xfrm>
                          <a:prstGeom prst="rect">
                            <a:avLst/>
                          </a:prstGeom>
                        </pic:spPr>
                      </pic:pic>
                    </a:graphicData>
                  </a:graphic>
                </wp:inline>
              </w:drawing>
            </w:r>
            <w:r>
              <w:rPr>
                <w:rFonts w:ascii="宋体" w:hAnsi="宋体"/>
              </w:rPr>
              <w:t>50.3%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比较了解</w:t>
            </w:r>
          </w:p>
        </w:tc>
        <w:tc>
          <w:tcPr>
            <w:tcW w:w="999" w:type="dxa"/>
            <w:shd w:val="clear" w:color="auto" w:fill="FAFAFA"/>
            <w:vAlign w:val="center"/>
          </w:tcPr>
          <w:p>
            <w:pPr>
              <w:jc w:val="center"/>
              <w:rPr>
                <w:rFonts w:ascii="宋体" w:hAnsi="宋体"/>
              </w:rPr>
            </w:pPr>
            <w:r>
              <w:rPr>
                <w:rFonts w:ascii="宋体" w:hAnsi="宋体"/>
              </w:rPr>
              <w:t>223</w:t>
            </w:r>
          </w:p>
        </w:tc>
        <w:tc>
          <w:tcPr>
            <w:tcW w:w="3104" w:type="dxa"/>
            <w:shd w:val="clear" w:color="auto" w:fill="FAFAFA"/>
            <w:vAlign w:val="center"/>
          </w:tcPr>
          <w:p>
            <w:pPr>
              <w:rPr>
                <w:rFonts w:ascii="宋体" w:hAnsi="宋体"/>
              </w:rPr>
            </w:pPr>
            <w:r>
              <w:rPr>
                <w:rFonts w:ascii="宋体" w:hAnsi="宋体"/>
              </w:rPr>
              <w:drawing>
                <wp:inline distT="0" distB="0" distL="0" distR="0">
                  <wp:extent cx="447675" cy="114300"/>
                  <wp:effectExtent l="0" t="0" r="0" b="0"/>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46"/>
                          <a:stretch>
                            <a:fillRect/>
                          </a:stretch>
                        </pic:blipFill>
                        <pic:spPr>
                          <a:xfrm>
                            <a:off x="0" y="0"/>
                            <a:ext cx="447737" cy="114316"/>
                          </a:xfrm>
                          <a:prstGeom prst="rect">
                            <a:avLst/>
                          </a:prstGeom>
                        </pic:spPr>
                      </pic:pic>
                    </a:graphicData>
                  </a:graphic>
                </wp:inline>
              </w:drawing>
            </w:r>
            <w:r>
              <w:rPr>
                <w:rFonts w:ascii="宋体" w:hAnsi="宋体"/>
              </w:rPr>
              <w:drawing>
                <wp:inline distT="0" distB="0" distL="0" distR="0">
                  <wp:extent cx="904875" cy="1143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47"/>
                          <a:stretch>
                            <a:fillRect/>
                          </a:stretch>
                        </pic:blipFill>
                        <pic:spPr>
                          <a:xfrm>
                            <a:off x="0" y="0"/>
                            <a:ext cx="905001" cy="114316"/>
                          </a:xfrm>
                          <a:prstGeom prst="rect">
                            <a:avLst/>
                          </a:prstGeom>
                        </pic:spPr>
                      </pic:pic>
                    </a:graphicData>
                  </a:graphic>
                </wp:inline>
              </w:drawing>
            </w:r>
            <w:r>
              <w:rPr>
                <w:rFonts w:ascii="宋体" w:hAnsi="宋体"/>
              </w:rPr>
              <w:t>33.28%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一般</w:t>
            </w:r>
          </w:p>
        </w:tc>
        <w:tc>
          <w:tcPr>
            <w:tcW w:w="999" w:type="dxa"/>
            <w:shd w:val="clear" w:color="auto" w:fill="FFFFFF"/>
            <w:vAlign w:val="center"/>
          </w:tcPr>
          <w:p>
            <w:pPr>
              <w:jc w:val="center"/>
              <w:rPr>
                <w:rFonts w:ascii="宋体" w:hAnsi="宋体"/>
              </w:rPr>
            </w:pPr>
            <w:r>
              <w:rPr>
                <w:rFonts w:ascii="宋体" w:hAnsi="宋体"/>
              </w:rPr>
              <w:t>84</w:t>
            </w:r>
          </w:p>
        </w:tc>
        <w:tc>
          <w:tcPr>
            <w:tcW w:w="3104" w:type="dxa"/>
            <w:shd w:val="clear" w:color="auto" w:fill="FFFFFF"/>
            <w:vAlign w:val="center"/>
          </w:tcPr>
          <w:p>
            <w:pPr>
              <w:rPr>
                <w:rFonts w:ascii="宋体" w:hAnsi="宋体"/>
              </w:rPr>
            </w:pPr>
            <w:r>
              <w:rPr>
                <w:rFonts w:ascii="宋体" w:hAnsi="宋体"/>
              </w:rPr>
              <w:drawing>
                <wp:inline distT="0" distB="0" distL="0" distR="0">
                  <wp:extent cx="161925" cy="114300"/>
                  <wp:effectExtent l="0" t="0" r="0" b="0"/>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48"/>
                          <a:stretch>
                            <a:fillRect/>
                          </a:stretch>
                        </pic:blipFill>
                        <pic:spPr>
                          <a:xfrm>
                            <a:off x="0" y="0"/>
                            <a:ext cx="161948" cy="114316"/>
                          </a:xfrm>
                          <a:prstGeom prst="rect">
                            <a:avLst/>
                          </a:prstGeom>
                        </pic:spPr>
                      </pic:pic>
                    </a:graphicData>
                  </a:graphic>
                </wp:inline>
              </w:drawing>
            </w:r>
            <w:r>
              <w:rPr>
                <w:rFonts w:ascii="宋体" w:hAnsi="宋体"/>
              </w:rPr>
              <w:drawing>
                <wp:inline distT="0" distB="0" distL="0" distR="0">
                  <wp:extent cx="1190625" cy="1143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49"/>
                          <a:stretch>
                            <a:fillRect/>
                          </a:stretch>
                        </pic:blipFill>
                        <pic:spPr>
                          <a:xfrm>
                            <a:off x="0" y="0"/>
                            <a:ext cx="1190791" cy="114316"/>
                          </a:xfrm>
                          <a:prstGeom prst="rect">
                            <a:avLst/>
                          </a:prstGeom>
                        </pic:spPr>
                      </pic:pic>
                    </a:graphicData>
                  </a:graphic>
                </wp:inline>
              </w:drawing>
            </w:r>
            <w:r>
              <w:rPr>
                <w:rFonts w:ascii="宋体" w:hAnsi="宋体"/>
              </w:rPr>
              <w:t>12.54%</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不了解</w:t>
            </w:r>
          </w:p>
        </w:tc>
        <w:tc>
          <w:tcPr>
            <w:tcW w:w="999" w:type="dxa"/>
            <w:shd w:val="clear" w:color="auto" w:fill="FAFAFA"/>
            <w:vAlign w:val="center"/>
          </w:tcPr>
          <w:p>
            <w:pPr>
              <w:jc w:val="center"/>
              <w:rPr>
                <w:rFonts w:ascii="宋体" w:hAnsi="宋体"/>
              </w:rPr>
            </w:pPr>
            <w:r>
              <w:rPr>
                <w:rFonts w:ascii="宋体" w:hAnsi="宋体"/>
              </w:rPr>
              <w:t>20</w:t>
            </w:r>
          </w:p>
        </w:tc>
        <w:tc>
          <w:tcPr>
            <w:tcW w:w="3104" w:type="dxa"/>
            <w:shd w:val="clear" w:color="auto" w:fill="FAFAFA"/>
            <w:vAlign w:val="center"/>
          </w:tcPr>
          <w:p>
            <w:pPr>
              <w:rPr>
                <w:rFonts w:ascii="宋体" w:hAnsi="宋体"/>
              </w:rPr>
            </w:pPr>
            <w:r>
              <w:rPr>
                <w:rFonts w:ascii="宋体" w:hAnsi="宋体"/>
              </w:rPr>
              <w:drawing>
                <wp:inline distT="0" distB="0" distL="0" distR="0">
                  <wp:extent cx="38100" cy="114300"/>
                  <wp:effectExtent l="0" t="0" r="0" b="0"/>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25"/>
                          <a:stretch>
                            <a:fillRect/>
                          </a:stretch>
                        </pic:blipFill>
                        <pic:spPr>
                          <a:xfrm>
                            <a:off x="0" y="0"/>
                            <a:ext cx="38105" cy="114316"/>
                          </a:xfrm>
                          <a:prstGeom prst="rect">
                            <a:avLst/>
                          </a:prstGeom>
                        </pic:spPr>
                      </pic:pic>
                    </a:graphicData>
                  </a:graphic>
                </wp:inline>
              </w:drawing>
            </w:r>
            <w:r>
              <w:rPr>
                <w:rFonts w:ascii="宋体" w:hAnsi="宋体"/>
              </w:rPr>
              <w:drawing>
                <wp:inline distT="0" distB="0" distL="0" distR="0">
                  <wp:extent cx="1314450" cy="1143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6"/>
                          <a:stretch>
                            <a:fillRect/>
                          </a:stretch>
                        </pic:blipFill>
                        <pic:spPr>
                          <a:xfrm>
                            <a:off x="0" y="0"/>
                            <a:ext cx="1314634" cy="114316"/>
                          </a:xfrm>
                          <a:prstGeom prst="rect">
                            <a:avLst/>
                          </a:prstGeom>
                        </pic:spPr>
                      </pic:pic>
                    </a:graphicData>
                  </a:graphic>
                </wp:inline>
              </w:drawing>
            </w:r>
            <w:r>
              <w:rPr>
                <w:rFonts w:ascii="宋体" w:hAnsi="宋体"/>
              </w:rPr>
              <w:t>2.99%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完全不了解</w:t>
            </w:r>
          </w:p>
        </w:tc>
        <w:tc>
          <w:tcPr>
            <w:tcW w:w="999" w:type="dxa"/>
            <w:shd w:val="clear" w:color="auto" w:fill="FFFFFF"/>
            <w:vAlign w:val="center"/>
          </w:tcPr>
          <w:p>
            <w:pPr>
              <w:jc w:val="center"/>
              <w:rPr>
                <w:rFonts w:ascii="宋体" w:hAnsi="宋体"/>
              </w:rPr>
            </w:pPr>
            <w:r>
              <w:rPr>
                <w:rFonts w:ascii="宋体" w:hAnsi="宋体"/>
              </w:rPr>
              <w:t>6</w:t>
            </w:r>
          </w:p>
        </w:tc>
        <w:tc>
          <w:tcPr>
            <w:tcW w:w="3104" w:type="dxa"/>
            <w:shd w:val="clear" w:color="auto" w:fill="FFFFFF"/>
            <w:vAlign w:val="center"/>
          </w:tcPr>
          <w:p>
            <w:pPr>
              <w:rPr>
                <w:rFonts w:ascii="宋体" w:hAnsi="宋体"/>
              </w:rPr>
            </w:pPr>
            <w:r>
              <w:rPr>
                <w:rFonts w:ascii="宋体" w:hAnsi="宋体"/>
              </w:rPr>
              <w:drawing>
                <wp:inline distT="0" distB="0" distL="0" distR="0">
                  <wp:extent cx="9525" cy="114300"/>
                  <wp:effectExtent l="0" t="0" r="0" b="0"/>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27"/>
                          <a:stretch>
                            <a:fillRect/>
                          </a:stretch>
                        </pic:blipFill>
                        <pic:spPr>
                          <a:xfrm>
                            <a:off x="0" y="0"/>
                            <a:ext cx="9526" cy="114316"/>
                          </a:xfrm>
                          <a:prstGeom prst="rect">
                            <a:avLst/>
                          </a:prstGeom>
                        </pic:spPr>
                      </pic:pic>
                    </a:graphicData>
                  </a:graphic>
                </wp:inline>
              </w:drawing>
            </w:r>
            <w:r>
              <w:rPr>
                <w:rFonts w:ascii="宋体" w:hAnsi="宋体"/>
              </w:rPr>
              <w:drawing>
                <wp:inline distT="0" distB="0" distL="0" distR="0">
                  <wp:extent cx="1343025" cy="1143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8"/>
                          <a:stretch>
                            <a:fillRect/>
                          </a:stretch>
                        </pic:blipFill>
                        <pic:spPr>
                          <a:xfrm>
                            <a:off x="0" y="0"/>
                            <a:ext cx="1343212" cy="114316"/>
                          </a:xfrm>
                          <a:prstGeom prst="rect">
                            <a:avLst/>
                          </a:prstGeom>
                        </pic:spPr>
                      </pic:pic>
                    </a:graphicData>
                  </a:graphic>
                </wp:inline>
              </w:drawing>
            </w:r>
            <w:r>
              <w:rPr>
                <w:rFonts w:ascii="宋体" w:hAnsi="宋体"/>
              </w:rPr>
              <w:t>0.9%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670</w:t>
            </w:r>
          </w:p>
        </w:tc>
        <w:tc>
          <w:tcPr>
            <w:tcW w:w="3104" w:type="dxa"/>
            <w:shd w:val="clear" w:color="auto" w:fill="F5F5F5"/>
            <w:vAlign w:val="center"/>
          </w:tcPr>
          <w:p>
            <w:pPr>
              <w:rPr>
                <w:rFonts w:ascii="宋体" w:hAnsi="宋体"/>
              </w:rPr>
            </w:pPr>
          </w:p>
        </w:tc>
      </w:tr>
    </w:tbl>
    <w:p>
      <w:pPr>
        <w:rPr>
          <w:rFonts w:ascii="宋体" w:hAnsi="宋体"/>
        </w:rPr>
      </w:pPr>
    </w:p>
    <w:p>
      <w:pPr>
        <w:rPr>
          <w:rFonts w:ascii="宋体" w:hAnsi="宋体"/>
          <w:color w:val="0066FF"/>
        </w:rPr>
      </w:pPr>
      <w:r>
        <w:rPr>
          <w:rFonts w:ascii="宋体" w:hAnsi="宋体"/>
          <w:color w:val="000000"/>
        </w:rPr>
        <w:t xml:space="preserve">7.您对生活垃圾分类激励的宣传工作满意吗?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blHeader/>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非常满意</w:t>
            </w:r>
          </w:p>
        </w:tc>
        <w:tc>
          <w:tcPr>
            <w:tcW w:w="999" w:type="dxa"/>
            <w:shd w:val="clear" w:color="auto" w:fill="FFFFFF"/>
            <w:vAlign w:val="center"/>
          </w:tcPr>
          <w:p>
            <w:pPr>
              <w:jc w:val="center"/>
              <w:rPr>
                <w:rFonts w:ascii="宋体" w:hAnsi="宋体"/>
              </w:rPr>
            </w:pPr>
            <w:r>
              <w:rPr>
                <w:rFonts w:ascii="宋体" w:hAnsi="宋体"/>
              </w:rPr>
              <w:t>399</w:t>
            </w:r>
          </w:p>
        </w:tc>
        <w:tc>
          <w:tcPr>
            <w:tcW w:w="3104" w:type="dxa"/>
            <w:shd w:val="clear" w:color="auto" w:fill="FFFFFF"/>
            <w:vAlign w:val="center"/>
          </w:tcPr>
          <w:p>
            <w:pPr>
              <w:rPr>
                <w:rFonts w:ascii="宋体" w:hAnsi="宋体"/>
              </w:rPr>
            </w:pPr>
            <w:r>
              <w:rPr>
                <w:rFonts w:ascii="宋体" w:hAnsi="宋体"/>
              </w:rPr>
              <w:drawing>
                <wp:inline distT="0" distB="0" distL="0" distR="0">
                  <wp:extent cx="800100" cy="1143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50"/>
                          <a:stretch>
                            <a:fillRect/>
                          </a:stretch>
                        </pic:blipFill>
                        <pic:spPr>
                          <a:xfrm>
                            <a:off x="0" y="0"/>
                            <a:ext cx="800212" cy="114316"/>
                          </a:xfrm>
                          <a:prstGeom prst="rect">
                            <a:avLst/>
                          </a:prstGeom>
                        </pic:spPr>
                      </pic:pic>
                    </a:graphicData>
                  </a:graphic>
                </wp:inline>
              </w:drawing>
            </w:r>
            <w:r>
              <w:rPr>
                <w:rFonts w:ascii="宋体" w:hAnsi="宋体"/>
              </w:rPr>
              <w:drawing>
                <wp:inline distT="0" distB="0" distL="0" distR="0">
                  <wp:extent cx="552450" cy="114300"/>
                  <wp:effectExtent l="0" t="0" r="0" b="0"/>
                  <wp:docPr id="100058"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pic:cNvPicPr>
                            <a:picLocks noChangeAspect="1"/>
                          </pic:cNvPicPr>
                        </pic:nvPicPr>
                        <pic:blipFill>
                          <a:blip r:embed="rId51"/>
                          <a:stretch>
                            <a:fillRect/>
                          </a:stretch>
                        </pic:blipFill>
                        <pic:spPr>
                          <a:xfrm>
                            <a:off x="0" y="0"/>
                            <a:ext cx="552527" cy="114316"/>
                          </a:xfrm>
                          <a:prstGeom prst="rect">
                            <a:avLst/>
                          </a:prstGeom>
                        </pic:spPr>
                      </pic:pic>
                    </a:graphicData>
                  </a:graphic>
                </wp:inline>
              </w:drawing>
            </w:r>
            <w:r>
              <w:rPr>
                <w:rFonts w:ascii="宋体" w:hAnsi="宋体"/>
              </w:rPr>
              <w:t>59.55%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比较满意</w:t>
            </w:r>
          </w:p>
        </w:tc>
        <w:tc>
          <w:tcPr>
            <w:tcW w:w="999" w:type="dxa"/>
            <w:shd w:val="clear" w:color="auto" w:fill="FAFAFA"/>
            <w:vAlign w:val="center"/>
          </w:tcPr>
          <w:p>
            <w:pPr>
              <w:jc w:val="center"/>
              <w:rPr>
                <w:rFonts w:ascii="宋体" w:hAnsi="宋体"/>
              </w:rPr>
            </w:pPr>
            <w:r>
              <w:rPr>
                <w:rFonts w:ascii="宋体" w:hAnsi="宋体"/>
              </w:rPr>
              <w:t>186</w:t>
            </w:r>
          </w:p>
        </w:tc>
        <w:tc>
          <w:tcPr>
            <w:tcW w:w="3104" w:type="dxa"/>
            <w:shd w:val="clear" w:color="auto" w:fill="FAFAFA"/>
            <w:vAlign w:val="center"/>
          </w:tcPr>
          <w:p>
            <w:pPr>
              <w:rPr>
                <w:rFonts w:ascii="宋体" w:hAnsi="宋体"/>
              </w:rPr>
            </w:pPr>
            <w:r>
              <w:rPr>
                <w:rFonts w:ascii="宋体" w:hAnsi="宋体"/>
              </w:rPr>
              <w:drawing>
                <wp:inline distT="0" distB="0" distL="0" distR="0">
                  <wp:extent cx="371475" cy="1143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52"/>
                          <a:stretch>
                            <a:fillRect/>
                          </a:stretch>
                        </pic:blipFill>
                        <pic:spPr>
                          <a:xfrm>
                            <a:off x="0" y="0"/>
                            <a:ext cx="371527" cy="114316"/>
                          </a:xfrm>
                          <a:prstGeom prst="rect">
                            <a:avLst/>
                          </a:prstGeom>
                        </pic:spPr>
                      </pic:pic>
                    </a:graphicData>
                  </a:graphic>
                </wp:inline>
              </w:drawing>
            </w:r>
            <w:r>
              <w:rPr>
                <w:rFonts w:ascii="宋体" w:hAnsi="宋体"/>
              </w:rPr>
              <w:drawing>
                <wp:inline distT="0" distB="0" distL="0" distR="0">
                  <wp:extent cx="981075" cy="114300"/>
                  <wp:effectExtent l="0" t="0" r="0" b="0"/>
                  <wp:docPr id="100060" name="图片 1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pic:cNvPicPr>
                            <a:picLocks noChangeAspect="1"/>
                          </pic:cNvPicPr>
                        </pic:nvPicPr>
                        <pic:blipFill>
                          <a:blip r:embed="rId53"/>
                          <a:stretch>
                            <a:fillRect/>
                          </a:stretch>
                        </pic:blipFill>
                        <pic:spPr>
                          <a:xfrm>
                            <a:off x="0" y="0"/>
                            <a:ext cx="981212" cy="114316"/>
                          </a:xfrm>
                          <a:prstGeom prst="rect">
                            <a:avLst/>
                          </a:prstGeom>
                        </pic:spPr>
                      </pic:pic>
                    </a:graphicData>
                  </a:graphic>
                </wp:inline>
              </w:drawing>
            </w:r>
            <w:r>
              <w:rPr>
                <w:rFonts w:ascii="宋体" w:hAnsi="宋体"/>
              </w:rPr>
              <w:t>27.76%</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一般</w:t>
            </w:r>
          </w:p>
        </w:tc>
        <w:tc>
          <w:tcPr>
            <w:tcW w:w="999" w:type="dxa"/>
            <w:shd w:val="clear" w:color="auto" w:fill="FFFFFF"/>
            <w:vAlign w:val="center"/>
          </w:tcPr>
          <w:p>
            <w:pPr>
              <w:jc w:val="center"/>
              <w:rPr>
                <w:rFonts w:ascii="宋体" w:hAnsi="宋体"/>
              </w:rPr>
            </w:pPr>
            <w:r>
              <w:rPr>
                <w:rFonts w:ascii="宋体" w:hAnsi="宋体"/>
              </w:rPr>
              <w:t>77</w:t>
            </w:r>
          </w:p>
        </w:tc>
        <w:tc>
          <w:tcPr>
            <w:tcW w:w="3104" w:type="dxa"/>
            <w:shd w:val="clear" w:color="auto" w:fill="FFFFFF"/>
            <w:vAlign w:val="center"/>
          </w:tcPr>
          <w:p>
            <w:pPr>
              <w:rPr>
                <w:rFonts w:ascii="宋体" w:hAnsi="宋体"/>
              </w:rPr>
            </w:pPr>
            <w:r>
              <w:rPr>
                <w:rFonts w:ascii="宋体" w:hAnsi="宋体"/>
              </w:rPr>
              <w:drawing>
                <wp:inline distT="0" distB="0" distL="0" distR="0">
                  <wp:extent cx="152400" cy="1143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54"/>
                          <a:stretch>
                            <a:fillRect/>
                          </a:stretch>
                        </pic:blipFill>
                        <pic:spPr>
                          <a:xfrm>
                            <a:off x="0" y="0"/>
                            <a:ext cx="152421" cy="114316"/>
                          </a:xfrm>
                          <a:prstGeom prst="rect">
                            <a:avLst/>
                          </a:prstGeom>
                        </pic:spPr>
                      </pic:pic>
                    </a:graphicData>
                  </a:graphic>
                </wp:inline>
              </w:drawing>
            </w:r>
            <w:r>
              <w:rPr>
                <w:rFonts w:ascii="宋体" w:hAnsi="宋体"/>
              </w:rPr>
              <w:drawing>
                <wp:inline distT="0" distB="0" distL="0" distR="0">
                  <wp:extent cx="1200150" cy="114300"/>
                  <wp:effectExtent l="0" t="0" r="0" b="0"/>
                  <wp:docPr id="100062" name="图片 1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pic:cNvPicPr>
                            <a:picLocks noChangeAspect="1"/>
                          </pic:cNvPicPr>
                        </pic:nvPicPr>
                        <pic:blipFill>
                          <a:blip r:embed="rId55"/>
                          <a:stretch>
                            <a:fillRect/>
                          </a:stretch>
                        </pic:blipFill>
                        <pic:spPr>
                          <a:xfrm>
                            <a:off x="0" y="0"/>
                            <a:ext cx="1200318" cy="114316"/>
                          </a:xfrm>
                          <a:prstGeom prst="rect">
                            <a:avLst/>
                          </a:prstGeom>
                        </pic:spPr>
                      </pic:pic>
                    </a:graphicData>
                  </a:graphic>
                </wp:inline>
              </w:drawing>
            </w:r>
            <w:r>
              <w:rPr>
                <w:rFonts w:ascii="宋体" w:hAnsi="宋体"/>
              </w:rPr>
              <w:t>11.49%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比较不满意</w:t>
            </w:r>
          </w:p>
        </w:tc>
        <w:tc>
          <w:tcPr>
            <w:tcW w:w="999" w:type="dxa"/>
            <w:shd w:val="clear" w:color="auto" w:fill="FAFAFA"/>
            <w:vAlign w:val="center"/>
          </w:tcPr>
          <w:p>
            <w:pPr>
              <w:jc w:val="center"/>
              <w:rPr>
                <w:rFonts w:ascii="宋体" w:hAnsi="宋体"/>
              </w:rPr>
            </w:pPr>
            <w:r>
              <w:rPr>
                <w:rFonts w:ascii="宋体" w:hAnsi="宋体"/>
              </w:rPr>
              <w:t>4</w:t>
            </w:r>
          </w:p>
        </w:tc>
        <w:tc>
          <w:tcPr>
            <w:tcW w:w="3104" w:type="dxa"/>
            <w:shd w:val="clear" w:color="auto" w:fill="FAFAFA"/>
            <w:vAlign w:val="center"/>
          </w:tcPr>
          <w:p>
            <w:pPr>
              <w:rPr>
                <w:rFonts w:ascii="宋体" w:hAnsi="宋体"/>
              </w:rPr>
            </w:pPr>
            <w:r>
              <w:rPr>
                <w:rFonts w:ascii="宋体" w:hAnsi="宋体"/>
              </w:rPr>
              <w:drawing>
                <wp:inline distT="0" distB="0" distL="0" distR="0">
                  <wp:extent cx="1352550" cy="1143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0.6%</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非常不满意</w:t>
            </w:r>
          </w:p>
        </w:tc>
        <w:tc>
          <w:tcPr>
            <w:tcW w:w="999" w:type="dxa"/>
            <w:shd w:val="clear" w:color="auto" w:fill="FFFFFF"/>
            <w:vAlign w:val="center"/>
          </w:tcPr>
          <w:p>
            <w:pPr>
              <w:jc w:val="center"/>
              <w:rPr>
                <w:rFonts w:ascii="宋体" w:hAnsi="宋体"/>
              </w:rPr>
            </w:pPr>
            <w:r>
              <w:rPr>
                <w:rFonts w:ascii="宋体" w:hAnsi="宋体"/>
              </w:rPr>
              <w:t>4</w:t>
            </w:r>
          </w:p>
        </w:tc>
        <w:tc>
          <w:tcPr>
            <w:tcW w:w="3104" w:type="dxa"/>
            <w:shd w:val="clear" w:color="auto" w:fill="FFFFFF"/>
            <w:vAlign w:val="center"/>
          </w:tcPr>
          <w:p>
            <w:pPr>
              <w:rPr>
                <w:rFonts w:ascii="宋体" w:hAnsi="宋体"/>
              </w:rPr>
            </w:pPr>
            <w:r>
              <w:rPr>
                <w:rFonts w:ascii="宋体" w:hAnsi="宋体"/>
              </w:rPr>
              <w:drawing>
                <wp:inline distT="0" distB="0" distL="0" distR="0">
                  <wp:extent cx="1352550" cy="114300"/>
                  <wp:effectExtent l="0" t="0" r="0" b="0"/>
                  <wp:docPr id="100064"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0.6%</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670</w:t>
            </w:r>
          </w:p>
        </w:tc>
        <w:tc>
          <w:tcPr>
            <w:tcW w:w="3104" w:type="dxa"/>
            <w:shd w:val="clear" w:color="auto" w:fill="F5F5F5"/>
            <w:vAlign w:val="center"/>
          </w:tcPr>
          <w:p>
            <w:pPr>
              <w:rPr>
                <w:rFonts w:ascii="宋体" w:hAnsi="宋体"/>
              </w:rPr>
            </w:pPr>
          </w:p>
        </w:tc>
      </w:tr>
    </w:tbl>
    <w:p>
      <w:pPr>
        <w:rPr>
          <w:rFonts w:ascii="宋体" w:hAnsi="宋体"/>
        </w:rPr>
      </w:pPr>
    </w:p>
    <w:p>
      <w:pPr>
        <w:rPr>
          <w:rFonts w:ascii="宋体" w:hAnsi="宋体"/>
          <w:color w:val="0066FF"/>
        </w:rPr>
      </w:pPr>
      <w:r>
        <w:rPr>
          <w:rFonts w:ascii="宋体" w:hAnsi="宋体"/>
          <w:color w:val="000000"/>
        </w:rPr>
        <w:t xml:space="preserve">8.您是否申请过生活垃圾分类激励补助资金?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是</w:t>
            </w:r>
          </w:p>
        </w:tc>
        <w:tc>
          <w:tcPr>
            <w:tcW w:w="999" w:type="dxa"/>
            <w:shd w:val="clear" w:color="auto" w:fill="FFFFFF"/>
            <w:vAlign w:val="center"/>
          </w:tcPr>
          <w:p>
            <w:pPr>
              <w:jc w:val="center"/>
              <w:rPr>
                <w:rFonts w:ascii="宋体" w:hAnsi="宋体"/>
              </w:rPr>
            </w:pPr>
            <w:r>
              <w:rPr>
                <w:rFonts w:ascii="宋体" w:hAnsi="宋体"/>
              </w:rPr>
              <w:t>169</w:t>
            </w:r>
          </w:p>
        </w:tc>
        <w:tc>
          <w:tcPr>
            <w:tcW w:w="3104" w:type="dxa"/>
            <w:shd w:val="clear" w:color="auto" w:fill="FFFFFF"/>
            <w:vAlign w:val="center"/>
          </w:tcPr>
          <w:p>
            <w:pPr>
              <w:rPr>
                <w:rFonts w:ascii="宋体" w:hAnsi="宋体"/>
              </w:rPr>
            </w:pPr>
            <w:r>
              <w:rPr>
                <w:rFonts w:ascii="宋体" w:hAnsi="宋体"/>
              </w:rPr>
              <w:drawing>
                <wp:inline distT="0" distB="0" distL="0" distR="0">
                  <wp:extent cx="333375" cy="114300"/>
                  <wp:effectExtent l="0" t="0" r="0" b="0"/>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r:embed="rId56"/>
                          <a:stretch>
                            <a:fillRect/>
                          </a:stretch>
                        </pic:blipFill>
                        <pic:spPr>
                          <a:xfrm>
                            <a:off x="0" y="0"/>
                            <a:ext cx="333422" cy="114316"/>
                          </a:xfrm>
                          <a:prstGeom prst="rect">
                            <a:avLst/>
                          </a:prstGeom>
                        </pic:spPr>
                      </pic:pic>
                    </a:graphicData>
                  </a:graphic>
                </wp:inline>
              </w:drawing>
            </w:r>
            <w:r>
              <w:rPr>
                <w:rFonts w:ascii="宋体" w:hAnsi="宋体"/>
              </w:rPr>
              <w:drawing>
                <wp:inline distT="0" distB="0" distL="0" distR="0">
                  <wp:extent cx="1019175" cy="114300"/>
                  <wp:effectExtent l="0" t="0" r="0" b="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57"/>
                          <a:stretch>
                            <a:fillRect/>
                          </a:stretch>
                        </pic:blipFill>
                        <pic:spPr>
                          <a:xfrm>
                            <a:off x="0" y="0"/>
                            <a:ext cx="1019317" cy="114316"/>
                          </a:xfrm>
                          <a:prstGeom prst="rect">
                            <a:avLst/>
                          </a:prstGeom>
                        </pic:spPr>
                      </pic:pic>
                    </a:graphicData>
                  </a:graphic>
                </wp:inline>
              </w:drawing>
            </w:r>
            <w:r>
              <w:rPr>
                <w:rFonts w:ascii="宋体" w:hAnsi="宋体"/>
              </w:rPr>
              <w:t>25.22%</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否</w:t>
            </w:r>
          </w:p>
        </w:tc>
        <w:tc>
          <w:tcPr>
            <w:tcW w:w="999" w:type="dxa"/>
            <w:shd w:val="clear" w:color="auto" w:fill="FAFAFA"/>
            <w:vAlign w:val="center"/>
          </w:tcPr>
          <w:p>
            <w:pPr>
              <w:jc w:val="center"/>
              <w:rPr>
                <w:rFonts w:ascii="宋体" w:hAnsi="宋体"/>
              </w:rPr>
            </w:pPr>
            <w:r>
              <w:rPr>
                <w:rFonts w:ascii="宋体" w:hAnsi="宋体"/>
              </w:rPr>
              <w:t>501</w:t>
            </w:r>
          </w:p>
        </w:tc>
        <w:tc>
          <w:tcPr>
            <w:tcW w:w="3104" w:type="dxa"/>
            <w:shd w:val="clear" w:color="auto" w:fill="FAFAFA"/>
            <w:vAlign w:val="center"/>
          </w:tcPr>
          <w:p>
            <w:pPr>
              <w:rPr>
                <w:rFonts w:ascii="宋体" w:hAnsi="宋体"/>
              </w:rPr>
            </w:pPr>
            <w:r>
              <w:rPr>
                <w:rFonts w:ascii="宋体" w:hAnsi="宋体"/>
              </w:rPr>
              <w:drawing>
                <wp:inline distT="0" distB="0" distL="0" distR="0">
                  <wp:extent cx="1009650" cy="114300"/>
                  <wp:effectExtent l="0" t="0" r="0" b="0"/>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58"/>
                          <a:stretch>
                            <a:fillRect/>
                          </a:stretch>
                        </pic:blipFill>
                        <pic:spPr>
                          <a:xfrm>
                            <a:off x="0" y="0"/>
                            <a:ext cx="1009791" cy="114316"/>
                          </a:xfrm>
                          <a:prstGeom prst="rect">
                            <a:avLst/>
                          </a:prstGeom>
                        </pic:spPr>
                      </pic:pic>
                    </a:graphicData>
                  </a:graphic>
                </wp:inline>
              </w:drawing>
            </w:r>
            <w:r>
              <w:rPr>
                <w:rFonts w:ascii="宋体" w:hAnsi="宋体"/>
              </w:rPr>
              <w:drawing>
                <wp:inline distT="0" distB="0" distL="0" distR="0">
                  <wp:extent cx="342900" cy="1143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59"/>
                          <a:stretch>
                            <a:fillRect/>
                          </a:stretch>
                        </pic:blipFill>
                        <pic:spPr>
                          <a:xfrm>
                            <a:off x="0" y="0"/>
                            <a:ext cx="342948" cy="114316"/>
                          </a:xfrm>
                          <a:prstGeom prst="rect">
                            <a:avLst/>
                          </a:prstGeom>
                        </pic:spPr>
                      </pic:pic>
                    </a:graphicData>
                  </a:graphic>
                </wp:inline>
              </w:drawing>
            </w:r>
            <w:r>
              <w:rPr>
                <w:rFonts w:ascii="宋体" w:hAnsi="宋体"/>
              </w:rPr>
              <w:t>74.78%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670</w:t>
            </w:r>
          </w:p>
        </w:tc>
        <w:tc>
          <w:tcPr>
            <w:tcW w:w="3104" w:type="dxa"/>
            <w:shd w:val="clear" w:color="auto" w:fill="F5F5F5"/>
            <w:vAlign w:val="center"/>
          </w:tcPr>
          <w:p>
            <w:pPr>
              <w:rPr>
                <w:rFonts w:ascii="宋体" w:hAnsi="宋体"/>
              </w:rPr>
            </w:pPr>
          </w:p>
        </w:tc>
      </w:tr>
    </w:tbl>
    <w:p>
      <w:pPr>
        <w:rPr>
          <w:rFonts w:ascii="宋体" w:hAnsi="宋体"/>
        </w:rPr>
      </w:pPr>
    </w:p>
    <w:p>
      <w:pPr>
        <w:rPr>
          <w:rFonts w:ascii="宋体" w:hAnsi="宋体"/>
          <w:color w:val="0066FF"/>
        </w:rPr>
      </w:pPr>
      <w:r>
        <w:rPr>
          <w:rFonts w:ascii="宋体" w:hAnsi="宋体"/>
          <w:color w:val="000000"/>
        </w:rPr>
        <w:t xml:space="preserve">9.申请生活垃圾分类激励补助资金具体类别有哪些?（多选题）   </w:t>
      </w:r>
      <w:r>
        <w:rPr>
          <w:rFonts w:ascii="宋体" w:hAnsi="宋体"/>
          <w:color w:val="0066FF"/>
        </w:rPr>
        <w:t>[多选题]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生活垃圾分类绿色单位</w:t>
            </w:r>
          </w:p>
        </w:tc>
        <w:tc>
          <w:tcPr>
            <w:tcW w:w="999" w:type="dxa"/>
            <w:shd w:val="clear" w:color="auto" w:fill="FFFFFF"/>
            <w:vAlign w:val="center"/>
          </w:tcPr>
          <w:p>
            <w:pPr>
              <w:jc w:val="center"/>
              <w:rPr>
                <w:rFonts w:ascii="宋体" w:hAnsi="宋体"/>
              </w:rPr>
            </w:pPr>
            <w:r>
              <w:rPr>
                <w:rFonts w:ascii="宋体" w:hAnsi="宋体"/>
              </w:rPr>
              <w:t>120</w:t>
            </w:r>
          </w:p>
        </w:tc>
        <w:tc>
          <w:tcPr>
            <w:tcW w:w="3104" w:type="dxa"/>
            <w:shd w:val="clear" w:color="auto" w:fill="FFFFFF"/>
            <w:vAlign w:val="center"/>
          </w:tcPr>
          <w:p>
            <w:pPr>
              <w:rPr>
                <w:rFonts w:ascii="宋体" w:hAnsi="宋体"/>
              </w:rPr>
            </w:pPr>
            <w:r>
              <w:rPr>
                <w:rFonts w:ascii="宋体" w:hAnsi="宋体"/>
              </w:rPr>
              <w:drawing>
                <wp:inline distT="0" distB="0" distL="0" distR="0">
                  <wp:extent cx="952500" cy="114300"/>
                  <wp:effectExtent l="0" t="0" r="0" b="0"/>
                  <wp:docPr id="100070"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pic:cNvPicPr>
                            <a:picLocks noChangeAspect="1"/>
                          </pic:cNvPicPr>
                        </pic:nvPicPr>
                        <pic:blipFill>
                          <a:blip r:embed="rId60"/>
                          <a:stretch>
                            <a:fillRect/>
                          </a:stretch>
                        </pic:blipFill>
                        <pic:spPr>
                          <a:xfrm>
                            <a:off x="0" y="0"/>
                            <a:ext cx="952633" cy="114316"/>
                          </a:xfrm>
                          <a:prstGeom prst="rect">
                            <a:avLst/>
                          </a:prstGeom>
                        </pic:spPr>
                      </pic:pic>
                    </a:graphicData>
                  </a:graphic>
                </wp:inline>
              </w:drawing>
            </w:r>
            <w:r>
              <w:rPr>
                <w:rFonts w:ascii="宋体" w:hAnsi="宋体"/>
              </w:rPr>
              <w:drawing>
                <wp:inline distT="0" distB="0" distL="0" distR="0">
                  <wp:extent cx="400050" cy="114300"/>
                  <wp:effectExtent l="0" t="0" r="0" b="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61"/>
                          <a:stretch>
                            <a:fillRect/>
                          </a:stretch>
                        </pic:blipFill>
                        <pic:spPr>
                          <a:xfrm>
                            <a:off x="0" y="0"/>
                            <a:ext cx="400106" cy="114316"/>
                          </a:xfrm>
                          <a:prstGeom prst="rect">
                            <a:avLst/>
                          </a:prstGeom>
                        </pic:spPr>
                      </pic:pic>
                    </a:graphicData>
                  </a:graphic>
                </wp:inline>
              </w:drawing>
            </w:r>
            <w:r>
              <w:rPr>
                <w:rFonts w:ascii="宋体" w:hAnsi="宋体"/>
              </w:rPr>
              <w:t>71.01%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生活垃圾分类绿色小区</w:t>
            </w:r>
          </w:p>
        </w:tc>
        <w:tc>
          <w:tcPr>
            <w:tcW w:w="999" w:type="dxa"/>
            <w:shd w:val="clear" w:color="auto" w:fill="FAFAFA"/>
            <w:vAlign w:val="center"/>
          </w:tcPr>
          <w:p>
            <w:pPr>
              <w:jc w:val="center"/>
              <w:rPr>
                <w:rFonts w:ascii="宋体" w:hAnsi="宋体"/>
              </w:rPr>
            </w:pPr>
            <w:r>
              <w:rPr>
                <w:rFonts w:ascii="宋体" w:hAnsi="宋体"/>
              </w:rPr>
              <w:t>95</w:t>
            </w:r>
          </w:p>
        </w:tc>
        <w:tc>
          <w:tcPr>
            <w:tcW w:w="3104" w:type="dxa"/>
            <w:shd w:val="clear" w:color="auto" w:fill="FAFAFA"/>
            <w:vAlign w:val="center"/>
          </w:tcPr>
          <w:p>
            <w:pPr>
              <w:rPr>
                <w:rFonts w:ascii="宋体" w:hAnsi="宋体"/>
              </w:rPr>
            </w:pPr>
            <w:r>
              <w:rPr>
                <w:rFonts w:ascii="宋体" w:hAnsi="宋体"/>
              </w:rPr>
              <w:drawing>
                <wp:inline distT="0" distB="0" distL="0" distR="0">
                  <wp:extent cx="752475" cy="114300"/>
                  <wp:effectExtent l="0" t="0" r="0" b="0"/>
                  <wp:docPr id="100072" name="图片 10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 name="图片 100072"/>
                          <pic:cNvPicPr>
                            <a:picLocks noChangeAspect="1"/>
                          </pic:cNvPicPr>
                        </pic:nvPicPr>
                        <pic:blipFill>
                          <a:blip r:embed="rId62"/>
                          <a:stretch>
                            <a:fillRect/>
                          </a:stretch>
                        </pic:blipFill>
                        <pic:spPr>
                          <a:xfrm>
                            <a:off x="0" y="0"/>
                            <a:ext cx="752580" cy="114316"/>
                          </a:xfrm>
                          <a:prstGeom prst="rect">
                            <a:avLst/>
                          </a:prstGeom>
                        </pic:spPr>
                      </pic:pic>
                    </a:graphicData>
                  </a:graphic>
                </wp:inline>
              </w:drawing>
            </w:r>
            <w:r>
              <w:rPr>
                <w:rFonts w:ascii="宋体" w:hAnsi="宋体"/>
              </w:rPr>
              <w:drawing>
                <wp:inline distT="0" distB="0" distL="0" distR="0">
                  <wp:extent cx="600075" cy="114300"/>
                  <wp:effectExtent l="0" t="0" r="0" b="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63"/>
                          <a:stretch>
                            <a:fillRect/>
                          </a:stretch>
                        </pic:blipFill>
                        <pic:spPr>
                          <a:xfrm>
                            <a:off x="0" y="0"/>
                            <a:ext cx="600159" cy="114316"/>
                          </a:xfrm>
                          <a:prstGeom prst="rect">
                            <a:avLst/>
                          </a:prstGeom>
                        </pic:spPr>
                      </pic:pic>
                    </a:graphicData>
                  </a:graphic>
                </wp:inline>
              </w:drawing>
            </w:r>
            <w:r>
              <w:rPr>
                <w:rFonts w:ascii="宋体" w:hAnsi="宋体"/>
              </w:rPr>
              <w:t>56.21%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生活垃圾分类好家庭</w:t>
            </w:r>
          </w:p>
        </w:tc>
        <w:tc>
          <w:tcPr>
            <w:tcW w:w="999" w:type="dxa"/>
            <w:shd w:val="clear" w:color="auto" w:fill="FFFFFF"/>
            <w:vAlign w:val="center"/>
          </w:tcPr>
          <w:p>
            <w:pPr>
              <w:jc w:val="center"/>
              <w:rPr>
                <w:rFonts w:ascii="宋体" w:hAnsi="宋体"/>
              </w:rPr>
            </w:pPr>
            <w:r>
              <w:rPr>
                <w:rFonts w:ascii="宋体" w:hAnsi="宋体"/>
              </w:rPr>
              <w:t>90</w:t>
            </w:r>
          </w:p>
        </w:tc>
        <w:tc>
          <w:tcPr>
            <w:tcW w:w="3104" w:type="dxa"/>
            <w:shd w:val="clear" w:color="auto" w:fill="FFFFFF"/>
            <w:vAlign w:val="center"/>
          </w:tcPr>
          <w:p>
            <w:pPr>
              <w:rPr>
                <w:rFonts w:ascii="宋体" w:hAnsi="宋体"/>
              </w:rPr>
            </w:pPr>
            <w:r>
              <w:rPr>
                <w:rFonts w:ascii="宋体" w:hAnsi="宋体"/>
              </w:rPr>
              <w:drawing>
                <wp:inline distT="0" distB="0" distL="0" distR="0">
                  <wp:extent cx="714375" cy="114300"/>
                  <wp:effectExtent l="0" t="0" r="0" b="0"/>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64"/>
                          <a:stretch>
                            <a:fillRect/>
                          </a:stretch>
                        </pic:blipFill>
                        <pic:spPr>
                          <a:xfrm>
                            <a:off x="0" y="0"/>
                            <a:ext cx="714475" cy="114316"/>
                          </a:xfrm>
                          <a:prstGeom prst="rect">
                            <a:avLst/>
                          </a:prstGeom>
                        </pic:spPr>
                      </pic:pic>
                    </a:graphicData>
                  </a:graphic>
                </wp:inline>
              </w:drawing>
            </w:r>
            <w:r>
              <w:rPr>
                <w:rFonts w:ascii="宋体" w:hAnsi="宋体"/>
              </w:rPr>
              <w:drawing>
                <wp:inline distT="0" distB="0" distL="0" distR="0">
                  <wp:extent cx="638175" cy="114300"/>
                  <wp:effectExtent l="0" t="0" r="0" b="0"/>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65"/>
                          <a:stretch>
                            <a:fillRect/>
                          </a:stretch>
                        </pic:blipFill>
                        <pic:spPr>
                          <a:xfrm>
                            <a:off x="0" y="0"/>
                            <a:ext cx="638264" cy="114316"/>
                          </a:xfrm>
                          <a:prstGeom prst="rect">
                            <a:avLst/>
                          </a:prstGeom>
                        </pic:spPr>
                      </pic:pic>
                    </a:graphicData>
                  </a:graphic>
                </wp:inline>
              </w:drawing>
            </w:r>
            <w:r>
              <w:rPr>
                <w:rFonts w:ascii="宋体" w:hAnsi="宋体"/>
              </w:rPr>
              <w:t>53.25%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生活垃圾分类积极个人</w:t>
            </w:r>
          </w:p>
        </w:tc>
        <w:tc>
          <w:tcPr>
            <w:tcW w:w="999" w:type="dxa"/>
            <w:shd w:val="clear" w:color="auto" w:fill="FAFAFA"/>
            <w:vAlign w:val="center"/>
          </w:tcPr>
          <w:p>
            <w:pPr>
              <w:jc w:val="center"/>
              <w:rPr>
                <w:rFonts w:ascii="宋体" w:hAnsi="宋体"/>
              </w:rPr>
            </w:pPr>
            <w:r>
              <w:rPr>
                <w:rFonts w:ascii="宋体" w:hAnsi="宋体"/>
              </w:rPr>
              <w:t>90</w:t>
            </w:r>
          </w:p>
        </w:tc>
        <w:tc>
          <w:tcPr>
            <w:tcW w:w="3104" w:type="dxa"/>
            <w:shd w:val="clear" w:color="auto" w:fill="FAFAFA"/>
            <w:vAlign w:val="center"/>
          </w:tcPr>
          <w:p>
            <w:pPr>
              <w:rPr>
                <w:rFonts w:ascii="宋体" w:hAnsi="宋体"/>
              </w:rPr>
            </w:pPr>
            <w:r>
              <w:rPr>
                <w:rFonts w:ascii="宋体" w:hAnsi="宋体"/>
              </w:rPr>
              <w:drawing>
                <wp:inline distT="0" distB="0" distL="0" distR="0">
                  <wp:extent cx="714375" cy="114300"/>
                  <wp:effectExtent l="0" t="0" r="0" b="0"/>
                  <wp:docPr id="100076" name="图片 1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 name="图片 100076"/>
                          <pic:cNvPicPr>
                            <a:picLocks noChangeAspect="1"/>
                          </pic:cNvPicPr>
                        </pic:nvPicPr>
                        <pic:blipFill>
                          <a:blip r:embed="rId64"/>
                          <a:stretch>
                            <a:fillRect/>
                          </a:stretch>
                        </pic:blipFill>
                        <pic:spPr>
                          <a:xfrm>
                            <a:off x="0" y="0"/>
                            <a:ext cx="714475" cy="114316"/>
                          </a:xfrm>
                          <a:prstGeom prst="rect">
                            <a:avLst/>
                          </a:prstGeom>
                        </pic:spPr>
                      </pic:pic>
                    </a:graphicData>
                  </a:graphic>
                </wp:inline>
              </w:drawing>
            </w:r>
            <w:r>
              <w:rPr>
                <w:rFonts w:ascii="宋体" w:hAnsi="宋体"/>
              </w:rPr>
              <w:drawing>
                <wp:inline distT="0" distB="0" distL="0" distR="0">
                  <wp:extent cx="638175" cy="114300"/>
                  <wp:effectExtent l="0" t="0" r="0" b="0"/>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65"/>
                          <a:stretch>
                            <a:fillRect/>
                          </a:stretch>
                        </pic:blipFill>
                        <pic:spPr>
                          <a:xfrm>
                            <a:off x="0" y="0"/>
                            <a:ext cx="638264" cy="114316"/>
                          </a:xfrm>
                          <a:prstGeom prst="rect">
                            <a:avLst/>
                          </a:prstGeom>
                        </pic:spPr>
                      </pic:pic>
                    </a:graphicData>
                  </a:graphic>
                </wp:inline>
              </w:drawing>
            </w:r>
            <w:r>
              <w:rPr>
                <w:rFonts w:ascii="宋体" w:hAnsi="宋体"/>
              </w:rPr>
              <w:t>53.25%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169</w:t>
            </w:r>
          </w:p>
        </w:tc>
        <w:tc>
          <w:tcPr>
            <w:tcW w:w="3104" w:type="dxa"/>
            <w:shd w:val="clear" w:color="auto" w:fill="F5F5F5"/>
            <w:vAlign w:val="center"/>
          </w:tcPr>
          <w:p>
            <w:pPr>
              <w:rPr>
                <w:rFonts w:ascii="宋体" w:hAnsi="宋体"/>
              </w:rPr>
            </w:pPr>
          </w:p>
        </w:tc>
      </w:tr>
    </w:tbl>
    <w:p>
      <w:pPr>
        <w:rPr>
          <w:rFonts w:ascii="宋体" w:hAnsi="宋体"/>
        </w:rPr>
      </w:pPr>
    </w:p>
    <w:p>
      <w:pPr>
        <w:rPr>
          <w:rFonts w:ascii="宋体" w:hAnsi="宋体"/>
          <w:color w:val="0066FF"/>
        </w:rPr>
      </w:pPr>
      <w:r>
        <w:rPr>
          <w:rFonts w:ascii="宋体" w:hAnsi="宋体"/>
          <w:color w:val="000000"/>
        </w:rPr>
        <w:t xml:space="preserve">10.您对生活垃圾分类激励补助资金的申报及审核程序是否满意?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非常满意</w:t>
            </w:r>
          </w:p>
        </w:tc>
        <w:tc>
          <w:tcPr>
            <w:tcW w:w="999" w:type="dxa"/>
            <w:shd w:val="clear" w:color="auto" w:fill="FFFFFF"/>
            <w:vAlign w:val="center"/>
          </w:tcPr>
          <w:p>
            <w:pPr>
              <w:jc w:val="center"/>
              <w:rPr>
                <w:rFonts w:ascii="宋体" w:hAnsi="宋体"/>
              </w:rPr>
            </w:pPr>
            <w:r>
              <w:rPr>
                <w:rFonts w:ascii="宋体" w:hAnsi="宋体"/>
              </w:rPr>
              <w:t>116</w:t>
            </w:r>
          </w:p>
        </w:tc>
        <w:tc>
          <w:tcPr>
            <w:tcW w:w="3104" w:type="dxa"/>
            <w:shd w:val="clear" w:color="auto" w:fill="FFFFFF"/>
            <w:vAlign w:val="center"/>
          </w:tcPr>
          <w:p>
            <w:pPr>
              <w:rPr>
                <w:rFonts w:ascii="宋体" w:hAnsi="宋体"/>
              </w:rPr>
            </w:pPr>
            <w:r>
              <w:rPr>
                <w:rFonts w:ascii="宋体" w:hAnsi="宋体"/>
              </w:rPr>
              <w:drawing>
                <wp:inline distT="0" distB="0" distL="0" distR="0">
                  <wp:extent cx="923925" cy="114300"/>
                  <wp:effectExtent l="0" t="0" r="0" b="0"/>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66"/>
                          <a:stretch>
                            <a:fillRect/>
                          </a:stretch>
                        </pic:blipFill>
                        <pic:spPr>
                          <a:xfrm>
                            <a:off x="0" y="0"/>
                            <a:ext cx="924054" cy="114316"/>
                          </a:xfrm>
                          <a:prstGeom prst="rect">
                            <a:avLst/>
                          </a:prstGeom>
                        </pic:spPr>
                      </pic:pic>
                    </a:graphicData>
                  </a:graphic>
                </wp:inline>
              </w:drawing>
            </w:r>
            <w:r>
              <w:rPr>
                <w:rFonts w:ascii="宋体" w:hAnsi="宋体"/>
              </w:rPr>
              <w:drawing>
                <wp:inline distT="0" distB="0" distL="0" distR="0">
                  <wp:extent cx="428625" cy="114300"/>
                  <wp:effectExtent l="0" t="0" r="0" b="0"/>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67"/>
                          <a:stretch>
                            <a:fillRect/>
                          </a:stretch>
                        </pic:blipFill>
                        <pic:spPr>
                          <a:xfrm>
                            <a:off x="0" y="0"/>
                            <a:ext cx="428685" cy="114316"/>
                          </a:xfrm>
                          <a:prstGeom prst="rect">
                            <a:avLst/>
                          </a:prstGeom>
                        </pic:spPr>
                      </pic:pic>
                    </a:graphicData>
                  </a:graphic>
                </wp:inline>
              </w:drawing>
            </w:r>
            <w:r>
              <w:rPr>
                <w:rFonts w:ascii="宋体" w:hAnsi="宋体"/>
              </w:rPr>
              <w:t>68.64%</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比较满意</w:t>
            </w:r>
          </w:p>
        </w:tc>
        <w:tc>
          <w:tcPr>
            <w:tcW w:w="999" w:type="dxa"/>
            <w:shd w:val="clear" w:color="auto" w:fill="FAFAFA"/>
            <w:vAlign w:val="center"/>
          </w:tcPr>
          <w:p>
            <w:pPr>
              <w:jc w:val="center"/>
              <w:rPr>
                <w:rFonts w:ascii="宋体" w:hAnsi="宋体"/>
              </w:rPr>
            </w:pPr>
            <w:r>
              <w:rPr>
                <w:rFonts w:ascii="宋体" w:hAnsi="宋体"/>
              </w:rPr>
              <w:t>44</w:t>
            </w:r>
          </w:p>
        </w:tc>
        <w:tc>
          <w:tcPr>
            <w:tcW w:w="3104" w:type="dxa"/>
            <w:shd w:val="clear" w:color="auto" w:fill="FAFAFA"/>
            <w:vAlign w:val="center"/>
          </w:tcPr>
          <w:p>
            <w:pPr>
              <w:rPr>
                <w:rFonts w:ascii="宋体" w:hAnsi="宋体"/>
              </w:rPr>
            </w:pPr>
            <w:r>
              <w:rPr>
                <w:rFonts w:ascii="宋体" w:hAnsi="宋体"/>
              </w:rPr>
              <w:drawing>
                <wp:inline distT="0" distB="0" distL="0" distR="0">
                  <wp:extent cx="342900" cy="114300"/>
                  <wp:effectExtent l="0" t="0" r="0" b="0"/>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38"/>
                          <a:stretch>
                            <a:fillRect/>
                          </a:stretch>
                        </pic:blipFill>
                        <pic:spPr>
                          <a:xfrm>
                            <a:off x="0" y="0"/>
                            <a:ext cx="342948" cy="114316"/>
                          </a:xfrm>
                          <a:prstGeom prst="rect">
                            <a:avLst/>
                          </a:prstGeom>
                        </pic:spPr>
                      </pic:pic>
                    </a:graphicData>
                  </a:graphic>
                </wp:inline>
              </w:drawing>
            </w:r>
            <w:r>
              <w:rPr>
                <w:rFonts w:ascii="宋体" w:hAnsi="宋体"/>
              </w:rPr>
              <w:drawing>
                <wp:inline distT="0" distB="0" distL="0" distR="0">
                  <wp:extent cx="1009650" cy="114300"/>
                  <wp:effectExtent l="0" t="0" r="0" b="0"/>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39"/>
                          <a:stretch>
                            <a:fillRect/>
                          </a:stretch>
                        </pic:blipFill>
                        <pic:spPr>
                          <a:xfrm>
                            <a:off x="0" y="0"/>
                            <a:ext cx="1009791" cy="114316"/>
                          </a:xfrm>
                          <a:prstGeom prst="rect">
                            <a:avLst/>
                          </a:prstGeom>
                        </pic:spPr>
                      </pic:pic>
                    </a:graphicData>
                  </a:graphic>
                </wp:inline>
              </w:drawing>
            </w:r>
            <w:r>
              <w:rPr>
                <w:rFonts w:ascii="宋体" w:hAnsi="宋体"/>
              </w:rPr>
              <w:t>26.04%</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一般</w:t>
            </w:r>
          </w:p>
        </w:tc>
        <w:tc>
          <w:tcPr>
            <w:tcW w:w="999" w:type="dxa"/>
            <w:shd w:val="clear" w:color="auto" w:fill="FFFFFF"/>
            <w:vAlign w:val="center"/>
          </w:tcPr>
          <w:p>
            <w:pPr>
              <w:jc w:val="center"/>
              <w:rPr>
                <w:rFonts w:ascii="宋体" w:hAnsi="宋体"/>
              </w:rPr>
            </w:pPr>
            <w:r>
              <w:rPr>
                <w:rFonts w:ascii="宋体" w:hAnsi="宋体"/>
              </w:rPr>
              <w:t>9</w:t>
            </w:r>
          </w:p>
        </w:tc>
        <w:tc>
          <w:tcPr>
            <w:tcW w:w="3104" w:type="dxa"/>
            <w:shd w:val="clear" w:color="auto" w:fill="FFFFFF"/>
            <w:vAlign w:val="center"/>
          </w:tcPr>
          <w:p>
            <w:pPr>
              <w:rPr>
                <w:rFonts w:ascii="宋体" w:hAnsi="宋体"/>
              </w:rPr>
            </w:pPr>
            <w:r>
              <w:rPr>
                <w:rFonts w:ascii="宋体" w:hAnsi="宋体"/>
              </w:rPr>
              <w:drawing>
                <wp:inline distT="0" distB="0" distL="0" distR="0">
                  <wp:extent cx="66675" cy="114300"/>
                  <wp:effectExtent l="0" t="0" r="0" b="0"/>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68"/>
                          <a:stretch>
                            <a:fillRect/>
                          </a:stretch>
                        </pic:blipFill>
                        <pic:spPr>
                          <a:xfrm>
                            <a:off x="0" y="0"/>
                            <a:ext cx="66684" cy="114316"/>
                          </a:xfrm>
                          <a:prstGeom prst="rect">
                            <a:avLst/>
                          </a:prstGeom>
                        </pic:spPr>
                      </pic:pic>
                    </a:graphicData>
                  </a:graphic>
                </wp:inline>
              </w:drawing>
            </w:r>
            <w:r>
              <w:rPr>
                <w:rFonts w:ascii="宋体" w:hAnsi="宋体"/>
              </w:rPr>
              <w:drawing>
                <wp:inline distT="0" distB="0" distL="0" distR="0">
                  <wp:extent cx="1285875" cy="114300"/>
                  <wp:effectExtent l="0" t="0" r="0" b="0"/>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69"/>
                          <a:stretch>
                            <a:fillRect/>
                          </a:stretch>
                        </pic:blipFill>
                        <pic:spPr>
                          <a:xfrm>
                            <a:off x="0" y="0"/>
                            <a:ext cx="1286055" cy="114316"/>
                          </a:xfrm>
                          <a:prstGeom prst="rect">
                            <a:avLst/>
                          </a:prstGeom>
                        </pic:spPr>
                      </pic:pic>
                    </a:graphicData>
                  </a:graphic>
                </wp:inline>
              </w:drawing>
            </w:r>
            <w:r>
              <w:rPr>
                <w:rFonts w:ascii="宋体" w:hAnsi="宋体"/>
              </w:rPr>
              <w:t>5.33%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比较不满意</w:t>
            </w:r>
          </w:p>
        </w:tc>
        <w:tc>
          <w:tcPr>
            <w:tcW w:w="999" w:type="dxa"/>
            <w:shd w:val="clear" w:color="auto" w:fill="FAFAFA"/>
            <w:vAlign w:val="center"/>
          </w:tcPr>
          <w:p>
            <w:pPr>
              <w:jc w:val="center"/>
              <w:rPr>
                <w:rFonts w:ascii="宋体" w:hAnsi="宋体"/>
              </w:rPr>
            </w:pPr>
            <w:r>
              <w:rPr>
                <w:rFonts w:ascii="宋体" w:hAnsi="宋体"/>
              </w:rPr>
              <w:t>0</w:t>
            </w:r>
          </w:p>
        </w:tc>
        <w:tc>
          <w:tcPr>
            <w:tcW w:w="3104" w:type="dxa"/>
            <w:shd w:val="clear" w:color="auto" w:fill="FAFAFA"/>
            <w:vAlign w:val="center"/>
          </w:tcPr>
          <w:p>
            <w:pPr>
              <w:rPr>
                <w:rFonts w:ascii="宋体" w:hAnsi="宋体"/>
              </w:rPr>
            </w:pPr>
            <w:r>
              <w:rPr>
                <w:rFonts w:ascii="宋体" w:hAnsi="宋体"/>
              </w:rPr>
              <w:drawing>
                <wp:inline distT="0" distB="0" distL="0" distR="0">
                  <wp:extent cx="1352550" cy="114300"/>
                  <wp:effectExtent l="0" t="0" r="0" b="0"/>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非常不满意</w:t>
            </w:r>
          </w:p>
        </w:tc>
        <w:tc>
          <w:tcPr>
            <w:tcW w:w="999" w:type="dxa"/>
            <w:shd w:val="clear" w:color="auto" w:fill="FFFFFF"/>
            <w:vAlign w:val="center"/>
          </w:tcPr>
          <w:p>
            <w:pPr>
              <w:jc w:val="center"/>
              <w:rPr>
                <w:rFonts w:ascii="宋体" w:hAnsi="宋体"/>
              </w:rPr>
            </w:pPr>
            <w:r>
              <w:rPr>
                <w:rFonts w:ascii="宋体" w:hAnsi="宋体"/>
              </w:rPr>
              <w:t>0</w:t>
            </w:r>
          </w:p>
        </w:tc>
        <w:tc>
          <w:tcPr>
            <w:tcW w:w="3104" w:type="dxa"/>
            <w:shd w:val="clear" w:color="auto" w:fill="FFFFFF"/>
            <w:vAlign w:val="center"/>
          </w:tcPr>
          <w:p>
            <w:pPr>
              <w:rPr>
                <w:rFonts w:ascii="宋体" w:hAnsi="宋体"/>
              </w:rPr>
            </w:pPr>
            <w:r>
              <w:rPr>
                <w:rFonts w:ascii="宋体" w:hAnsi="宋体"/>
              </w:rPr>
              <w:drawing>
                <wp:inline distT="0" distB="0" distL="0" distR="0">
                  <wp:extent cx="1352550" cy="114300"/>
                  <wp:effectExtent l="0" t="0" r="0" b="0"/>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169</w:t>
            </w:r>
          </w:p>
        </w:tc>
        <w:tc>
          <w:tcPr>
            <w:tcW w:w="3104" w:type="dxa"/>
            <w:shd w:val="clear" w:color="auto" w:fill="F5F5F5"/>
            <w:vAlign w:val="center"/>
          </w:tcPr>
          <w:p>
            <w:pPr>
              <w:rPr>
                <w:rFonts w:ascii="宋体" w:hAnsi="宋体"/>
              </w:rPr>
            </w:pPr>
          </w:p>
        </w:tc>
      </w:tr>
    </w:tbl>
    <w:p>
      <w:pPr>
        <w:rPr>
          <w:rFonts w:ascii="宋体" w:hAnsi="宋体"/>
        </w:rPr>
      </w:pPr>
    </w:p>
    <w:p>
      <w:pPr>
        <w:rPr>
          <w:rFonts w:ascii="宋体" w:hAnsi="宋体"/>
          <w:color w:val="0066FF"/>
        </w:rPr>
      </w:pPr>
      <w:r>
        <w:rPr>
          <w:rFonts w:ascii="宋体" w:hAnsi="宋体"/>
          <w:color w:val="000000"/>
        </w:rPr>
        <w:t xml:space="preserve">11.您认为生活垃圾分类激励补助资金对推动社会公众积极参与垃圾分类的作用?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blHeader/>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非常显著</w:t>
            </w:r>
          </w:p>
        </w:tc>
        <w:tc>
          <w:tcPr>
            <w:tcW w:w="999" w:type="dxa"/>
            <w:shd w:val="clear" w:color="auto" w:fill="FFFFFF"/>
            <w:vAlign w:val="center"/>
          </w:tcPr>
          <w:p>
            <w:pPr>
              <w:jc w:val="center"/>
              <w:rPr>
                <w:rFonts w:ascii="宋体" w:hAnsi="宋体"/>
              </w:rPr>
            </w:pPr>
            <w:r>
              <w:rPr>
                <w:rFonts w:ascii="宋体" w:hAnsi="宋体"/>
              </w:rPr>
              <w:t>325</w:t>
            </w:r>
          </w:p>
        </w:tc>
        <w:tc>
          <w:tcPr>
            <w:tcW w:w="3104" w:type="dxa"/>
            <w:shd w:val="clear" w:color="auto" w:fill="FFFFFF"/>
            <w:vAlign w:val="center"/>
          </w:tcPr>
          <w:p>
            <w:pPr>
              <w:rPr>
                <w:rFonts w:ascii="宋体" w:hAnsi="宋体"/>
              </w:rPr>
            </w:pPr>
            <w:r>
              <w:rPr>
                <w:rFonts w:ascii="宋体" w:hAnsi="宋体"/>
              </w:rPr>
              <w:drawing>
                <wp:inline distT="0" distB="0" distL="0" distR="0">
                  <wp:extent cx="647700" cy="114300"/>
                  <wp:effectExtent l="0" t="0" r="0" b="0"/>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70"/>
                          <a:stretch>
                            <a:fillRect/>
                          </a:stretch>
                        </pic:blipFill>
                        <pic:spPr>
                          <a:xfrm>
                            <a:off x="0" y="0"/>
                            <a:ext cx="647790" cy="114316"/>
                          </a:xfrm>
                          <a:prstGeom prst="rect">
                            <a:avLst/>
                          </a:prstGeom>
                        </pic:spPr>
                      </pic:pic>
                    </a:graphicData>
                  </a:graphic>
                </wp:inline>
              </w:drawing>
            </w:r>
            <w:r>
              <w:rPr>
                <w:rFonts w:ascii="宋体" w:hAnsi="宋体"/>
              </w:rPr>
              <w:drawing>
                <wp:inline distT="0" distB="0" distL="0" distR="0">
                  <wp:extent cx="704850" cy="114300"/>
                  <wp:effectExtent l="0" t="0" r="0" b="0"/>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71"/>
                          <a:stretch>
                            <a:fillRect/>
                          </a:stretch>
                        </pic:blipFill>
                        <pic:spPr>
                          <a:xfrm>
                            <a:off x="0" y="0"/>
                            <a:ext cx="704948" cy="114316"/>
                          </a:xfrm>
                          <a:prstGeom prst="rect">
                            <a:avLst/>
                          </a:prstGeom>
                        </pic:spPr>
                      </pic:pic>
                    </a:graphicData>
                  </a:graphic>
                </wp:inline>
              </w:drawing>
            </w:r>
            <w:r>
              <w:rPr>
                <w:rFonts w:ascii="宋体" w:hAnsi="宋体"/>
              </w:rPr>
              <w:t>48.51%</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比较显著</w:t>
            </w:r>
          </w:p>
        </w:tc>
        <w:tc>
          <w:tcPr>
            <w:tcW w:w="999" w:type="dxa"/>
            <w:shd w:val="clear" w:color="auto" w:fill="FAFAFA"/>
            <w:vAlign w:val="center"/>
          </w:tcPr>
          <w:p>
            <w:pPr>
              <w:jc w:val="center"/>
              <w:rPr>
                <w:rFonts w:ascii="宋体" w:hAnsi="宋体"/>
              </w:rPr>
            </w:pPr>
            <w:r>
              <w:rPr>
                <w:rFonts w:ascii="宋体" w:hAnsi="宋体"/>
              </w:rPr>
              <w:t>234</w:t>
            </w:r>
          </w:p>
        </w:tc>
        <w:tc>
          <w:tcPr>
            <w:tcW w:w="3104" w:type="dxa"/>
            <w:shd w:val="clear" w:color="auto" w:fill="FAFAFA"/>
            <w:vAlign w:val="center"/>
          </w:tcPr>
          <w:p>
            <w:pPr>
              <w:rPr>
                <w:rFonts w:ascii="宋体" w:hAnsi="宋体"/>
              </w:rPr>
            </w:pPr>
            <w:r>
              <w:rPr>
                <w:rFonts w:ascii="宋体" w:hAnsi="宋体"/>
              </w:rPr>
              <w:drawing>
                <wp:inline distT="0" distB="0" distL="0" distR="0">
                  <wp:extent cx="466725" cy="114300"/>
                  <wp:effectExtent l="0" t="0" r="0" b="0"/>
                  <wp:docPr id="100088" name="图片 10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8" name="图片 100088"/>
                          <pic:cNvPicPr>
                            <a:picLocks noChangeAspect="1"/>
                          </pic:cNvPicPr>
                        </pic:nvPicPr>
                        <pic:blipFill>
                          <a:blip r:embed="rId72"/>
                          <a:stretch>
                            <a:fillRect/>
                          </a:stretch>
                        </pic:blipFill>
                        <pic:spPr>
                          <a:xfrm>
                            <a:off x="0" y="0"/>
                            <a:ext cx="466790" cy="114316"/>
                          </a:xfrm>
                          <a:prstGeom prst="rect">
                            <a:avLst/>
                          </a:prstGeom>
                        </pic:spPr>
                      </pic:pic>
                    </a:graphicData>
                  </a:graphic>
                </wp:inline>
              </w:drawing>
            </w:r>
            <w:r>
              <w:rPr>
                <w:rFonts w:ascii="宋体" w:hAnsi="宋体"/>
              </w:rPr>
              <w:drawing>
                <wp:inline distT="0" distB="0" distL="0" distR="0">
                  <wp:extent cx="885825" cy="114300"/>
                  <wp:effectExtent l="0" t="0" r="0" b="0"/>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73"/>
                          <a:stretch>
                            <a:fillRect/>
                          </a:stretch>
                        </pic:blipFill>
                        <pic:spPr>
                          <a:xfrm>
                            <a:off x="0" y="0"/>
                            <a:ext cx="885949" cy="114316"/>
                          </a:xfrm>
                          <a:prstGeom prst="rect">
                            <a:avLst/>
                          </a:prstGeom>
                        </pic:spPr>
                      </pic:pic>
                    </a:graphicData>
                  </a:graphic>
                </wp:inline>
              </w:drawing>
            </w:r>
            <w:r>
              <w:rPr>
                <w:rFonts w:ascii="宋体" w:hAnsi="宋体"/>
              </w:rPr>
              <w:t>34.93%</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一般</w:t>
            </w:r>
          </w:p>
        </w:tc>
        <w:tc>
          <w:tcPr>
            <w:tcW w:w="999" w:type="dxa"/>
            <w:shd w:val="clear" w:color="auto" w:fill="FFFFFF"/>
            <w:vAlign w:val="center"/>
          </w:tcPr>
          <w:p>
            <w:pPr>
              <w:jc w:val="center"/>
              <w:rPr>
                <w:rFonts w:ascii="宋体" w:hAnsi="宋体"/>
              </w:rPr>
            </w:pPr>
            <w:r>
              <w:rPr>
                <w:rFonts w:ascii="宋体" w:hAnsi="宋体"/>
              </w:rPr>
              <w:t>97</w:t>
            </w:r>
          </w:p>
        </w:tc>
        <w:tc>
          <w:tcPr>
            <w:tcW w:w="3104" w:type="dxa"/>
            <w:shd w:val="clear" w:color="auto" w:fill="FFFFFF"/>
            <w:vAlign w:val="center"/>
          </w:tcPr>
          <w:p>
            <w:pPr>
              <w:rPr>
                <w:rFonts w:ascii="宋体" w:hAnsi="宋体"/>
              </w:rPr>
            </w:pPr>
            <w:r>
              <w:rPr>
                <w:rFonts w:ascii="宋体" w:hAnsi="宋体"/>
              </w:rPr>
              <w:drawing>
                <wp:inline distT="0" distB="0" distL="0" distR="0">
                  <wp:extent cx="190500" cy="114300"/>
                  <wp:effectExtent l="0" t="0" r="0" b="0"/>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13"/>
                          <a:stretch>
                            <a:fillRect/>
                          </a:stretch>
                        </pic:blipFill>
                        <pic:spPr>
                          <a:xfrm>
                            <a:off x="0" y="0"/>
                            <a:ext cx="190527" cy="114316"/>
                          </a:xfrm>
                          <a:prstGeom prst="rect">
                            <a:avLst/>
                          </a:prstGeom>
                        </pic:spPr>
                      </pic:pic>
                    </a:graphicData>
                  </a:graphic>
                </wp:inline>
              </w:drawing>
            </w:r>
            <w:r>
              <w:rPr>
                <w:rFonts w:ascii="宋体" w:hAnsi="宋体"/>
              </w:rPr>
              <w:drawing>
                <wp:inline distT="0" distB="0" distL="0" distR="0">
                  <wp:extent cx="1162050" cy="114300"/>
                  <wp:effectExtent l="0" t="0" r="0" b="0"/>
                  <wp:docPr id="100091" name="图片 1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pic:cNvPicPr>
                            <a:picLocks noChangeAspect="1"/>
                          </pic:cNvPicPr>
                        </pic:nvPicPr>
                        <pic:blipFill>
                          <a:blip r:embed="rId14"/>
                          <a:stretch>
                            <a:fillRect/>
                          </a:stretch>
                        </pic:blipFill>
                        <pic:spPr>
                          <a:xfrm>
                            <a:off x="0" y="0"/>
                            <a:ext cx="1162212" cy="114316"/>
                          </a:xfrm>
                          <a:prstGeom prst="rect">
                            <a:avLst/>
                          </a:prstGeom>
                        </pic:spPr>
                      </pic:pic>
                    </a:graphicData>
                  </a:graphic>
                </wp:inline>
              </w:drawing>
            </w:r>
            <w:r>
              <w:rPr>
                <w:rFonts w:ascii="宋体" w:hAnsi="宋体"/>
              </w:rPr>
              <w:t>14.48%</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比较不显著</w:t>
            </w:r>
          </w:p>
        </w:tc>
        <w:tc>
          <w:tcPr>
            <w:tcW w:w="999" w:type="dxa"/>
            <w:shd w:val="clear" w:color="auto" w:fill="FAFAFA"/>
            <w:vAlign w:val="center"/>
          </w:tcPr>
          <w:p>
            <w:pPr>
              <w:jc w:val="center"/>
              <w:rPr>
                <w:rFonts w:ascii="宋体" w:hAnsi="宋体"/>
              </w:rPr>
            </w:pPr>
            <w:r>
              <w:rPr>
                <w:rFonts w:ascii="宋体" w:hAnsi="宋体"/>
              </w:rPr>
              <w:t>8</w:t>
            </w:r>
          </w:p>
        </w:tc>
        <w:tc>
          <w:tcPr>
            <w:tcW w:w="3104" w:type="dxa"/>
            <w:shd w:val="clear" w:color="auto" w:fill="FAFAFA"/>
            <w:vAlign w:val="center"/>
          </w:tcPr>
          <w:p>
            <w:pPr>
              <w:rPr>
                <w:rFonts w:ascii="宋体" w:hAnsi="宋体"/>
              </w:rPr>
            </w:pPr>
            <w:r>
              <w:rPr>
                <w:rFonts w:ascii="宋体" w:hAnsi="宋体"/>
              </w:rPr>
              <w:drawing>
                <wp:inline distT="0" distB="0" distL="0" distR="0">
                  <wp:extent cx="9525" cy="114300"/>
                  <wp:effectExtent l="0" t="0" r="0" b="0"/>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27"/>
                          <a:stretch>
                            <a:fillRect/>
                          </a:stretch>
                        </pic:blipFill>
                        <pic:spPr>
                          <a:xfrm>
                            <a:off x="0" y="0"/>
                            <a:ext cx="9526" cy="114316"/>
                          </a:xfrm>
                          <a:prstGeom prst="rect">
                            <a:avLst/>
                          </a:prstGeom>
                        </pic:spPr>
                      </pic:pic>
                    </a:graphicData>
                  </a:graphic>
                </wp:inline>
              </w:drawing>
            </w:r>
            <w:r>
              <w:rPr>
                <w:rFonts w:ascii="宋体" w:hAnsi="宋体"/>
              </w:rPr>
              <w:drawing>
                <wp:inline distT="0" distB="0" distL="0" distR="0">
                  <wp:extent cx="1343025" cy="114300"/>
                  <wp:effectExtent l="0" t="0" r="0" b="0"/>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28"/>
                          <a:stretch>
                            <a:fillRect/>
                          </a:stretch>
                        </pic:blipFill>
                        <pic:spPr>
                          <a:xfrm>
                            <a:off x="0" y="0"/>
                            <a:ext cx="1343212" cy="114316"/>
                          </a:xfrm>
                          <a:prstGeom prst="rect">
                            <a:avLst/>
                          </a:prstGeom>
                        </pic:spPr>
                      </pic:pic>
                    </a:graphicData>
                  </a:graphic>
                </wp:inline>
              </w:drawing>
            </w:r>
            <w:r>
              <w:rPr>
                <w:rFonts w:ascii="宋体" w:hAnsi="宋体"/>
              </w:rPr>
              <w:t>1.19%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非常不显著</w:t>
            </w:r>
          </w:p>
        </w:tc>
        <w:tc>
          <w:tcPr>
            <w:tcW w:w="999" w:type="dxa"/>
            <w:shd w:val="clear" w:color="auto" w:fill="FFFFFF"/>
            <w:vAlign w:val="center"/>
          </w:tcPr>
          <w:p>
            <w:pPr>
              <w:jc w:val="center"/>
              <w:rPr>
                <w:rFonts w:ascii="宋体" w:hAnsi="宋体"/>
              </w:rPr>
            </w:pPr>
            <w:r>
              <w:rPr>
                <w:rFonts w:ascii="宋体" w:hAnsi="宋体"/>
              </w:rPr>
              <w:t>6</w:t>
            </w:r>
          </w:p>
        </w:tc>
        <w:tc>
          <w:tcPr>
            <w:tcW w:w="3104" w:type="dxa"/>
            <w:shd w:val="clear" w:color="auto" w:fill="FFFFFF"/>
            <w:vAlign w:val="center"/>
          </w:tcPr>
          <w:p>
            <w:pPr>
              <w:rPr>
                <w:rFonts w:ascii="宋体" w:hAnsi="宋体"/>
              </w:rPr>
            </w:pPr>
            <w:r>
              <w:rPr>
                <w:rFonts w:ascii="宋体" w:hAnsi="宋体"/>
              </w:rPr>
              <w:drawing>
                <wp:inline distT="0" distB="0" distL="0" distR="0">
                  <wp:extent cx="9525" cy="114300"/>
                  <wp:effectExtent l="0" t="0" r="0" b="0"/>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27"/>
                          <a:stretch>
                            <a:fillRect/>
                          </a:stretch>
                        </pic:blipFill>
                        <pic:spPr>
                          <a:xfrm>
                            <a:off x="0" y="0"/>
                            <a:ext cx="9526" cy="114316"/>
                          </a:xfrm>
                          <a:prstGeom prst="rect">
                            <a:avLst/>
                          </a:prstGeom>
                        </pic:spPr>
                      </pic:pic>
                    </a:graphicData>
                  </a:graphic>
                </wp:inline>
              </w:drawing>
            </w:r>
            <w:r>
              <w:rPr>
                <w:rFonts w:ascii="宋体" w:hAnsi="宋体"/>
              </w:rPr>
              <w:drawing>
                <wp:inline distT="0" distB="0" distL="0" distR="0">
                  <wp:extent cx="1343025" cy="114300"/>
                  <wp:effectExtent l="0" t="0" r="0" b="0"/>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28"/>
                          <a:stretch>
                            <a:fillRect/>
                          </a:stretch>
                        </pic:blipFill>
                        <pic:spPr>
                          <a:xfrm>
                            <a:off x="0" y="0"/>
                            <a:ext cx="1343212" cy="114316"/>
                          </a:xfrm>
                          <a:prstGeom prst="rect">
                            <a:avLst/>
                          </a:prstGeom>
                        </pic:spPr>
                      </pic:pic>
                    </a:graphicData>
                  </a:graphic>
                </wp:inline>
              </w:drawing>
            </w:r>
            <w:r>
              <w:rPr>
                <w:rFonts w:ascii="宋体" w:hAnsi="宋体"/>
              </w:rPr>
              <w:t>0.9%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670</w:t>
            </w:r>
          </w:p>
        </w:tc>
        <w:tc>
          <w:tcPr>
            <w:tcW w:w="3104" w:type="dxa"/>
            <w:shd w:val="clear" w:color="auto" w:fill="F5F5F5"/>
            <w:vAlign w:val="center"/>
          </w:tcPr>
          <w:p>
            <w:pPr>
              <w:rPr>
                <w:rFonts w:ascii="宋体" w:hAnsi="宋体"/>
              </w:rPr>
            </w:pPr>
          </w:p>
        </w:tc>
      </w:tr>
    </w:tbl>
    <w:p>
      <w:pPr>
        <w:rPr>
          <w:rFonts w:ascii="宋体" w:hAnsi="宋体"/>
        </w:rPr>
      </w:pPr>
    </w:p>
    <w:p>
      <w:pPr>
        <w:rPr>
          <w:rFonts w:ascii="宋体" w:hAnsi="宋体"/>
          <w:color w:val="0066FF"/>
        </w:rPr>
      </w:pPr>
      <w:r>
        <w:rPr>
          <w:rFonts w:ascii="宋体" w:hAnsi="宋体"/>
          <w:color w:val="000000"/>
        </w:rPr>
        <w:t xml:space="preserve">12.您对生活垃圾分类激励的整体工作满意吗?   </w:t>
      </w:r>
      <w:r>
        <w:rPr>
          <w:rFonts w:ascii="宋体" w:hAnsi="宋体"/>
          <w:color w:val="0066FF"/>
        </w:rPr>
        <w:t>[单选题]</w:t>
      </w:r>
    </w:p>
    <w:tbl>
      <w:tblPr>
        <w:tblStyle w:val="25"/>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7"/>
        <w:gridCol w:w="1026"/>
        <w:gridCol w:w="3189"/>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选项</w:t>
            </w:r>
          </w:p>
        </w:tc>
        <w:tc>
          <w:tcPr>
            <w:tcW w:w="999" w:type="dxa"/>
            <w:shd w:val="clear" w:color="auto" w:fill="F5F5F5"/>
            <w:vAlign w:val="center"/>
          </w:tcPr>
          <w:p>
            <w:pPr>
              <w:jc w:val="center"/>
              <w:rPr>
                <w:rFonts w:ascii="宋体" w:hAnsi="宋体"/>
              </w:rPr>
            </w:pPr>
            <w:r>
              <w:rPr>
                <w:rFonts w:ascii="宋体" w:hAnsi="宋体"/>
              </w:rPr>
              <w:t>小计</w:t>
            </w:r>
          </w:p>
        </w:tc>
        <w:tc>
          <w:tcPr>
            <w:tcW w:w="3104" w:type="dxa"/>
            <w:shd w:val="clear" w:color="auto" w:fill="F5F5F5"/>
            <w:vAlign w:val="center"/>
          </w:tcPr>
          <w:p>
            <w:pPr>
              <w:rPr>
                <w:rFonts w:ascii="宋体" w:hAnsi="宋体"/>
              </w:rPr>
            </w:pPr>
            <w:r>
              <w:rPr>
                <w:rFonts w:ascii="宋体" w:hAnsi="宋体"/>
              </w:rP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非常满意</w:t>
            </w:r>
          </w:p>
        </w:tc>
        <w:tc>
          <w:tcPr>
            <w:tcW w:w="999" w:type="dxa"/>
            <w:shd w:val="clear" w:color="auto" w:fill="FFFFFF"/>
            <w:vAlign w:val="center"/>
          </w:tcPr>
          <w:p>
            <w:pPr>
              <w:jc w:val="center"/>
              <w:rPr>
                <w:rFonts w:ascii="宋体" w:hAnsi="宋体"/>
              </w:rPr>
            </w:pPr>
            <w:r>
              <w:rPr>
                <w:rFonts w:ascii="宋体" w:hAnsi="宋体"/>
              </w:rPr>
              <w:t>373</w:t>
            </w:r>
          </w:p>
        </w:tc>
        <w:tc>
          <w:tcPr>
            <w:tcW w:w="3104" w:type="dxa"/>
            <w:shd w:val="clear" w:color="auto" w:fill="FFFFFF"/>
            <w:vAlign w:val="center"/>
          </w:tcPr>
          <w:p>
            <w:pPr>
              <w:rPr>
                <w:rFonts w:ascii="宋体" w:hAnsi="宋体"/>
              </w:rPr>
            </w:pPr>
            <w:r>
              <w:rPr>
                <w:rFonts w:ascii="宋体" w:hAnsi="宋体"/>
              </w:rPr>
              <w:drawing>
                <wp:inline distT="0" distB="0" distL="0" distR="0">
                  <wp:extent cx="752475" cy="114300"/>
                  <wp:effectExtent l="0" t="0" r="0" b="0"/>
                  <wp:docPr id="100096" name="图片 10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6" name="图片 100096"/>
                          <pic:cNvPicPr>
                            <a:picLocks noChangeAspect="1"/>
                          </pic:cNvPicPr>
                        </pic:nvPicPr>
                        <pic:blipFill>
                          <a:blip r:embed="rId62"/>
                          <a:stretch>
                            <a:fillRect/>
                          </a:stretch>
                        </pic:blipFill>
                        <pic:spPr>
                          <a:xfrm>
                            <a:off x="0" y="0"/>
                            <a:ext cx="752580" cy="114316"/>
                          </a:xfrm>
                          <a:prstGeom prst="rect">
                            <a:avLst/>
                          </a:prstGeom>
                        </pic:spPr>
                      </pic:pic>
                    </a:graphicData>
                  </a:graphic>
                </wp:inline>
              </w:drawing>
            </w:r>
            <w:r>
              <w:rPr>
                <w:rFonts w:ascii="宋体" w:hAnsi="宋体"/>
              </w:rPr>
              <w:drawing>
                <wp:inline distT="0" distB="0" distL="0" distR="0">
                  <wp:extent cx="600075" cy="114300"/>
                  <wp:effectExtent l="0" t="0" r="0" b="0"/>
                  <wp:docPr id="100097" name="图片 10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pic:cNvPicPr>
                            <a:picLocks noChangeAspect="1"/>
                          </pic:cNvPicPr>
                        </pic:nvPicPr>
                        <pic:blipFill>
                          <a:blip r:embed="rId63"/>
                          <a:stretch>
                            <a:fillRect/>
                          </a:stretch>
                        </pic:blipFill>
                        <pic:spPr>
                          <a:xfrm>
                            <a:off x="0" y="0"/>
                            <a:ext cx="600159" cy="114316"/>
                          </a:xfrm>
                          <a:prstGeom prst="rect">
                            <a:avLst/>
                          </a:prstGeom>
                        </pic:spPr>
                      </pic:pic>
                    </a:graphicData>
                  </a:graphic>
                </wp:inline>
              </w:drawing>
            </w:r>
            <w:r>
              <w:rPr>
                <w:rFonts w:ascii="宋体" w:hAnsi="宋体"/>
              </w:rPr>
              <w:t>55.67%</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比较满意</w:t>
            </w:r>
          </w:p>
        </w:tc>
        <w:tc>
          <w:tcPr>
            <w:tcW w:w="999" w:type="dxa"/>
            <w:shd w:val="clear" w:color="auto" w:fill="FAFAFA"/>
            <w:vAlign w:val="center"/>
          </w:tcPr>
          <w:p>
            <w:pPr>
              <w:jc w:val="center"/>
              <w:rPr>
                <w:rFonts w:ascii="宋体" w:hAnsi="宋体"/>
              </w:rPr>
            </w:pPr>
            <w:r>
              <w:rPr>
                <w:rFonts w:ascii="宋体" w:hAnsi="宋体"/>
              </w:rPr>
              <w:t>201</w:t>
            </w:r>
          </w:p>
        </w:tc>
        <w:tc>
          <w:tcPr>
            <w:tcW w:w="3104" w:type="dxa"/>
            <w:shd w:val="clear" w:color="auto" w:fill="FAFAFA"/>
            <w:vAlign w:val="center"/>
          </w:tcPr>
          <w:p>
            <w:pPr>
              <w:rPr>
                <w:rFonts w:ascii="宋体" w:hAnsi="宋体"/>
              </w:rPr>
            </w:pPr>
            <w:r>
              <w:rPr>
                <w:rFonts w:ascii="宋体" w:hAnsi="宋体"/>
              </w:rPr>
              <w:drawing>
                <wp:inline distT="0" distB="0" distL="0" distR="0">
                  <wp:extent cx="400050" cy="114300"/>
                  <wp:effectExtent l="0" t="0" r="0" b="0"/>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74"/>
                          <a:stretch>
                            <a:fillRect/>
                          </a:stretch>
                        </pic:blipFill>
                        <pic:spPr>
                          <a:xfrm>
                            <a:off x="0" y="0"/>
                            <a:ext cx="400106" cy="114316"/>
                          </a:xfrm>
                          <a:prstGeom prst="rect">
                            <a:avLst/>
                          </a:prstGeom>
                        </pic:spPr>
                      </pic:pic>
                    </a:graphicData>
                  </a:graphic>
                </wp:inline>
              </w:drawing>
            </w:r>
            <w:r>
              <w:rPr>
                <w:rFonts w:ascii="宋体" w:hAnsi="宋体"/>
              </w:rPr>
              <w:drawing>
                <wp:inline distT="0" distB="0" distL="0" distR="0">
                  <wp:extent cx="952500" cy="114300"/>
                  <wp:effectExtent l="0" t="0" r="0" b="0"/>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r:embed="rId75"/>
                          <a:stretch>
                            <a:fillRect/>
                          </a:stretch>
                        </pic:blipFill>
                        <pic:spPr>
                          <a:xfrm>
                            <a:off x="0" y="0"/>
                            <a:ext cx="952633" cy="114316"/>
                          </a:xfrm>
                          <a:prstGeom prst="rect">
                            <a:avLst/>
                          </a:prstGeom>
                        </pic:spPr>
                      </pic:pic>
                    </a:graphicData>
                  </a:graphic>
                </wp:inline>
              </w:drawing>
            </w:r>
            <w:r>
              <w:rPr>
                <w:rFonts w:ascii="宋体" w:hAnsi="宋体"/>
              </w:rPr>
              <w:t>30%</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454" w:hRule="atLeast"/>
        </w:trPr>
        <w:tc>
          <w:tcPr>
            <w:tcW w:w="4193" w:type="dxa"/>
            <w:shd w:val="clear" w:color="auto" w:fill="FFFFFF"/>
            <w:vAlign w:val="center"/>
          </w:tcPr>
          <w:p>
            <w:pPr>
              <w:rPr>
                <w:rFonts w:ascii="宋体" w:hAnsi="宋体"/>
              </w:rPr>
            </w:pPr>
            <w:r>
              <w:rPr>
                <w:rFonts w:ascii="宋体" w:hAnsi="宋体"/>
              </w:rPr>
              <w:t>一般</w:t>
            </w:r>
          </w:p>
        </w:tc>
        <w:tc>
          <w:tcPr>
            <w:tcW w:w="999" w:type="dxa"/>
            <w:shd w:val="clear" w:color="auto" w:fill="FFFFFF"/>
            <w:vAlign w:val="center"/>
          </w:tcPr>
          <w:p>
            <w:pPr>
              <w:jc w:val="center"/>
              <w:rPr>
                <w:rFonts w:ascii="宋体" w:hAnsi="宋体"/>
              </w:rPr>
            </w:pPr>
            <w:r>
              <w:rPr>
                <w:rFonts w:ascii="宋体" w:hAnsi="宋体"/>
              </w:rPr>
              <w:t>86</w:t>
            </w:r>
          </w:p>
        </w:tc>
        <w:tc>
          <w:tcPr>
            <w:tcW w:w="3104" w:type="dxa"/>
            <w:shd w:val="clear" w:color="auto" w:fill="FFFFFF"/>
            <w:vAlign w:val="center"/>
          </w:tcPr>
          <w:p>
            <w:pPr>
              <w:rPr>
                <w:rFonts w:ascii="宋体" w:hAnsi="宋体"/>
              </w:rPr>
            </w:pPr>
            <w:r>
              <w:rPr>
                <w:rFonts w:ascii="宋体" w:hAnsi="宋体"/>
              </w:rPr>
              <w:drawing>
                <wp:inline distT="0" distB="0" distL="0" distR="0">
                  <wp:extent cx="171450" cy="114300"/>
                  <wp:effectExtent l="0" t="0" r="0" b="0"/>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pic:cNvPicPr>
                            <a:picLocks noChangeAspect="1"/>
                          </pic:cNvPicPr>
                        </pic:nvPicPr>
                        <pic:blipFill>
                          <a:blip r:embed="rId19"/>
                          <a:stretch>
                            <a:fillRect/>
                          </a:stretch>
                        </pic:blipFill>
                        <pic:spPr>
                          <a:xfrm>
                            <a:off x="0" y="0"/>
                            <a:ext cx="171474" cy="114316"/>
                          </a:xfrm>
                          <a:prstGeom prst="rect">
                            <a:avLst/>
                          </a:prstGeom>
                        </pic:spPr>
                      </pic:pic>
                    </a:graphicData>
                  </a:graphic>
                </wp:inline>
              </w:drawing>
            </w:r>
            <w:r>
              <w:rPr>
                <w:rFonts w:ascii="宋体" w:hAnsi="宋体"/>
              </w:rPr>
              <w:drawing>
                <wp:inline distT="0" distB="0" distL="0" distR="0">
                  <wp:extent cx="1181100" cy="114300"/>
                  <wp:effectExtent l="0" t="0" r="0" b="0"/>
                  <wp:docPr id="100101" name="图片 10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pic:cNvPicPr>
                            <a:picLocks noChangeAspect="1"/>
                          </pic:cNvPicPr>
                        </pic:nvPicPr>
                        <pic:blipFill>
                          <a:blip r:embed="rId20"/>
                          <a:stretch>
                            <a:fillRect/>
                          </a:stretch>
                        </pic:blipFill>
                        <pic:spPr>
                          <a:xfrm>
                            <a:off x="0" y="0"/>
                            <a:ext cx="1181265" cy="114316"/>
                          </a:xfrm>
                          <a:prstGeom prst="rect">
                            <a:avLst/>
                          </a:prstGeom>
                        </pic:spPr>
                      </pic:pic>
                    </a:graphicData>
                  </a:graphic>
                </wp:inline>
              </w:drawing>
            </w:r>
            <w:r>
              <w:rPr>
                <w:rFonts w:ascii="宋体" w:hAnsi="宋体"/>
              </w:rPr>
              <w:t>12.84%</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AFAFA"/>
            <w:vAlign w:val="center"/>
          </w:tcPr>
          <w:p>
            <w:pPr>
              <w:rPr>
                <w:rFonts w:ascii="宋体" w:hAnsi="宋体"/>
              </w:rPr>
            </w:pPr>
            <w:r>
              <w:rPr>
                <w:rFonts w:ascii="宋体" w:hAnsi="宋体"/>
              </w:rPr>
              <w:t>比较不满意</w:t>
            </w:r>
          </w:p>
        </w:tc>
        <w:tc>
          <w:tcPr>
            <w:tcW w:w="999" w:type="dxa"/>
            <w:shd w:val="clear" w:color="auto" w:fill="FAFAFA"/>
            <w:vAlign w:val="center"/>
          </w:tcPr>
          <w:p>
            <w:pPr>
              <w:jc w:val="center"/>
              <w:rPr>
                <w:rFonts w:ascii="宋体" w:hAnsi="宋体"/>
              </w:rPr>
            </w:pPr>
            <w:r>
              <w:rPr>
                <w:rFonts w:ascii="宋体" w:hAnsi="宋体"/>
              </w:rPr>
              <w:t>3</w:t>
            </w:r>
          </w:p>
        </w:tc>
        <w:tc>
          <w:tcPr>
            <w:tcW w:w="3104" w:type="dxa"/>
            <w:shd w:val="clear" w:color="auto" w:fill="FAFAFA"/>
            <w:vAlign w:val="center"/>
          </w:tcPr>
          <w:p>
            <w:pPr>
              <w:rPr>
                <w:rFonts w:ascii="宋体" w:hAnsi="宋体"/>
              </w:rPr>
            </w:pPr>
            <w:r>
              <w:rPr>
                <w:rFonts w:ascii="宋体" w:hAnsi="宋体"/>
              </w:rPr>
              <w:drawing>
                <wp:inline distT="0" distB="0" distL="0" distR="0">
                  <wp:extent cx="1352550" cy="114300"/>
                  <wp:effectExtent l="0" t="0" r="0" b="0"/>
                  <wp:docPr id="100102" name="图片 1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图片 100102"/>
                          <pic:cNvPicPr>
                            <a:picLocks noChangeAspect="1"/>
                          </pic:cNvPicPr>
                        </pic:nvPicPr>
                        <pic:blipFill>
                          <a:blip r:embed="rId35"/>
                          <a:stretch>
                            <a:fillRect/>
                          </a:stretch>
                        </pic:blipFill>
                        <pic:spPr>
                          <a:xfrm>
                            <a:off x="0" y="0"/>
                            <a:ext cx="1352739" cy="114316"/>
                          </a:xfrm>
                          <a:prstGeom prst="rect">
                            <a:avLst/>
                          </a:prstGeom>
                        </pic:spPr>
                      </pic:pic>
                    </a:graphicData>
                  </a:graphic>
                </wp:inline>
              </w:drawing>
            </w:r>
            <w:r>
              <w:rPr>
                <w:rFonts w:ascii="宋体" w:hAnsi="宋体"/>
              </w:rPr>
              <w:t>0.45%</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FFFFF"/>
            <w:vAlign w:val="center"/>
          </w:tcPr>
          <w:p>
            <w:pPr>
              <w:rPr>
                <w:rFonts w:ascii="宋体" w:hAnsi="宋体"/>
              </w:rPr>
            </w:pPr>
            <w:r>
              <w:rPr>
                <w:rFonts w:ascii="宋体" w:hAnsi="宋体"/>
              </w:rPr>
              <w:t>非常不满意</w:t>
            </w:r>
          </w:p>
        </w:tc>
        <w:tc>
          <w:tcPr>
            <w:tcW w:w="999" w:type="dxa"/>
            <w:shd w:val="clear" w:color="auto" w:fill="FFFFFF"/>
            <w:vAlign w:val="center"/>
          </w:tcPr>
          <w:p>
            <w:pPr>
              <w:jc w:val="center"/>
              <w:rPr>
                <w:rFonts w:ascii="宋体" w:hAnsi="宋体"/>
              </w:rPr>
            </w:pPr>
            <w:r>
              <w:rPr>
                <w:rFonts w:ascii="宋体" w:hAnsi="宋体"/>
              </w:rPr>
              <w:t>7</w:t>
            </w:r>
          </w:p>
        </w:tc>
        <w:tc>
          <w:tcPr>
            <w:tcW w:w="3104" w:type="dxa"/>
            <w:shd w:val="clear" w:color="auto" w:fill="FFFFFF"/>
            <w:vAlign w:val="center"/>
          </w:tcPr>
          <w:p>
            <w:pPr>
              <w:rPr>
                <w:rFonts w:ascii="宋体" w:hAnsi="宋体"/>
              </w:rPr>
            </w:pPr>
            <w:r>
              <w:rPr>
                <w:rFonts w:ascii="宋体" w:hAnsi="宋体"/>
              </w:rPr>
              <w:drawing>
                <wp:inline distT="0" distB="0" distL="0" distR="0">
                  <wp:extent cx="9525" cy="114300"/>
                  <wp:effectExtent l="0" t="0" r="0" b="0"/>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27"/>
                          <a:stretch>
                            <a:fillRect/>
                          </a:stretch>
                        </pic:blipFill>
                        <pic:spPr>
                          <a:xfrm>
                            <a:off x="0" y="0"/>
                            <a:ext cx="9526" cy="114316"/>
                          </a:xfrm>
                          <a:prstGeom prst="rect">
                            <a:avLst/>
                          </a:prstGeom>
                        </pic:spPr>
                      </pic:pic>
                    </a:graphicData>
                  </a:graphic>
                </wp:inline>
              </w:drawing>
            </w:r>
            <w:r>
              <w:rPr>
                <w:rFonts w:ascii="宋体" w:hAnsi="宋体"/>
              </w:rPr>
              <w:drawing>
                <wp:inline distT="0" distB="0" distL="0" distR="0">
                  <wp:extent cx="1343025" cy="114300"/>
                  <wp:effectExtent l="0" t="0" r="0" b="0"/>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28"/>
                          <a:stretch>
                            <a:fillRect/>
                          </a:stretch>
                        </pic:blipFill>
                        <pic:spPr>
                          <a:xfrm>
                            <a:off x="0" y="0"/>
                            <a:ext cx="1343212" cy="114316"/>
                          </a:xfrm>
                          <a:prstGeom prst="rect">
                            <a:avLst/>
                          </a:prstGeom>
                        </pic:spPr>
                      </pic:pic>
                    </a:graphicData>
                  </a:graphic>
                </wp:inline>
              </w:drawing>
            </w:r>
            <w:r>
              <w:rPr>
                <w:rFonts w:ascii="宋体" w:hAnsi="宋体"/>
              </w:rPr>
              <w:t>1.04%</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54" w:hRule="atLeast"/>
        </w:trPr>
        <w:tc>
          <w:tcPr>
            <w:tcW w:w="4193" w:type="dxa"/>
            <w:shd w:val="clear" w:color="auto" w:fill="F5F5F5"/>
            <w:vAlign w:val="center"/>
          </w:tcPr>
          <w:p>
            <w:pPr>
              <w:rPr>
                <w:rFonts w:ascii="宋体" w:hAnsi="宋体"/>
              </w:rPr>
            </w:pPr>
            <w:r>
              <w:rPr>
                <w:rFonts w:ascii="宋体" w:hAnsi="宋体"/>
              </w:rPr>
              <w:t>本题有效填写人次</w:t>
            </w:r>
          </w:p>
        </w:tc>
        <w:tc>
          <w:tcPr>
            <w:tcW w:w="999" w:type="dxa"/>
            <w:shd w:val="clear" w:color="auto" w:fill="F5F5F5"/>
            <w:vAlign w:val="center"/>
          </w:tcPr>
          <w:p>
            <w:pPr>
              <w:jc w:val="center"/>
              <w:rPr>
                <w:rFonts w:ascii="宋体" w:hAnsi="宋体"/>
              </w:rPr>
            </w:pPr>
            <w:r>
              <w:rPr>
                <w:rFonts w:ascii="宋体" w:hAnsi="宋体"/>
              </w:rPr>
              <w:t>670</w:t>
            </w:r>
          </w:p>
        </w:tc>
        <w:tc>
          <w:tcPr>
            <w:tcW w:w="3104" w:type="dxa"/>
            <w:shd w:val="clear" w:color="auto" w:fill="F5F5F5"/>
            <w:vAlign w:val="center"/>
          </w:tcPr>
          <w:p>
            <w:pPr>
              <w:rPr>
                <w:rFonts w:ascii="宋体" w:hAnsi="宋体"/>
              </w:rPr>
            </w:pPr>
          </w:p>
        </w:tc>
      </w:tr>
    </w:tbl>
    <w:p>
      <w:pPr>
        <w:rPr>
          <w:rFonts w:ascii="宋体" w:hAnsi="宋体"/>
        </w:rPr>
      </w:pPr>
    </w:p>
    <w:p>
      <w:pPr>
        <w:rPr>
          <w:rFonts w:ascii="宋体" w:hAnsi="宋体"/>
          <w:color w:val="0066FF"/>
        </w:rPr>
      </w:pPr>
      <w:r>
        <w:rPr>
          <w:rFonts w:ascii="宋体" w:hAnsi="宋体"/>
          <w:color w:val="000000"/>
        </w:rPr>
        <w:t xml:space="preserve">13.您对生活垃圾分类或相应的激励工作还有哪些建议?   </w:t>
      </w:r>
      <w:r>
        <w:rPr>
          <w:rFonts w:ascii="宋体" w:hAnsi="宋体"/>
          <w:color w:val="0066FF"/>
        </w:rPr>
        <w:t>[填空题]</w:t>
      </w:r>
    </w:p>
    <w:p>
      <w:pPr>
        <w:rPr>
          <w:rFonts w:ascii="宋体" w:hAnsi="宋体"/>
        </w:rPr>
      </w:pPr>
      <w:r>
        <w:rPr>
          <w:rFonts w:hint="eastAsia" w:ascii="宋体" w:hAnsi="宋体"/>
        </w:rPr>
        <w:t>无。</w:t>
      </w:r>
    </w:p>
    <w:p>
      <w:pPr>
        <w:jc w:val="center"/>
      </w:pPr>
    </w:p>
    <w:p/>
    <w:p>
      <w:pPr>
        <w:rPr>
          <w:color w:val="000000"/>
        </w:rPr>
      </w:pPr>
    </w:p>
    <w:p>
      <w:pPr>
        <w:jc w:val="center"/>
      </w:pPr>
    </w:p>
    <w:p>
      <w:pPr>
        <w:jc w:val="center"/>
      </w:pPr>
    </w:p>
    <w:p>
      <w:pPr>
        <w:spacing w:line="600" w:lineRule="exact"/>
        <w:rPr>
          <w:rFonts w:ascii="黑体" w:hAnsi="黑体" w:eastAsia="黑体" w:cs="仿宋_GB2312"/>
          <w:sz w:val="32"/>
          <w:szCs w:val="32"/>
          <w:lang w:val="en-GB"/>
        </w:rPr>
        <w:sectPr>
          <w:pgSz w:w="11906" w:h="16838"/>
          <w:pgMar w:top="1440" w:right="1800" w:bottom="1440" w:left="1800" w:header="851" w:footer="992" w:gutter="0"/>
          <w:cols w:space="425" w:num="1"/>
          <w:docGrid w:type="lines" w:linePitch="312" w:charSpace="0"/>
        </w:sectPr>
      </w:pPr>
    </w:p>
    <w:p>
      <w:pPr>
        <w:spacing w:line="600" w:lineRule="exact"/>
        <w:outlineLvl w:val="1"/>
        <w:rPr>
          <w:rFonts w:ascii="黑体" w:hAnsi="黑体" w:eastAsia="黑体" w:cs="仿宋_GB2312"/>
          <w:sz w:val="32"/>
          <w:szCs w:val="32"/>
        </w:rPr>
      </w:pPr>
      <w:bookmarkStart w:id="46" w:name="_Toc148104168"/>
      <w:r>
        <w:rPr>
          <w:rFonts w:hint="eastAsia" w:ascii="黑体" w:hAnsi="黑体" w:eastAsia="黑体" w:cs="仿宋_GB2312"/>
          <w:sz w:val="32"/>
          <w:szCs w:val="32"/>
        </w:rPr>
        <w:t>附件</w:t>
      </w:r>
      <w:r>
        <w:rPr>
          <w:rFonts w:ascii="黑体" w:hAnsi="黑体" w:eastAsia="黑体" w:cs="仿宋_GB2312"/>
          <w:sz w:val="32"/>
          <w:szCs w:val="32"/>
        </w:rPr>
        <w:t xml:space="preserve">3 </w:t>
      </w:r>
      <w:r>
        <w:rPr>
          <w:rFonts w:hint="eastAsia" w:ascii="黑体" w:hAnsi="黑体" w:eastAsia="黑体" w:cs="仿宋_GB2312"/>
          <w:sz w:val="32"/>
          <w:szCs w:val="32"/>
        </w:rPr>
        <w:t>现场调研情况分析</w:t>
      </w:r>
      <w:bookmarkEnd w:id="46"/>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023</w:t>
      </w:r>
      <w:r>
        <w:rPr>
          <w:rFonts w:hint="eastAsia" w:ascii="仿宋_GB2312" w:hAnsi="仿宋_GB2312" w:eastAsia="仿宋_GB2312" w:cs="仿宋_GB2312"/>
          <w:sz w:val="32"/>
          <w:szCs w:val="32"/>
        </w:rPr>
        <w:t>年1</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月1</w:t>
      </w:r>
      <w:r>
        <w:rPr>
          <w:rFonts w:ascii="仿宋_GB2312" w:hAnsi="仿宋_GB2312" w:eastAsia="仿宋_GB2312" w:cs="仿宋_GB2312"/>
          <w:sz w:val="32"/>
          <w:szCs w:val="32"/>
        </w:rPr>
        <w:t>1-12</w:t>
      </w:r>
      <w:r>
        <w:rPr>
          <w:rFonts w:hint="eastAsia" w:ascii="仿宋_GB2312" w:hAnsi="仿宋_GB2312" w:eastAsia="仿宋_GB2312" w:cs="仿宋_GB2312"/>
          <w:sz w:val="32"/>
          <w:szCs w:val="32"/>
        </w:rPr>
        <w:t>日评价小组现场调研龙华区1</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个小区的垃圾分类情况，其6个小区为2022年度“生活垃圾分类绿色小区”。</w:t>
      </w:r>
      <w:r>
        <w:rPr>
          <w:rFonts w:hint="eastAsia" w:ascii="仿宋_GB2312" w:eastAsia="仿宋_GB2312" w:cs="仿宋_GB2312"/>
          <w:bCs/>
          <w:sz w:val="32"/>
          <w:szCs w:val="32"/>
        </w:rPr>
        <w:t>实地检查内容主要包括现场观察垃圾投放情况、垃圾投放点管理情况，如群众现场是否进行垃圾分类投放；集中分类投放点分类收集容器是否按照标准整齐摆放，垃圾桶桶身是否清洁，是否满溢；投放点现场是否整洁、是否散落垃圾、是否积水等。</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调研发现：整体来看，绿色小区的垃圾分类情况与未被激励的小区相比，并无明显差别，均普遍存在垃圾分类意识不强、垃圾收集容器未按标准配备、垃圾收集容器周边积水未及时清理、垃圾满溢等问题。垃圾分类激励资金的激励效果的可持续性有待提高。</w:t>
      </w:r>
    </w:p>
    <w:p>
      <w:pPr>
        <w:spacing w:line="600" w:lineRule="exact"/>
        <w:ind w:firstLine="562" w:firstLineChars="200"/>
        <w:jc w:val="center"/>
        <w:rPr>
          <w:rFonts w:ascii="黑体" w:hAnsi="黑体" w:eastAsia="黑体" w:cs="仿宋_GB2312"/>
          <w:b/>
          <w:bCs/>
          <w:sz w:val="28"/>
          <w:szCs w:val="28"/>
        </w:rPr>
      </w:pPr>
      <w:r>
        <w:rPr>
          <w:rFonts w:hint="eastAsia" w:ascii="黑体" w:hAnsi="黑体" w:eastAsia="黑体" w:cs="仿宋_GB2312"/>
          <w:b/>
          <w:bCs/>
          <w:sz w:val="28"/>
          <w:szCs w:val="28"/>
        </w:rPr>
        <w:t>附表</w:t>
      </w:r>
      <w:r>
        <w:rPr>
          <w:rFonts w:ascii="黑体" w:hAnsi="黑体" w:eastAsia="黑体" w:cs="仿宋_GB2312"/>
          <w:b/>
          <w:bCs/>
          <w:sz w:val="28"/>
          <w:szCs w:val="28"/>
        </w:rPr>
        <w:t>3-1</w:t>
      </w:r>
      <w:r>
        <w:rPr>
          <w:rFonts w:hint="eastAsia" w:ascii="黑体" w:hAnsi="黑体" w:eastAsia="黑体" w:cs="仿宋_GB2312"/>
          <w:b/>
          <w:bCs/>
          <w:sz w:val="28"/>
          <w:szCs w:val="28"/>
        </w:rPr>
        <w:t>现场调研问题记录表</w:t>
      </w:r>
    </w:p>
    <w:tbl>
      <w:tblPr>
        <w:tblStyle w:val="25"/>
        <w:tblW w:w="5000" w:type="pct"/>
        <w:tblInd w:w="0" w:type="dxa"/>
        <w:tblLayout w:type="autofit"/>
        <w:tblCellMar>
          <w:top w:w="0" w:type="dxa"/>
          <w:left w:w="108" w:type="dxa"/>
          <w:bottom w:w="0" w:type="dxa"/>
          <w:right w:w="108" w:type="dxa"/>
        </w:tblCellMar>
      </w:tblPr>
      <w:tblGrid>
        <w:gridCol w:w="715"/>
        <w:gridCol w:w="1132"/>
        <w:gridCol w:w="1549"/>
        <w:gridCol w:w="1952"/>
        <w:gridCol w:w="3174"/>
      </w:tblGrid>
      <w:tr>
        <w:tblPrEx>
          <w:tblCellMar>
            <w:top w:w="0" w:type="dxa"/>
            <w:left w:w="108" w:type="dxa"/>
            <w:bottom w:w="0" w:type="dxa"/>
            <w:right w:w="108" w:type="dxa"/>
          </w:tblCellMar>
        </w:tblPrEx>
        <w:trPr>
          <w:trHeight w:val="432" w:hRule="atLeast"/>
          <w:tblHeader/>
        </w:trPr>
        <w:tc>
          <w:tcPr>
            <w:tcW w:w="42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序号</w:t>
            </w:r>
          </w:p>
        </w:tc>
        <w:tc>
          <w:tcPr>
            <w:tcW w:w="664"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街道</w:t>
            </w:r>
          </w:p>
        </w:tc>
        <w:tc>
          <w:tcPr>
            <w:tcW w:w="9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类型</w:t>
            </w:r>
          </w:p>
        </w:tc>
        <w:tc>
          <w:tcPr>
            <w:tcW w:w="11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小区名称</w:t>
            </w:r>
          </w:p>
        </w:tc>
        <w:tc>
          <w:tcPr>
            <w:tcW w:w="1862"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b/>
                <w:bCs/>
                <w:color w:val="000000"/>
              </w:rPr>
            </w:pPr>
            <w:r>
              <w:rPr>
                <w:rFonts w:hint="eastAsia" w:cs="宋体" w:asciiTheme="minorEastAsia" w:hAnsiTheme="minorEastAsia" w:eastAsiaTheme="minorEastAsia"/>
                <w:b/>
                <w:bCs/>
                <w:color w:val="000000"/>
              </w:rPr>
              <w:t>问题</w:t>
            </w:r>
          </w:p>
        </w:tc>
      </w:tr>
      <w:tr>
        <w:tblPrEx>
          <w:tblCellMar>
            <w:top w:w="0" w:type="dxa"/>
            <w:left w:w="108" w:type="dxa"/>
            <w:bottom w:w="0" w:type="dxa"/>
            <w:right w:w="108" w:type="dxa"/>
          </w:tblCellMar>
        </w:tblPrEx>
        <w:trPr>
          <w:trHeight w:val="960"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观湖街道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深业观澜玫瑰苑</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1.垃圾分类意识不强，扔垃圾都是随意丢弃在大垃圾箱中；</w:t>
            </w:r>
          </w:p>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2.垃圾收集容器周边有积水的情况。</w:t>
            </w:r>
          </w:p>
        </w:tc>
      </w:tr>
      <w:tr>
        <w:tblPrEx>
          <w:tblCellMar>
            <w:top w:w="0" w:type="dxa"/>
            <w:left w:w="108" w:type="dxa"/>
            <w:bottom w:w="0" w:type="dxa"/>
            <w:right w:w="108" w:type="dxa"/>
          </w:tblCellMar>
        </w:tblPrEx>
        <w:trPr>
          <w:trHeight w:val="960"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观湖街道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2022年非绿色小区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马坜新村</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1.垃圾分类意识不强，扔垃圾都是随意丢弃在大垃圾箱中。</w:t>
            </w:r>
          </w:p>
        </w:tc>
      </w:tr>
      <w:tr>
        <w:tblPrEx>
          <w:tblCellMar>
            <w:top w:w="0" w:type="dxa"/>
            <w:left w:w="108" w:type="dxa"/>
            <w:bottom w:w="0" w:type="dxa"/>
            <w:right w:w="108" w:type="dxa"/>
          </w:tblCellMar>
        </w:tblPrEx>
        <w:trPr>
          <w:trHeight w:val="432"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3</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民治街道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锦绣江南二期</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1.缺少有害垃圾类收集容器。</w:t>
            </w:r>
          </w:p>
        </w:tc>
      </w:tr>
      <w:tr>
        <w:tblPrEx>
          <w:tblCellMar>
            <w:top w:w="0" w:type="dxa"/>
            <w:left w:w="108" w:type="dxa"/>
            <w:bottom w:w="0" w:type="dxa"/>
            <w:right w:w="108" w:type="dxa"/>
          </w:tblCellMar>
        </w:tblPrEx>
        <w:trPr>
          <w:trHeight w:val="960"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4</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民治街道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2022年非绿色小区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樟坑1区</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1.只有其他垃圾类收集容器，未落实垃圾分类;</w:t>
            </w:r>
          </w:p>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2.收集容器垃圾出现明显满溢情况。</w:t>
            </w:r>
          </w:p>
        </w:tc>
      </w:tr>
      <w:tr>
        <w:tblPrEx>
          <w:tblCellMar>
            <w:top w:w="0" w:type="dxa"/>
            <w:left w:w="108" w:type="dxa"/>
            <w:bottom w:w="0" w:type="dxa"/>
            <w:right w:w="108" w:type="dxa"/>
          </w:tblCellMar>
        </w:tblPrEx>
        <w:trPr>
          <w:trHeight w:val="432"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5</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龙华街道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幸福城二期</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w:t>
            </w:r>
            <w:r>
              <w:rPr>
                <w:rFonts w:hint="eastAsia" w:cs="宋体" w:asciiTheme="minorEastAsia" w:hAnsiTheme="minorEastAsia" w:eastAsiaTheme="minorEastAsia"/>
                <w:color w:val="000000"/>
              </w:rPr>
              <w:t>垃圾收集点周边有散落的垃圾无人清理。</w:t>
            </w:r>
          </w:p>
        </w:tc>
      </w:tr>
      <w:tr>
        <w:tblPrEx>
          <w:tblCellMar>
            <w:top w:w="0" w:type="dxa"/>
            <w:left w:w="108" w:type="dxa"/>
            <w:bottom w:w="0" w:type="dxa"/>
            <w:right w:w="108" w:type="dxa"/>
          </w:tblCellMar>
        </w:tblPrEx>
        <w:trPr>
          <w:trHeight w:val="924"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6</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龙华街道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2022年非绿色小区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金苹果花园</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1.垃圾分类意识不强，成袋垃圾随意丢到厨余垃圾箱中；</w:t>
            </w:r>
          </w:p>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2.垃圾满溢，垃圾散落地上。</w:t>
            </w:r>
          </w:p>
        </w:tc>
      </w:tr>
      <w:tr>
        <w:tblPrEx>
          <w:tblCellMar>
            <w:top w:w="0" w:type="dxa"/>
            <w:left w:w="108" w:type="dxa"/>
            <w:bottom w:w="0" w:type="dxa"/>
            <w:right w:w="108" w:type="dxa"/>
          </w:tblCellMar>
        </w:tblPrEx>
        <w:trPr>
          <w:trHeight w:val="432"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7</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大浪街道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特发·和平里二期</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无</w:t>
            </w:r>
          </w:p>
        </w:tc>
      </w:tr>
      <w:tr>
        <w:tblPrEx>
          <w:tblCellMar>
            <w:top w:w="0" w:type="dxa"/>
            <w:left w:w="108" w:type="dxa"/>
            <w:bottom w:w="0" w:type="dxa"/>
            <w:right w:w="108" w:type="dxa"/>
          </w:tblCellMar>
        </w:tblPrEx>
        <w:trPr>
          <w:trHeight w:val="648"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8</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大浪街道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2022年非绿色小区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大浪九区</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1.只有其他垃圾类收集容器，未落实垃圾分类。</w:t>
            </w:r>
          </w:p>
        </w:tc>
      </w:tr>
      <w:tr>
        <w:tblPrEx>
          <w:tblCellMar>
            <w:top w:w="0" w:type="dxa"/>
            <w:left w:w="108" w:type="dxa"/>
            <w:bottom w:w="0" w:type="dxa"/>
            <w:right w:w="108" w:type="dxa"/>
          </w:tblCellMar>
        </w:tblPrEx>
        <w:trPr>
          <w:trHeight w:val="432"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9</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福城街道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福安雅园</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无</w:t>
            </w:r>
          </w:p>
        </w:tc>
      </w:tr>
      <w:tr>
        <w:tblPrEx>
          <w:tblCellMar>
            <w:top w:w="0" w:type="dxa"/>
            <w:left w:w="108" w:type="dxa"/>
            <w:bottom w:w="0" w:type="dxa"/>
            <w:right w:w="108" w:type="dxa"/>
          </w:tblCellMar>
        </w:tblPrEx>
        <w:trPr>
          <w:trHeight w:val="432"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10</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福城街道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2022年非绿色小区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桔岭老村新居</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无</w:t>
            </w:r>
          </w:p>
        </w:tc>
      </w:tr>
      <w:tr>
        <w:tblPrEx>
          <w:tblCellMar>
            <w:top w:w="0" w:type="dxa"/>
            <w:left w:w="108" w:type="dxa"/>
            <w:bottom w:w="0" w:type="dxa"/>
            <w:right w:w="108" w:type="dxa"/>
          </w:tblCellMar>
        </w:tblPrEx>
        <w:trPr>
          <w:trHeight w:val="684"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11</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观澜街道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爱心家园</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hint="eastAsia" w:cs="宋体" w:asciiTheme="minorEastAsia" w:hAnsiTheme="minorEastAsia" w:eastAsiaTheme="minorEastAsia"/>
                <w:color w:val="000000"/>
              </w:rPr>
              <w:t>1</w:t>
            </w:r>
            <w:r>
              <w:rPr>
                <w:rFonts w:cs="宋体" w:asciiTheme="minorEastAsia" w:hAnsiTheme="minorEastAsia" w:eastAsiaTheme="minorEastAsia"/>
                <w:color w:val="000000"/>
              </w:rPr>
              <w:t>.</w:t>
            </w:r>
            <w:r>
              <w:rPr>
                <w:rFonts w:hint="eastAsia" w:cs="宋体" w:asciiTheme="minorEastAsia" w:hAnsiTheme="minorEastAsia" w:eastAsiaTheme="minorEastAsia"/>
                <w:color w:val="000000"/>
              </w:rPr>
              <w:t>现场墙上有生活垃圾分类光荣榜，但日期仍是6月份，长时间未更新。</w:t>
            </w:r>
          </w:p>
        </w:tc>
      </w:tr>
      <w:tr>
        <w:tblPrEx>
          <w:tblCellMar>
            <w:top w:w="0" w:type="dxa"/>
            <w:left w:w="108" w:type="dxa"/>
            <w:bottom w:w="0" w:type="dxa"/>
            <w:right w:w="108" w:type="dxa"/>
          </w:tblCellMar>
        </w:tblPrEx>
        <w:trPr>
          <w:trHeight w:val="684" w:hRule="atLeast"/>
        </w:trPr>
        <w:tc>
          <w:tcPr>
            <w:tcW w:w="42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12</w:t>
            </w:r>
          </w:p>
        </w:tc>
        <w:tc>
          <w:tcPr>
            <w:tcW w:w="664"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观澜街道</w:t>
            </w:r>
          </w:p>
        </w:tc>
        <w:tc>
          <w:tcPr>
            <w:tcW w:w="909"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2022年非绿色小区</w:t>
            </w:r>
          </w:p>
        </w:tc>
        <w:tc>
          <w:tcPr>
            <w:tcW w:w="1145" w:type="pct"/>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eastAsiaTheme="minorEastAsia"/>
                <w:color w:val="000000"/>
              </w:rPr>
            </w:pPr>
            <w:r>
              <w:rPr>
                <w:rFonts w:hint="eastAsia" w:cs="宋体" w:asciiTheme="minorEastAsia" w:hAnsiTheme="minorEastAsia" w:eastAsiaTheme="minorEastAsia"/>
                <w:color w:val="000000"/>
              </w:rPr>
              <w:t>翠澜新村</w:t>
            </w:r>
          </w:p>
        </w:tc>
        <w:tc>
          <w:tcPr>
            <w:tcW w:w="1862" w:type="pct"/>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eastAsiaTheme="minorEastAsia"/>
                <w:color w:val="000000"/>
              </w:rPr>
            </w:pPr>
            <w:r>
              <w:rPr>
                <w:rFonts w:cs="宋体" w:asciiTheme="minorEastAsia" w:hAnsiTheme="minorEastAsia" w:eastAsiaTheme="minorEastAsia"/>
                <w:color w:val="000000"/>
              </w:rPr>
              <w:t>1.</w:t>
            </w:r>
            <w:r>
              <w:rPr>
                <w:rFonts w:hint="eastAsia" w:cs="宋体" w:asciiTheme="minorEastAsia" w:hAnsiTheme="minorEastAsia" w:eastAsiaTheme="minorEastAsia"/>
                <w:color w:val="000000"/>
              </w:rPr>
              <w:t>居民楼下有单个垃圾收集容器，周边不洁，垃圾散落，未落实垃圾分类。</w:t>
            </w:r>
          </w:p>
        </w:tc>
      </w:tr>
    </w:tbl>
    <w:p>
      <w:pPr>
        <w:jc w:val="center"/>
      </w:pPr>
    </w:p>
    <w:p>
      <w:pPr>
        <w:jc w:val="center"/>
        <w:sectPr>
          <w:pgSz w:w="11906" w:h="16838"/>
          <w:pgMar w:top="1440" w:right="1800" w:bottom="1440" w:left="1800" w:header="851" w:footer="992" w:gutter="0"/>
          <w:cols w:space="425" w:num="1"/>
          <w:docGrid w:type="lines" w:linePitch="312" w:charSpace="0"/>
        </w:sect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现场调研具体情况如下：</w:t>
      </w:r>
    </w:p>
    <w:p>
      <w:pPr>
        <w:spacing w:line="560" w:lineRule="exact"/>
        <w:ind w:firstLine="400" w:firstLineChars="200"/>
        <w:outlineLvl w:val="2"/>
        <w:rPr>
          <w:rFonts w:ascii="仿宋_GB2312" w:eastAsia="仿宋_GB2312" w:cs="仿宋_GB2312"/>
          <w:sz w:val="32"/>
          <w:szCs w:val="32"/>
        </w:rPr>
      </w:pPr>
      <w:r>
        <w:drawing>
          <wp:anchor distT="0" distB="0" distL="114300" distR="114300" simplePos="0" relativeHeight="251670528" behindDoc="0" locked="0" layoutInCell="1" allowOverlap="1">
            <wp:simplePos x="0" y="0"/>
            <wp:positionH relativeFrom="column">
              <wp:posOffset>271145</wp:posOffset>
            </wp:positionH>
            <wp:positionV relativeFrom="paragraph">
              <wp:posOffset>1207135</wp:posOffset>
            </wp:positionV>
            <wp:extent cx="4692650" cy="3001645"/>
            <wp:effectExtent l="0" t="0" r="0" b="8255"/>
            <wp:wrapTopAndBottom/>
            <wp:docPr id="5" name="图片 5" descr="52a0c3b5992e2d05566396dc79f86b7"/>
            <wp:cNvGraphicFramePr/>
            <a:graphic xmlns:a="http://schemas.openxmlformats.org/drawingml/2006/main">
              <a:graphicData uri="http://schemas.openxmlformats.org/drawingml/2006/picture">
                <pic:pic xmlns:pic="http://schemas.openxmlformats.org/drawingml/2006/picture">
                  <pic:nvPicPr>
                    <pic:cNvPr id="5" name="图片 5" descr="52a0c3b5992e2d05566396dc79f86b7"/>
                    <pic:cNvPicPr/>
                  </pic:nvPicPr>
                  <pic:blipFill>
                    <a:blip r:embed="rId76"/>
                    <a:stretch>
                      <a:fillRect/>
                    </a:stretch>
                  </pic:blipFill>
                  <pic:spPr>
                    <a:xfrm>
                      <a:off x="0" y="0"/>
                      <a:ext cx="4692650" cy="3001645"/>
                    </a:xfrm>
                    <a:prstGeom prst="rect">
                      <a:avLst/>
                    </a:prstGeom>
                  </pic:spPr>
                </pic:pic>
              </a:graphicData>
            </a:graphic>
          </wp:anchor>
        </w:drawing>
      </w:r>
      <w:r>
        <w:rPr>
          <w:rFonts w:hint="eastAsia" w:ascii="仿宋_GB2312" w:eastAsia="仿宋_GB2312" w:cs="仿宋_GB2312"/>
          <w:sz w:val="32"/>
          <w:szCs w:val="32"/>
        </w:rPr>
        <w:t>1</w:t>
      </w:r>
      <w:r>
        <w:rPr>
          <w:rFonts w:ascii="仿宋_GB2312" w:eastAsia="仿宋_GB2312" w:cs="仿宋_GB2312"/>
          <w:sz w:val="32"/>
          <w:szCs w:val="32"/>
        </w:rPr>
        <w:t>.</w:t>
      </w:r>
      <w:r>
        <w:rPr>
          <w:rFonts w:hint="eastAsia" w:ascii="仿宋_GB2312" w:eastAsia="仿宋_GB2312" w:cs="仿宋_GB2312"/>
          <w:sz w:val="32"/>
          <w:szCs w:val="32"/>
        </w:rPr>
        <w:t>观湖街道深业观澜玫瑰苑（2022年绿色小区），现场调研问题：（1）垃圾分类意识不强，扔垃圾都是随意丢弃在大垃圾箱中；（2）垃圾收集容器周边有积水的情况。</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60" w:lineRule="exact"/>
        <w:ind w:firstLine="640" w:firstLineChars="200"/>
        <w:outlineLvl w:val="2"/>
        <w:rPr>
          <w:rFonts w:ascii="仿宋_GB2312" w:eastAsia="仿宋_GB2312" w:cs="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观湖街道马坜新村，现场调研问题：垃圾分类意识不强，扔垃圾都是随意丢弃在大垃圾箱中。</w:t>
      </w:r>
    </w:p>
    <w:p>
      <w:pPr>
        <w:spacing w:line="560" w:lineRule="exact"/>
        <w:ind w:firstLine="400" w:firstLineChars="200"/>
        <w:rPr>
          <w:rFonts w:ascii="仿宋_GB2312" w:hAnsi="仿宋_GB2312" w:eastAsia="仿宋_GB2312" w:cs="仿宋_GB2312"/>
          <w:sz w:val="32"/>
          <w:szCs w:val="32"/>
        </w:rPr>
      </w:pPr>
      <w:r>
        <w:drawing>
          <wp:anchor distT="0" distB="0" distL="114300" distR="114300" simplePos="0" relativeHeight="251666432" behindDoc="0" locked="0" layoutInCell="1" allowOverlap="1">
            <wp:simplePos x="0" y="0"/>
            <wp:positionH relativeFrom="column">
              <wp:posOffset>97790</wp:posOffset>
            </wp:positionH>
            <wp:positionV relativeFrom="paragraph">
              <wp:posOffset>451485</wp:posOffset>
            </wp:positionV>
            <wp:extent cx="5399405" cy="3599815"/>
            <wp:effectExtent l="0" t="0" r="0" b="635"/>
            <wp:wrapTopAndBottom/>
            <wp:docPr id="9" name="图片 9" descr="af99d303f234b68f21a24533ecc711c"/>
            <wp:cNvGraphicFramePr/>
            <a:graphic xmlns:a="http://schemas.openxmlformats.org/drawingml/2006/main">
              <a:graphicData uri="http://schemas.openxmlformats.org/drawingml/2006/picture">
                <pic:pic xmlns:pic="http://schemas.openxmlformats.org/drawingml/2006/picture">
                  <pic:nvPicPr>
                    <pic:cNvPr id="9" name="图片 9" descr="af99d303f234b68f21a24533ecc711c"/>
                    <pic:cNvPicPr/>
                  </pic:nvPicPr>
                  <pic:blipFill>
                    <a:blip r:embed="rId77"/>
                    <a:stretch>
                      <a:fillRect/>
                    </a:stretch>
                  </pic:blipFill>
                  <pic:spPr>
                    <a:xfrm>
                      <a:off x="0" y="0"/>
                      <a:ext cx="5399405" cy="3599815"/>
                    </a:xfrm>
                    <a:prstGeom prst="rect">
                      <a:avLst/>
                    </a:prstGeom>
                  </pic:spPr>
                </pic:pic>
              </a:graphicData>
            </a:graphic>
          </wp:anchor>
        </w:drawing>
      </w:r>
    </w:p>
    <w:p>
      <w:pPr>
        <w:spacing w:line="560" w:lineRule="exact"/>
        <w:ind w:firstLine="640" w:firstLineChars="200"/>
        <w:rPr>
          <w:rFonts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60" w:lineRule="exact"/>
        <w:ind w:firstLine="400" w:firstLineChars="200"/>
        <w:outlineLvl w:val="2"/>
        <w:rPr>
          <w:rFonts w:ascii="仿宋_GB2312" w:hAnsi="仿宋_GB2312" w:eastAsia="仿宋_GB2312" w:cs="仿宋_GB2312"/>
          <w:sz w:val="32"/>
          <w:szCs w:val="32"/>
        </w:rPr>
      </w:pPr>
      <w:r>
        <w:rPr>
          <w:rFonts w:hint="eastAsia"/>
        </w:rPr>
        <w:drawing>
          <wp:anchor distT="0" distB="0" distL="114300" distR="114300" simplePos="0" relativeHeight="251659264" behindDoc="0" locked="0" layoutInCell="1" allowOverlap="1">
            <wp:simplePos x="0" y="0"/>
            <wp:positionH relativeFrom="margin">
              <wp:align>left</wp:align>
            </wp:positionH>
            <wp:positionV relativeFrom="paragraph">
              <wp:posOffset>847090</wp:posOffset>
            </wp:positionV>
            <wp:extent cx="5400040" cy="4050030"/>
            <wp:effectExtent l="0" t="0" r="0" b="8255"/>
            <wp:wrapTopAndBottom/>
            <wp:docPr id="2" name="图片 2" descr="民治激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民治激励1"/>
                    <pic:cNvPicPr>
                      <a:picLocks noChangeAspect="1"/>
                    </pic:cNvPicPr>
                  </pic:nvPicPr>
                  <pic:blipFill>
                    <a:blip r:embed="rId78"/>
                    <a:stretch>
                      <a:fillRect/>
                    </a:stretch>
                  </pic:blipFill>
                  <pic:spPr>
                    <a:xfrm>
                      <a:off x="0" y="0"/>
                      <a:ext cx="5400000" cy="4049799"/>
                    </a:xfrm>
                    <a:prstGeom prst="rect">
                      <a:avLst/>
                    </a:prstGeom>
                  </pic:spPr>
                </pic:pic>
              </a:graphicData>
            </a:graphic>
          </wp:anchor>
        </w:drawing>
      </w: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民治街道锦绣江南二期（2022年绿色小区），现场调研问题：缺少有害垃圾类收集容器。</w:t>
      </w:r>
    </w:p>
    <w:p>
      <w:pPr>
        <w:rPr>
          <w:rFonts w:ascii="仿宋_GB2312" w:hAnsi="仿宋_GB2312" w:eastAsia="仿宋_GB2312" w:cs="仿宋_GB2312"/>
          <w:sz w:val="32"/>
          <w:szCs w:val="32"/>
        </w:rPr>
      </w:pPr>
      <w:r>
        <w:rPr>
          <w:rFonts w:ascii="仿宋_GB2312" w:hAnsi="仿宋_GB2312" w:eastAsia="仿宋_GB2312" w:cs="仿宋_GB2312"/>
          <w:sz w:val="32"/>
          <w:szCs w:val="32"/>
        </w:rPr>
        <w:br w:type="page"/>
      </w:r>
    </w:p>
    <w:p>
      <w:pPr>
        <w:spacing w:line="560" w:lineRule="exact"/>
        <w:ind w:firstLine="400" w:firstLineChars="200"/>
        <w:outlineLvl w:val="2"/>
        <w:rPr>
          <w:rFonts w:ascii="仿宋_GB2312" w:eastAsia="仿宋_GB2312" w:cs="仿宋_GB2312"/>
          <w:sz w:val="32"/>
          <w:szCs w:val="32"/>
        </w:rPr>
      </w:pPr>
      <w:r>
        <w:rPr>
          <w:rFonts w:hint="eastAsia"/>
        </w:rPr>
        <w:drawing>
          <wp:anchor distT="0" distB="0" distL="114300" distR="114300" simplePos="0" relativeHeight="251662336" behindDoc="0" locked="0" layoutInCell="1" allowOverlap="1">
            <wp:simplePos x="0" y="0"/>
            <wp:positionH relativeFrom="column">
              <wp:posOffset>15240</wp:posOffset>
            </wp:positionH>
            <wp:positionV relativeFrom="paragraph">
              <wp:posOffset>1176655</wp:posOffset>
            </wp:positionV>
            <wp:extent cx="5400040" cy="4050030"/>
            <wp:effectExtent l="0" t="0" r="0" b="7620"/>
            <wp:wrapTopAndBottom/>
            <wp:docPr id="4" name="图片 4" descr="民治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民治1"/>
                    <pic:cNvPicPr>
                      <a:picLocks noChangeAspect="1"/>
                    </pic:cNvPicPr>
                  </pic:nvPicPr>
                  <pic:blipFill>
                    <a:blip r:embed="rId79"/>
                    <a:stretch>
                      <a:fillRect/>
                    </a:stretch>
                  </pic:blipFill>
                  <pic:spPr>
                    <a:xfrm>
                      <a:off x="0" y="0"/>
                      <a:ext cx="5400000" cy="4050326"/>
                    </a:xfrm>
                    <a:prstGeom prst="rect">
                      <a:avLst/>
                    </a:prstGeom>
                  </pic:spPr>
                </pic:pic>
              </a:graphicData>
            </a:graphic>
          </wp:anchor>
        </w:drawing>
      </w:r>
      <w:r>
        <w:rPr>
          <w:rFonts w:hint="eastAsia" w:ascii="仿宋_GB2312" w:eastAsia="仿宋_GB2312" w:cs="仿宋_GB2312"/>
          <w:sz w:val="32"/>
          <w:szCs w:val="32"/>
        </w:rPr>
        <w:t>4</w:t>
      </w:r>
      <w:r>
        <w:rPr>
          <w:rFonts w:ascii="仿宋_GB2312" w:eastAsia="仿宋_GB2312" w:cs="仿宋_GB2312"/>
          <w:sz w:val="32"/>
          <w:szCs w:val="32"/>
        </w:rPr>
        <w:t>.</w:t>
      </w:r>
      <w:r>
        <w:rPr>
          <w:rFonts w:hint="eastAsia" w:ascii="仿宋_GB2312" w:eastAsia="仿宋_GB2312" w:cs="仿宋_GB2312"/>
          <w:sz w:val="32"/>
          <w:szCs w:val="32"/>
        </w:rPr>
        <w:t>民治街道樟坑1区，现场调研问题：（1）只有其他垃圾类收集容器，未落实垃圾分类;（2）收集容器垃圾出现明显满溢情况。</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60" w:lineRule="exact"/>
        <w:ind w:firstLine="640" w:firstLineChars="200"/>
        <w:outlineLvl w:val="2"/>
        <w:rPr>
          <w:rFonts w:ascii="仿宋_GB2312" w:eastAsia="仿宋_GB2312" w:cs="仿宋_GB2312"/>
          <w:sz w:val="32"/>
          <w:szCs w:val="32"/>
        </w:rPr>
      </w:pPr>
      <w:r>
        <w:rPr>
          <w:rFonts w:hint="eastAsia" w:ascii="仿宋_GB2312" w:eastAsia="仿宋_GB2312" w:cs="仿宋_GB2312"/>
          <w:sz w:val="32"/>
          <w:szCs w:val="32"/>
        </w:rPr>
        <w:t>5</w:t>
      </w:r>
      <w:r>
        <w:rPr>
          <w:rFonts w:ascii="仿宋_GB2312" w:eastAsia="仿宋_GB2312" w:cs="仿宋_GB2312"/>
          <w:sz w:val="32"/>
          <w:szCs w:val="32"/>
        </w:rPr>
        <w:t>.</w:t>
      </w:r>
      <w:r>
        <w:rPr>
          <w:rFonts w:hint="eastAsia" w:ascii="仿宋_GB2312" w:eastAsia="仿宋_GB2312" w:cs="仿宋_GB2312"/>
          <w:sz w:val="32"/>
          <w:szCs w:val="32"/>
        </w:rPr>
        <w:t>龙华街道幸福城二期（2022年绿色小区），现场调研问题：垃圾收集点周边有散落的垃圾无人清理。</w:t>
      </w:r>
    </w:p>
    <w:p>
      <w:pPr>
        <w:spacing w:line="560" w:lineRule="exact"/>
        <w:ind w:firstLine="400" w:firstLineChars="200"/>
        <w:rPr>
          <w:rFonts w:ascii="仿宋_GB2312" w:hAnsi="仿宋_GB2312" w:eastAsia="仿宋_GB2312" w:cs="仿宋_GB2312"/>
          <w:sz w:val="32"/>
          <w:szCs w:val="32"/>
        </w:rPr>
      </w:pPr>
      <w:r>
        <w:rPr>
          <w:rFonts w:hint="eastAsia"/>
        </w:rPr>
        <w:drawing>
          <wp:anchor distT="0" distB="0" distL="114300" distR="114300" simplePos="0" relativeHeight="251664384" behindDoc="0" locked="0" layoutInCell="1" allowOverlap="1">
            <wp:simplePos x="0" y="0"/>
            <wp:positionH relativeFrom="column">
              <wp:posOffset>784860</wp:posOffset>
            </wp:positionH>
            <wp:positionV relativeFrom="paragraph">
              <wp:posOffset>462280</wp:posOffset>
            </wp:positionV>
            <wp:extent cx="3239770" cy="4319905"/>
            <wp:effectExtent l="0" t="0" r="0" b="4445"/>
            <wp:wrapTopAndBottom/>
            <wp:docPr id="7" name="图片 7" descr="490b37e4b338f0f28feffe5c750c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90b37e4b338f0f28feffe5c750c447"/>
                    <pic:cNvPicPr>
                      <a:picLocks noChangeAspect="1"/>
                    </pic:cNvPicPr>
                  </pic:nvPicPr>
                  <pic:blipFill>
                    <a:blip r:embed="rId80"/>
                    <a:stretch>
                      <a:fillRect/>
                    </a:stretch>
                  </pic:blipFill>
                  <pic:spPr>
                    <a:xfrm>
                      <a:off x="0" y="0"/>
                      <a:ext cx="3239770" cy="4319905"/>
                    </a:xfrm>
                    <a:prstGeom prst="rect">
                      <a:avLst/>
                    </a:prstGeom>
                  </pic:spPr>
                </pic:pic>
              </a:graphicData>
            </a:graphic>
          </wp:anchor>
        </w:drawing>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60" w:lineRule="exact"/>
        <w:ind w:firstLine="640" w:firstLineChars="200"/>
        <w:outlineLvl w:val="2"/>
        <w:rPr>
          <w:rFonts w:ascii="仿宋_GB2312" w:eastAsia="仿宋_GB2312" w:cs="仿宋_GB2312"/>
          <w:sz w:val="32"/>
          <w:szCs w:val="32"/>
        </w:rPr>
      </w:pPr>
      <w:r>
        <w:rPr>
          <w:rFonts w:hint="eastAsia" w:ascii="仿宋_GB2312" w:eastAsia="仿宋_GB2312" w:cs="仿宋_GB2312"/>
          <w:sz w:val="32"/>
          <w:szCs w:val="32"/>
        </w:rPr>
        <w:t>6</w:t>
      </w:r>
      <w:r>
        <w:rPr>
          <w:rFonts w:ascii="仿宋_GB2312" w:eastAsia="仿宋_GB2312" w:cs="仿宋_GB2312"/>
          <w:sz w:val="32"/>
          <w:szCs w:val="32"/>
        </w:rPr>
        <w:t>.</w:t>
      </w:r>
      <w:r>
        <w:rPr>
          <w:rFonts w:hint="eastAsia" w:ascii="仿宋_GB2312" w:eastAsia="仿宋_GB2312" w:cs="仿宋_GB2312"/>
          <w:sz w:val="32"/>
          <w:szCs w:val="32"/>
        </w:rPr>
        <w:t>龙华街道金苹果花园，现场调研问题：（1）垃圾分类意识不强，成袋垃圾随意丢到厨余垃圾箱中；（2）垃圾满溢，垃圾散落地上。</w:t>
      </w:r>
    </w:p>
    <w:p>
      <w:pPr>
        <w:spacing w:line="560" w:lineRule="exact"/>
        <w:ind w:firstLine="640" w:firstLineChars="200"/>
        <w:rPr>
          <w:rFonts w:ascii="仿宋_GB2312" w:hAnsi="仿宋_GB2312" w:eastAsia="仿宋_GB2312" w:cs="仿宋_GB2312"/>
          <w:sz w:val="32"/>
          <w:szCs w:val="32"/>
        </w:rPr>
      </w:pPr>
    </w:p>
    <w:p>
      <w:pPr>
        <w:spacing w:line="560" w:lineRule="exact"/>
        <w:ind w:firstLine="400" w:firstLineChars="200"/>
        <w:rPr>
          <w:rFonts w:ascii="仿宋_GB2312" w:hAnsi="仿宋_GB2312" w:eastAsia="仿宋_GB2312" w:cs="仿宋_GB2312"/>
          <w:sz w:val="32"/>
          <w:szCs w:val="32"/>
        </w:rPr>
      </w:pPr>
      <w:r>
        <w:rPr>
          <w:rFonts w:hint="eastAsia"/>
        </w:rPr>
        <w:drawing>
          <wp:anchor distT="0" distB="0" distL="114300" distR="114300" simplePos="0" relativeHeight="251661312" behindDoc="0" locked="0" layoutInCell="1" allowOverlap="1">
            <wp:simplePos x="0" y="0"/>
            <wp:positionH relativeFrom="column">
              <wp:posOffset>249555</wp:posOffset>
            </wp:positionH>
            <wp:positionV relativeFrom="paragraph">
              <wp:posOffset>0</wp:posOffset>
            </wp:positionV>
            <wp:extent cx="5266690" cy="3950335"/>
            <wp:effectExtent l="0" t="0" r="0" b="0"/>
            <wp:wrapTopAndBottom/>
            <wp:docPr id="1" name="图片 1" descr="6eee0fffd2ff01a4f8f89f4c69bc6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eee0fffd2ff01a4f8f89f4c69bc6b4"/>
                    <pic:cNvPicPr>
                      <a:picLocks noChangeAspect="1"/>
                    </pic:cNvPicPr>
                  </pic:nvPicPr>
                  <pic:blipFill>
                    <a:blip r:embed="rId81"/>
                    <a:stretch>
                      <a:fillRect/>
                    </a:stretch>
                  </pic:blipFill>
                  <pic:spPr>
                    <a:xfrm>
                      <a:off x="0" y="0"/>
                      <a:ext cx="5266690" cy="3950335"/>
                    </a:xfrm>
                    <a:prstGeom prst="rect">
                      <a:avLst/>
                    </a:prstGeom>
                  </pic:spPr>
                </pic:pic>
              </a:graphicData>
            </a:graphic>
          </wp:anchor>
        </w:drawing>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spacing w:line="560" w:lineRule="exact"/>
        <w:ind w:firstLine="400" w:firstLineChars="200"/>
        <w:outlineLvl w:val="2"/>
        <w:rPr>
          <w:rFonts w:ascii="仿宋_GB2312" w:eastAsia="仿宋_GB2312" w:cs="仿宋_GB2312"/>
          <w:sz w:val="32"/>
          <w:szCs w:val="32"/>
        </w:rPr>
      </w:pPr>
      <w:r>
        <w:rPr>
          <w:rFonts w:hint="eastAsia"/>
        </w:rPr>
        <w:drawing>
          <wp:anchor distT="0" distB="0" distL="114300" distR="114300" simplePos="0" relativeHeight="251668480" behindDoc="0" locked="0" layoutInCell="1" allowOverlap="1">
            <wp:simplePos x="0" y="0"/>
            <wp:positionH relativeFrom="column">
              <wp:posOffset>107950</wp:posOffset>
            </wp:positionH>
            <wp:positionV relativeFrom="paragraph">
              <wp:posOffset>909955</wp:posOffset>
            </wp:positionV>
            <wp:extent cx="5266690" cy="3950335"/>
            <wp:effectExtent l="0" t="0" r="0" b="0"/>
            <wp:wrapTopAndBottom/>
            <wp:docPr id="12" name="图片 12" descr="大浪激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大浪激励2"/>
                    <pic:cNvPicPr>
                      <a:picLocks noChangeAspect="1"/>
                    </pic:cNvPicPr>
                  </pic:nvPicPr>
                  <pic:blipFill>
                    <a:blip r:embed="rId82"/>
                    <a:stretch>
                      <a:fillRect/>
                    </a:stretch>
                  </pic:blipFill>
                  <pic:spPr>
                    <a:xfrm>
                      <a:off x="0" y="0"/>
                      <a:ext cx="5266690" cy="3950335"/>
                    </a:xfrm>
                    <a:prstGeom prst="rect">
                      <a:avLst/>
                    </a:prstGeom>
                  </pic:spPr>
                </pic:pic>
              </a:graphicData>
            </a:graphic>
          </wp:anchor>
        </w:drawing>
      </w:r>
      <w:r>
        <w:rPr>
          <w:rFonts w:hint="eastAsia" w:ascii="仿宋_GB2312" w:eastAsia="仿宋_GB2312" w:cs="仿宋_GB2312"/>
          <w:sz w:val="32"/>
          <w:szCs w:val="32"/>
        </w:rPr>
        <w:t>7</w:t>
      </w:r>
      <w:r>
        <w:rPr>
          <w:rFonts w:ascii="仿宋_GB2312" w:eastAsia="仿宋_GB2312" w:cs="仿宋_GB2312"/>
          <w:sz w:val="32"/>
          <w:szCs w:val="32"/>
        </w:rPr>
        <w:t>.</w:t>
      </w:r>
      <w:r>
        <w:rPr>
          <w:rFonts w:hint="eastAsia" w:ascii="仿宋_GB2312" w:eastAsia="仿宋_GB2312" w:cs="仿宋_GB2312"/>
          <w:sz w:val="32"/>
          <w:szCs w:val="32"/>
        </w:rPr>
        <w:t>大浪街道特发·和平里二期（2022年绿色小区），现场调研问题：无。</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60" w:lineRule="exact"/>
        <w:ind w:firstLine="400" w:firstLineChars="200"/>
        <w:outlineLvl w:val="2"/>
        <w:rPr>
          <w:rFonts w:ascii="仿宋_GB2312" w:hAnsi="仿宋_GB2312" w:eastAsia="仿宋_GB2312" w:cs="仿宋_GB2312"/>
          <w:sz w:val="32"/>
          <w:szCs w:val="32"/>
        </w:rPr>
      </w:pPr>
      <w:r>
        <w:rPr>
          <w:rFonts w:hint="eastAsia"/>
        </w:rPr>
        <w:drawing>
          <wp:anchor distT="0" distB="0" distL="114300" distR="114300" simplePos="0" relativeHeight="251660288" behindDoc="0" locked="0" layoutInCell="1" allowOverlap="1">
            <wp:simplePos x="0" y="0"/>
            <wp:positionH relativeFrom="column">
              <wp:posOffset>211455</wp:posOffset>
            </wp:positionH>
            <wp:positionV relativeFrom="paragraph">
              <wp:posOffset>887095</wp:posOffset>
            </wp:positionV>
            <wp:extent cx="5266690" cy="3950335"/>
            <wp:effectExtent l="0" t="0" r="0" b="0"/>
            <wp:wrapTopAndBottom/>
            <wp:docPr id="3" name="图片 3" descr="大浪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大浪1"/>
                    <pic:cNvPicPr>
                      <a:picLocks noChangeAspect="1"/>
                    </pic:cNvPicPr>
                  </pic:nvPicPr>
                  <pic:blipFill>
                    <a:blip r:embed="rId83"/>
                    <a:stretch>
                      <a:fillRect/>
                    </a:stretch>
                  </pic:blipFill>
                  <pic:spPr>
                    <a:xfrm>
                      <a:off x="0" y="0"/>
                      <a:ext cx="5266690" cy="3950335"/>
                    </a:xfrm>
                    <a:prstGeom prst="rect">
                      <a:avLst/>
                    </a:prstGeom>
                  </pic:spPr>
                </pic:pic>
              </a:graphicData>
            </a:graphic>
          </wp:anchor>
        </w:drawing>
      </w:r>
      <w:r>
        <w:rPr>
          <w:rFonts w:hint="eastAsia" w:ascii="仿宋_GB2312" w:eastAsia="仿宋_GB2312" w:cs="仿宋_GB2312"/>
          <w:sz w:val="32"/>
          <w:szCs w:val="32"/>
        </w:rPr>
        <w:t>8</w:t>
      </w:r>
      <w:r>
        <w:rPr>
          <w:rFonts w:ascii="仿宋_GB2312" w:eastAsia="仿宋_GB2312" w:cs="仿宋_GB2312"/>
          <w:sz w:val="32"/>
          <w:szCs w:val="32"/>
        </w:rPr>
        <w:t>.</w:t>
      </w:r>
      <w:r>
        <w:rPr>
          <w:rFonts w:hint="eastAsia" w:ascii="仿宋_GB2312" w:eastAsia="仿宋_GB2312" w:cs="仿宋_GB2312"/>
          <w:sz w:val="32"/>
          <w:szCs w:val="32"/>
        </w:rPr>
        <w:t>大浪街道大浪九区，现场调研问题：只有其他垃圾类收集容器，未落实垃圾分类。</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60" w:lineRule="exact"/>
        <w:ind w:firstLine="640" w:firstLineChars="200"/>
        <w:outlineLvl w:val="2"/>
        <w:rPr>
          <w:rFonts w:ascii="仿宋_GB2312" w:eastAsia="仿宋_GB2312" w:cs="仿宋_GB2312"/>
          <w:sz w:val="32"/>
          <w:szCs w:val="32"/>
        </w:rPr>
      </w:pPr>
      <w:r>
        <w:rPr>
          <w:rFonts w:hint="eastAsia" w:ascii="仿宋_GB2312" w:eastAsia="仿宋_GB2312" w:cs="仿宋_GB2312"/>
          <w:sz w:val="32"/>
          <w:szCs w:val="32"/>
        </w:rPr>
        <w:t>9</w:t>
      </w:r>
      <w:r>
        <w:rPr>
          <w:rFonts w:ascii="仿宋_GB2312" w:eastAsia="仿宋_GB2312" w:cs="仿宋_GB2312"/>
          <w:sz w:val="32"/>
          <w:szCs w:val="32"/>
        </w:rPr>
        <w:t>.</w:t>
      </w:r>
      <w:r>
        <w:rPr>
          <w:rFonts w:hint="eastAsia" w:ascii="仿宋_GB2312" w:eastAsia="仿宋_GB2312" w:cs="仿宋_GB2312"/>
          <w:sz w:val="32"/>
          <w:szCs w:val="32"/>
        </w:rPr>
        <w:t>福城街道福安雅园（2022年绿色小区），现场调研问题：无。</w:t>
      </w:r>
    </w:p>
    <w:p>
      <w:pPr>
        <w:spacing w:line="560" w:lineRule="exact"/>
        <w:ind w:firstLine="400" w:firstLineChars="200"/>
        <w:rPr>
          <w:rFonts w:ascii="仿宋_GB2312" w:hAnsi="仿宋_GB2312" w:eastAsia="仿宋_GB2312" w:cs="仿宋_GB2312"/>
          <w:sz w:val="32"/>
          <w:szCs w:val="32"/>
        </w:rPr>
      </w:pPr>
      <w:r>
        <w:drawing>
          <wp:anchor distT="0" distB="0" distL="114300" distR="114300" simplePos="0" relativeHeight="251665408" behindDoc="0" locked="0" layoutInCell="1" allowOverlap="1">
            <wp:simplePos x="0" y="0"/>
            <wp:positionH relativeFrom="margin">
              <wp:align>right</wp:align>
            </wp:positionH>
            <wp:positionV relativeFrom="paragraph">
              <wp:posOffset>421005</wp:posOffset>
            </wp:positionV>
            <wp:extent cx="5273040" cy="3954780"/>
            <wp:effectExtent l="0" t="0" r="3810" b="7620"/>
            <wp:wrapTopAndBottom/>
            <wp:docPr id="8" name="图片 8" descr="福城激励2"/>
            <wp:cNvGraphicFramePr/>
            <a:graphic xmlns:a="http://schemas.openxmlformats.org/drawingml/2006/main">
              <a:graphicData uri="http://schemas.openxmlformats.org/drawingml/2006/picture">
                <pic:pic xmlns:pic="http://schemas.openxmlformats.org/drawingml/2006/picture">
                  <pic:nvPicPr>
                    <pic:cNvPr id="8" name="图片 8" descr="福城激励2"/>
                    <pic:cNvPicPr/>
                  </pic:nvPicPr>
                  <pic:blipFill>
                    <a:blip r:embed="rId84"/>
                    <a:stretch>
                      <a:fillRect/>
                    </a:stretch>
                  </pic:blipFill>
                  <pic:spPr>
                    <a:xfrm>
                      <a:off x="0" y="0"/>
                      <a:ext cx="5273040" cy="3954780"/>
                    </a:xfrm>
                    <a:prstGeom prst="rect">
                      <a:avLst/>
                    </a:prstGeom>
                  </pic:spPr>
                </pic:pic>
              </a:graphicData>
            </a:graphic>
          </wp:anchor>
        </w:drawing>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60" w:lineRule="exact"/>
        <w:ind w:firstLine="640" w:firstLineChars="200"/>
        <w:outlineLvl w:val="2"/>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0.</w:t>
      </w:r>
      <w:r>
        <w:rPr>
          <w:rFonts w:hint="eastAsia" w:ascii="仿宋_GB2312" w:eastAsia="仿宋_GB2312" w:cs="仿宋_GB2312"/>
          <w:sz w:val="32"/>
          <w:szCs w:val="32"/>
        </w:rPr>
        <w:t>福城街道桔岭老村新居，现场调研问题：无。</w:t>
      </w:r>
    </w:p>
    <w:p>
      <w:pPr>
        <w:spacing w:line="560" w:lineRule="exact"/>
        <w:ind w:firstLine="400" w:firstLineChars="200"/>
        <w:rPr>
          <w:rFonts w:ascii="仿宋_GB2312" w:hAnsi="仿宋_GB2312" w:eastAsia="仿宋_GB2312" w:cs="仿宋_GB2312"/>
          <w:sz w:val="32"/>
          <w:szCs w:val="32"/>
        </w:rPr>
      </w:pPr>
      <w:r>
        <w:rPr>
          <w:rFonts w:hint="eastAsia"/>
        </w:rPr>
        <w:drawing>
          <wp:anchor distT="0" distB="0" distL="114300" distR="114300" simplePos="0" relativeHeight="251669504" behindDoc="0" locked="0" layoutInCell="1" allowOverlap="1">
            <wp:simplePos x="0" y="0"/>
            <wp:positionH relativeFrom="column">
              <wp:posOffset>165100</wp:posOffset>
            </wp:positionH>
            <wp:positionV relativeFrom="paragraph">
              <wp:posOffset>365125</wp:posOffset>
            </wp:positionV>
            <wp:extent cx="5273040" cy="3954780"/>
            <wp:effectExtent l="0" t="0" r="3810" b="7620"/>
            <wp:wrapTopAndBottom/>
            <wp:docPr id="13" name="图片 13" descr="福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福城1"/>
                    <pic:cNvPicPr>
                      <a:picLocks noChangeAspect="1"/>
                    </pic:cNvPicPr>
                  </pic:nvPicPr>
                  <pic:blipFill>
                    <a:blip r:embed="rId85"/>
                    <a:stretch>
                      <a:fillRect/>
                    </a:stretch>
                  </pic:blipFill>
                  <pic:spPr>
                    <a:xfrm>
                      <a:off x="0" y="0"/>
                      <a:ext cx="5273040" cy="3954780"/>
                    </a:xfrm>
                    <a:prstGeom prst="rect">
                      <a:avLst/>
                    </a:prstGeom>
                  </pic:spPr>
                </pic:pic>
              </a:graphicData>
            </a:graphic>
          </wp:anchor>
        </w:drawing>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60" w:lineRule="exact"/>
        <w:ind w:firstLine="400" w:firstLineChars="200"/>
        <w:outlineLvl w:val="2"/>
        <w:rPr>
          <w:rFonts w:ascii="仿宋_GB2312" w:eastAsia="仿宋_GB2312" w:cs="仿宋_GB2312"/>
          <w:sz w:val="32"/>
          <w:szCs w:val="32"/>
        </w:rPr>
      </w:pPr>
      <w:r>
        <w:drawing>
          <wp:anchor distT="0" distB="0" distL="114300" distR="114300" simplePos="0" relativeHeight="251663360" behindDoc="0" locked="0" layoutInCell="1" allowOverlap="1">
            <wp:simplePos x="0" y="0"/>
            <wp:positionH relativeFrom="column">
              <wp:posOffset>55245</wp:posOffset>
            </wp:positionH>
            <wp:positionV relativeFrom="paragraph">
              <wp:posOffset>1423670</wp:posOffset>
            </wp:positionV>
            <wp:extent cx="5400040" cy="2879725"/>
            <wp:effectExtent l="0" t="0" r="0" b="0"/>
            <wp:wrapTopAndBottom/>
            <wp:docPr id="6" name="图片 6" descr="21492532514d5241d633dd46d4e3815"/>
            <wp:cNvGraphicFramePr/>
            <a:graphic xmlns:a="http://schemas.openxmlformats.org/drawingml/2006/main">
              <a:graphicData uri="http://schemas.openxmlformats.org/drawingml/2006/picture">
                <pic:pic xmlns:pic="http://schemas.openxmlformats.org/drawingml/2006/picture">
                  <pic:nvPicPr>
                    <pic:cNvPr id="6" name="图片 6" descr="21492532514d5241d633dd46d4e3815"/>
                    <pic:cNvPicPr/>
                  </pic:nvPicPr>
                  <pic:blipFill>
                    <a:blip r:embed="rId86"/>
                    <a:stretch>
                      <a:fillRect/>
                    </a:stretch>
                  </pic:blipFill>
                  <pic:spPr>
                    <a:xfrm>
                      <a:off x="0" y="0"/>
                      <a:ext cx="5400000" cy="2880000"/>
                    </a:xfrm>
                    <a:prstGeom prst="rect">
                      <a:avLst/>
                    </a:prstGeom>
                  </pic:spPr>
                </pic:pic>
              </a:graphicData>
            </a:graphic>
          </wp:anchor>
        </w:drawing>
      </w:r>
      <w:r>
        <w:rPr>
          <w:rFonts w:hint="eastAsia" w:ascii="仿宋_GB2312" w:eastAsia="仿宋_GB2312" w:cs="仿宋_GB2312"/>
          <w:sz w:val="32"/>
          <w:szCs w:val="32"/>
        </w:rPr>
        <w:t>1</w:t>
      </w:r>
      <w:r>
        <w:rPr>
          <w:rFonts w:ascii="仿宋_GB2312" w:eastAsia="仿宋_GB2312" w:cs="仿宋_GB2312"/>
          <w:sz w:val="32"/>
          <w:szCs w:val="32"/>
        </w:rPr>
        <w:t>1.</w:t>
      </w:r>
      <w:r>
        <w:rPr>
          <w:rFonts w:hint="eastAsia" w:ascii="仿宋_GB2312" w:eastAsia="仿宋_GB2312" w:cs="仿宋_GB2312"/>
          <w:sz w:val="32"/>
          <w:szCs w:val="32"/>
        </w:rPr>
        <w:t>观澜街道爱心家园（2022年绿色小区），现场调研问题：现场墙上有生活垃圾分类光荣榜，但日期仍是6月份，长时间未更新。</w:t>
      </w:r>
    </w:p>
    <w:p>
      <w:pPr>
        <w:spacing w:line="560" w:lineRule="exact"/>
        <w:ind w:firstLine="400" w:firstLineChars="200"/>
        <w:rPr>
          <w:rFonts w:ascii="仿宋_GB2312" w:hAnsi="仿宋_GB2312" w:eastAsia="仿宋_GB2312" w:cs="仿宋_GB2312"/>
          <w:sz w:val="32"/>
          <w:szCs w:val="32"/>
        </w:rPr>
      </w:pPr>
      <w:r>
        <w:rPr>
          <w:rFonts w:hint="eastAsia"/>
        </w:rPr>
        <w:drawing>
          <wp:anchor distT="0" distB="0" distL="114300" distR="114300" simplePos="0" relativeHeight="251671552" behindDoc="0" locked="0" layoutInCell="1" allowOverlap="1">
            <wp:simplePos x="0" y="0"/>
            <wp:positionH relativeFrom="margin">
              <wp:posOffset>15240</wp:posOffset>
            </wp:positionH>
            <wp:positionV relativeFrom="paragraph">
              <wp:posOffset>3735705</wp:posOffset>
            </wp:positionV>
            <wp:extent cx="3839845" cy="2879725"/>
            <wp:effectExtent l="0" t="0" r="8890" b="0"/>
            <wp:wrapTopAndBottom/>
            <wp:docPr id="14" name="图片 14" descr="441bda56b0b6e8ad37f8490f3ef2b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441bda56b0b6e8ad37f8490f3ef2b1e"/>
                    <pic:cNvPicPr>
                      <a:picLocks noChangeAspect="1"/>
                    </pic:cNvPicPr>
                  </pic:nvPicPr>
                  <pic:blipFill>
                    <a:blip r:embed="rId87"/>
                    <a:stretch>
                      <a:fillRect/>
                    </a:stretch>
                  </pic:blipFill>
                  <pic:spPr>
                    <a:xfrm>
                      <a:off x="0" y="0"/>
                      <a:ext cx="3839691" cy="2880000"/>
                    </a:xfrm>
                    <a:prstGeom prst="rect">
                      <a:avLst/>
                    </a:prstGeom>
                  </pic:spPr>
                </pic:pic>
              </a:graphicData>
            </a:graphic>
          </wp:anchor>
        </w:drawing>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60" w:lineRule="exact"/>
        <w:ind w:firstLine="640" w:firstLineChars="200"/>
        <w:outlineLvl w:val="2"/>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2.</w:t>
      </w:r>
      <w:r>
        <w:rPr>
          <w:rFonts w:hint="eastAsia" w:ascii="仿宋_GB2312" w:eastAsia="仿宋_GB2312" w:cs="仿宋_GB2312"/>
          <w:sz w:val="32"/>
          <w:szCs w:val="32"/>
        </w:rPr>
        <w:t>观澜街道翠澜新村，现场调研问题：居民楼下有单个垃圾收集容器，周边不洁，垃圾散落，未落实垃圾分类。</w:t>
      </w:r>
    </w:p>
    <w:p>
      <w:pPr>
        <w:spacing w:line="560" w:lineRule="exact"/>
        <w:ind w:firstLine="400" w:firstLineChars="200"/>
        <w:rPr>
          <w:rFonts w:ascii="仿宋_GB2312" w:hAnsi="仿宋_GB2312" w:eastAsia="仿宋_GB2312" w:cs="仿宋_GB2312"/>
          <w:sz w:val="32"/>
          <w:szCs w:val="32"/>
        </w:rPr>
      </w:pPr>
      <w:r>
        <w:rPr>
          <w:rFonts w:hint="eastAsia"/>
        </w:rPr>
        <w:drawing>
          <wp:anchor distT="0" distB="0" distL="114300" distR="114300" simplePos="0" relativeHeight="251667456" behindDoc="0" locked="0" layoutInCell="1" allowOverlap="1">
            <wp:simplePos x="0" y="0"/>
            <wp:positionH relativeFrom="margin">
              <wp:align>center</wp:align>
            </wp:positionH>
            <wp:positionV relativeFrom="paragraph">
              <wp:posOffset>374650</wp:posOffset>
            </wp:positionV>
            <wp:extent cx="3509645" cy="4679950"/>
            <wp:effectExtent l="0" t="0" r="0" b="6350"/>
            <wp:wrapTopAndBottom/>
            <wp:docPr id="11" name="图片 11" descr="34480ce73bf49ea0907108cfbeccd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4480ce73bf49ea0907108cfbeccd6b"/>
                    <pic:cNvPicPr>
                      <a:picLocks noChangeAspect="1"/>
                    </pic:cNvPicPr>
                  </pic:nvPicPr>
                  <pic:blipFill>
                    <a:blip r:embed="rId88"/>
                    <a:stretch>
                      <a:fillRect/>
                    </a:stretch>
                  </pic:blipFill>
                  <pic:spPr>
                    <a:xfrm>
                      <a:off x="0" y="0"/>
                      <a:ext cx="3509645" cy="4679950"/>
                    </a:xfrm>
                    <a:prstGeom prst="rect">
                      <a:avLst/>
                    </a:prstGeom>
                  </pic:spPr>
                </pic:pic>
              </a:graphicData>
            </a:graphic>
          </wp:anchor>
        </w:drawing>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Cambria Math">
    <w:altName w:val="DejaVu Math TeX Gyre"/>
    <w:panose1 w:val="02040503050406030204"/>
    <w:charset w:val="00"/>
    <w:family w:val="roman"/>
    <w:pitch w:val="default"/>
    <w:sig w:usb0="00000000" w:usb1="00000000" w:usb2="02000000" w:usb3="00000000" w:csb0="0000019F" w:csb1="00000000"/>
  </w:font>
  <w:font w:name="DejaVu Math TeX Gyre">
    <w:panose1 w:val="02000503000000000000"/>
    <w:charset w:val="00"/>
    <w:family w:val="auto"/>
    <w:pitch w:val="default"/>
    <w:sig w:usb0="A10000EF" w:usb1="4201F9EE" w:usb2="02000000" w:usb3="00000000" w:csb0="60000193" w:csb1="0DD40000"/>
  </w:font>
  <w:font w:name="PMingLiU">
    <w:altName w:val="Droid Sans Fallback"/>
    <w:panose1 w:val="02010601000101010101"/>
    <w:charset w:val="88"/>
    <w:family w:val="roman"/>
    <w:pitch w:val="default"/>
    <w:sig w:usb0="00000000" w:usb1="00000000" w:usb2="00000016" w:usb3="00000000" w:csb0="00100001" w:csb1="00000000"/>
  </w:font>
  <w:font w:name="Droid Sans Fallback">
    <w:panose1 w:val="020B0502000000000001"/>
    <w:charset w:val="86"/>
    <w:family w:val="auto"/>
    <w:pitch w:val="default"/>
    <w:sig w:usb0="910002FF" w:usb1="2BDFFCFB" w:usb2="00000036" w:usb3="00000000" w:csb0="203F01FF" w:csb1="D7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ascii="宋体" w:hAnsi="宋体"/>
        <w:sz w:val="28"/>
        <w:szCs w:val="28"/>
      </w:rPr>
    </w:sdtEndPr>
    <w:sdtContent>
      <w:p>
        <w:pPr>
          <w:pStyle w:val="13"/>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47</w:t>
        </w:r>
        <w:r>
          <w:rPr>
            <w:rFonts w:ascii="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7"/>
      </w:pPr>
      <w:r>
        <w:rPr>
          <w:rStyle w:val="32"/>
        </w:rPr>
        <w:footnoteRef/>
      </w:r>
      <w:r>
        <w:t xml:space="preserve"> </w:t>
      </w:r>
      <w:r>
        <w:rPr>
          <w:rFonts w:hint="eastAsia"/>
        </w:rPr>
        <w:t>克隆巴赫系数（Cronbach's alpha）是衡量量表或测验的信度的一种方法。依一定公式估量测验的内部一致性，是社会研究最常使用的信度指标度。</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oNotHyphenateCaps/>
  <w:drawingGridHorizontalSpacing w:val="100"/>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gyNDM4M2M0YWQwMDcwMzgwMzAwMzQ1NzMyZTQxNjcifQ=="/>
  </w:docVars>
  <w:rsids>
    <w:rsidRoot w:val="00CA01A3"/>
    <w:rsid w:val="000008DF"/>
    <w:rsid w:val="00001ACE"/>
    <w:rsid w:val="00002795"/>
    <w:rsid w:val="00002C11"/>
    <w:rsid w:val="00003FA2"/>
    <w:rsid w:val="000040A2"/>
    <w:rsid w:val="00004C29"/>
    <w:rsid w:val="000059A3"/>
    <w:rsid w:val="000059D7"/>
    <w:rsid w:val="00005F0A"/>
    <w:rsid w:val="00006E7B"/>
    <w:rsid w:val="00006F3A"/>
    <w:rsid w:val="0000765F"/>
    <w:rsid w:val="000101DC"/>
    <w:rsid w:val="00010E88"/>
    <w:rsid w:val="00012070"/>
    <w:rsid w:val="00012163"/>
    <w:rsid w:val="00012780"/>
    <w:rsid w:val="00012F79"/>
    <w:rsid w:val="000136A0"/>
    <w:rsid w:val="00013D68"/>
    <w:rsid w:val="00015077"/>
    <w:rsid w:val="00015BFE"/>
    <w:rsid w:val="00015C39"/>
    <w:rsid w:val="0001694E"/>
    <w:rsid w:val="000170C2"/>
    <w:rsid w:val="00020709"/>
    <w:rsid w:val="000239CD"/>
    <w:rsid w:val="00023E53"/>
    <w:rsid w:val="000240C9"/>
    <w:rsid w:val="0002563C"/>
    <w:rsid w:val="000263C0"/>
    <w:rsid w:val="000328BA"/>
    <w:rsid w:val="000329AF"/>
    <w:rsid w:val="000334FF"/>
    <w:rsid w:val="00033543"/>
    <w:rsid w:val="00034693"/>
    <w:rsid w:val="000347BA"/>
    <w:rsid w:val="00035A53"/>
    <w:rsid w:val="000368F1"/>
    <w:rsid w:val="000373E4"/>
    <w:rsid w:val="00037A3D"/>
    <w:rsid w:val="000404B3"/>
    <w:rsid w:val="00040CF6"/>
    <w:rsid w:val="00041284"/>
    <w:rsid w:val="000412A9"/>
    <w:rsid w:val="000416CF"/>
    <w:rsid w:val="000416FF"/>
    <w:rsid w:val="00041FE5"/>
    <w:rsid w:val="0004234F"/>
    <w:rsid w:val="000428E8"/>
    <w:rsid w:val="00045A90"/>
    <w:rsid w:val="000463AB"/>
    <w:rsid w:val="00047581"/>
    <w:rsid w:val="000476A4"/>
    <w:rsid w:val="000501F1"/>
    <w:rsid w:val="00050C89"/>
    <w:rsid w:val="00052086"/>
    <w:rsid w:val="00052D42"/>
    <w:rsid w:val="00052FB9"/>
    <w:rsid w:val="00053190"/>
    <w:rsid w:val="00053847"/>
    <w:rsid w:val="0005519F"/>
    <w:rsid w:val="000553B2"/>
    <w:rsid w:val="00055571"/>
    <w:rsid w:val="00055E81"/>
    <w:rsid w:val="000565CC"/>
    <w:rsid w:val="000568FF"/>
    <w:rsid w:val="00056D1D"/>
    <w:rsid w:val="00056DD5"/>
    <w:rsid w:val="00057189"/>
    <w:rsid w:val="000605DB"/>
    <w:rsid w:val="00060728"/>
    <w:rsid w:val="0006121B"/>
    <w:rsid w:val="000621FA"/>
    <w:rsid w:val="0006295E"/>
    <w:rsid w:val="00063025"/>
    <w:rsid w:val="00063133"/>
    <w:rsid w:val="000635BD"/>
    <w:rsid w:val="0006462F"/>
    <w:rsid w:val="00064994"/>
    <w:rsid w:val="00065F47"/>
    <w:rsid w:val="00066714"/>
    <w:rsid w:val="00070072"/>
    <w:rsid w:val="00072314"/>
    <w:rsid w:val="000727DC"/>
    <w:rsid w:val="00072E4E"/>
    <w:rsid w:val="00073726"/>
    <w:rsid w:val="000756BA"/>
    <w:rsid w:val="00075876"/>
    <w:rsid w:val="00075C26"/>
    <w:rsid w:val="00075CB8"/>
    <w:rsid w:val="000760BF"/>
    <w:rsid w:val="00076B35"/>
    <w:rsid w:val="000772FD"/>
    <w:rsid w:val="00077E12"/>
    <w:rsid w:val="00077E3F"/>
    <w:rsid w:val="00080220"/>
    <w:rsid w:val="00081701"/>
    <w:rsid w:val="000820A8"/>
    <w:rsid w:val="0008294E"/>
    <w:rsid w:val="00083A3E"/>
    <w:rsid w:val="00083B53"/>
    <w:rsid w:val="00084BA7"/>
    <w:rsid w:val="00084D3E"/>
    <w:rsid w:val="0008539A"/>
    <w:rsid w:val="00085D61"/>
    <w:rsid w:val="00085F11"/>
    <w:rsid w:val="000865C0"/>
    <w:rsid w:val="0008729A"/>
    <w:rsid w:val="000876C4"/>
    <w:rsid w:val="000908A8"/>
    <w:rsid w:val="00090BF8"/>
    <w:rsid w:val="000925D8"/>
    <w:rsid w:val="00092ACE"/>
    <w:rsid w:val="0009317C"/>
    <w:rsid w:val="00093256"/>
    <w:rsid w:val="0009400E"/>
    <w:rsid w:val="00094D99"/>
    <w:rsid w:val="00095107"/>
    <w:rsid w:val="00095113"/>
    <w:rsid w:val="000954A1"/>
    <w:rsid w:val="00095510"/>
    <w:rsid w:val="00095DF0"/>
    <w:rsid w:val="000963BF"/>
    <w:rsid w:val="00096DF9"/>
    <w:rsid w:val="000977A9"/>
    <w:rsid w:val="000A0D51"/>
    <w:rsid w:val="000A159A"/>
    <w:rsid w:val="000A16C3"/>
    <w:rsid w:val="000A2890"/>
    <w:rsid w:val="000A3C31"/>
    <w:rsid w:val="000A6F23"/>
    <w:rsid w:val="000A7513"/>
    <w:rsid w:val="000A7547"/>
    <w:rsid w:val="000A75A6"/>
    <w:rsid w:val="000A79D5"/>
    <w:rsid w:val="000B1ACA"/>
    <w:rsid w:val="000B2AEF"/>
    <w:rsid w:val="000B440E"/>
    <w:rsid w:val="000B4769"/>
    <w:rsid w:val="000B537E"/>
    <w:rsid w:val="000B5496"/>
    <w:rsid w:val="000B56F4"/>
    <w:rsid w:val="000B6C6B"/>
    <w:rsid w:val="000B7431"/>
    <w:rsid w:val="000C0D7F"/>
    <w:rsid w:val="000C0DC6"/>
    <w:rsid w:val="000C1340"/>
    <w:rsid w:val="000C1A64"/>
    <w:rsid w:val="000C1FED"/>
    <w:rsid w:val="000C4DE7"/>
    <w:rsid w:val="000C64C4"/>
    <w:rsid w:val="000C6A6B"/>
    <w:rsid w:val="000C7DC7"/>
    <w:rsid w:val="000C7E03"/>
    <w:rsid w:val="000D109B"/>
    <w:rsid w:val="000D1935"/>
    <w:rsid w:val="000D195E"/>
    <w:rsid w:val="000D27B7"/>
    <w:rsid w:val="000D2A8D"/>
    <w:rsid w:val="000D3140"/>
    <w:rsid w:val="000D32A8"/>
    <w:rsid w:val="000D4026"/>
    <w:rsid w:val="000D4110"/>
    <w:rsid w:val="000D430C"/>
    <w:rsid w:val="000D4516"/>
    <w:rsid w:val="000D4886"/>
    <w:rsid w:val="000D50FC"/>
    <w:rsid w:val="000D708F"/>
    <w:rsid w:val="000E07D2"/>
    <w:rsid w:val="000E0C3F"/>
    <w:rsid w:val="000E109B"/>
    <w:rsid w:val="000E14E9"/>
    <w:rsid w:val="000E2289"/>
    <w:rsid w:val="000E2376"/>
    <w:rsid w:val="000E3966"/>
    <w:rsid w:val="000E439A"/>
    <w:rsid w:val="000E4D55"/>
    <w:rsid w:val="000E595D"/>
    <w:rsid w:val="000E60DC"/>
    <w:rsid w:val="000E70A2"/>
    <w:rsid w:val="000E75A8"/>
    <w:rsid w:val="000E7A1F"/>
    <w:rsid w:val="000F1237"/>
    <w:rsid w:val="000F34D0"/>
    <w:rsid w:val="000F38B0"/>
    <w:rsid w:val="000F40BF"/>
    <w:rsid w:val="000F4ACC"/>
    <w:rsid w:val="000F4C8A"/>
    <w:rsid w:val="000F4E33"/>
    <w:rsid w:val="000F6110"/>
    <w:rsid w:val="000F6F26"/>
    <w:rsid w:val="000F7983"/>
    <w:rsid w:val="0010074A"/>
    <w:rsid w:val="00100EE1"/>
    <w:rsid w:val="00101504"/>
    <w:rsid w:val="00101997"/>
    <w:rsid w:val="001031A0"/>
    <w:rsid w:val="001040BE"/>
    <w:rsid w:val="00105928"/>
    <w:rsid w:val="00105FDA"/>
    <w:rsid w:val="00106575"/>
    <w:rsid w:val="00106DD8"/>
    <w:rsid w:val="001104F7"/>
    <w:rsid w:val="00110AD0"/>
    <w:rsid w:val="00113FD1"/>
    <w:rsid w:val="0011477B"/>
    <w:rsid w:val="0011568C"/>
    <w:rsid w:val="00115B8C"/>
    <w:rsid w:val="00115BBB"/>
    <w:rsid w:val="00115C29"/>
    <w:rsid w:val="00115D44"/>
    <w:rsid w:val="00115F3D"/>
    <w:rsid w:val="0011730E"/>
    <w:rsid w:val="00117481"/>
    <w:rsid w:val="00117505"/>
    <w:rsid w:val="001202DF"/>
    <w:rsid w:val="00120F85"/>
    <w:rsid w:val="00121B3E"/>
    <w:rsid w:val="00122246"/>
    <w:rsid w:val="00124A82"/>
    <w:rsid w:val="0012511D"/>
    <w:rsid w:val="00125243"/>
    <w:rsid w:val="00126706"/>
    <w:rsid w:val="0012762B"/>
    <w:rsid w:val="00127A64"/>
    <w:rsid w:val="00127EE9"/>
    <w:rsid w:val="00127FC6"/>
    <w:rsid w:val="00130096"/>
    <w:rsid w:val="001314D3"/>
    <w:rsid w:val="00131623"/>
    <w:rsid w:val="00134826"/>
    <w:rsid w:val="001352B5"/>
    <w:rsid w:val="00135598"/>
    <w:rsid w:val="0013609E"/>
    <w:rsid w:val="0013610B"/>
    <w:rsid w:val="001362C5"/>
    <w:rsid w:val="001366AC"/>
    <w:rsid w:val="00136750"/>
    <w:rsid w:val="00136969"/>
    <w:rsid w:val="00137BF3"/>
    <w:rsid w:val="0014006A"/>
    <w:rsid w:val="0014032F"/>
    <w:rsid w:val="00140E31"/>
    <w:rsid w:val="001413EE"/>
    <w:rsid w:val="001422D7"/>
    <w:rsid w:val="0014409C"/>
    <w:rsid w:val="001442E0"/>
    <w:rsid w:val="00144300"/>
    <w:rsid w:val="0014483A"/>
    <w:rsid w:val="00144B95"/>
    <w:rsid w:val="001454ED"/>
    <w:rsid w:val="001457BF"/>
    <w:rsid w:val="00145B8B"/>
    <w:rsid w:val="00145C38"/>
    <w:rsid w:val="00146424"/>
    <w:rsid w:val="0014687F"/>
    <w:rsid w:val="00147188"/>
    <w:rsid w:val="00147F02"/>
    <w:rsid w:val="0015045C"/>
    <w:rsid w:val="00150B3C"/>
    <w:rsid w:val="00151A04"/>
    <w:rsid w:val="00151C49"/>
    <w:rsid w:val="00152C52"/>
    <w:rsid w:val="00153398"/>
    <w:rsid w:val="00153AFA"/>
    <w:rsid w:val="00154F9F"/>
    <w:rsid w:val="00154FDE"/>
    <w:rsid w:val="0015543C"/>
    <w:rsid w:val="001561AB"/>
    <w:rsid w:val="00156292"/>
    <w:rsid w:val="00156684"/>
    <w:rsid w:val="00156C01"/>
    <w:rsid w:val="0015791B"/>
    <w:rsid w:val="00160035"/>
    <w:rsid w:val="001600DA"/>
    <w:rsid w:val="0016069D"/>
    <w:rsid w:val="0016209C"/>
    <w:rsid w:val="001620FD"/>
    <w:rsid w:val="00162A4E"/>
    <w:rsid w:val="00163B4C"/>
    <w:rsid w:val="00163C19"/>
    <w:rsid w:val="001643CB"/>
    <w:rsid w:val="00165990"/>
    <w:rsid w:val="00165A4E"/>
    <w:rsid w:val="001661CA"/>
    <w:rsid w:val="00170F8D"/>
    <w:rsid w:val="0017160D"/>
    <w:rsid w:val="00171AA5"/>
    <w:rsid w:val="00173194"/>
    <w:rsid w:val="0017386F"/>
    <w:rsid w:val="00174495"/>
    <w:rsid w:val="001758C6"/>
    <w:rsid w:val="00176CA3"/>
    <w:rsid w:val="00180129"/>
    <w:rsid w:val="00180132"/>
    <w:rsid w:val="001807A7"/>
    <w:rsid w:val="001819C5"/>
    <w:rsid w:val="00181B7B"/>
    <w:rsid w:val="0018206F"/>
    <w:rsid w:val="00182330"/>
    <w:rsid w:val="00183952"/>
    <w:rsid w:val="00184EFB"/>
    <w:rsid w:val="001855A7"/>
    <w:rsid w:val="0018650C"/>
    <w:rsid w:val="001872CA"/>
    <w:rsid w:val="001879F6"/>
    <w:rsid w:val="00187A56"/>
    <w:rsid w:val="00187D5E"/>
    <w:rsid w:val="001909AD"/>
    <w:rsid w:val="00191EE6"/>
    <w:rsid w:val="0019276B"/>
    <w:rsid w:val="0019355F"/>
    <w:rsid w:val="001939E6"/>
    <w:rsid w:val="00193E8D"/>
    <w:rsid w:val="00194B5E"/>
    <w:rsid w:val="00194E27"/>
    <w:rsid w:val="00195CB0"/>
    <w:rsid w:val="00195F00"/>
    <w:rsid w:val="0019609E"/>
    <w:rsid w:val="001968F3"/>
    <w:rsid w:val="00196F96"/>
    <w:rsid w:val="00196FE3"/>
    <w:rsid w:val="001978D4"/>
    <w:rsid w:val="00197947"/>
    <w:rsid w:val="00197966"/>
    <w:rsid w:val="00197A0D"/>
    <w:rsid w:val="001A0B42"/>
    <w:rsid w:val="001A3767"/>
    <w:rsid w:val="001A3F2E"/>
    <w:rsid w:val="001A4041"/>
    <w:rsid w:val="001A4A19"/>
    <w:rsid w:val="001A5782"/>
    <w:rsid w:val="001A57A0"/>
    <w:rsid w:val="001A619E"/>
    <w:rsid w:val="001A6480"/>
    <w:rsid w:val="001A7E58"/>
    <w:rsid w:val="001B0AE1"/>
    <w:rsid w:val="001B0BD0"/>
    <w:rsid w:val="001B2064"/>
    <w:rsid w:val="001B216D"/>
    <w:rsid w:val="001B2D29"/>
    <w:rsid w:val="001B2E08"/>
    <w:rsid w:val="001B46E6"/>
    <w:rsid w:val="001B4DCB"/>
    <w:rsid w:val="001B64BB"/>
    <w:rsid w:val="001B69A2"/>
    <w:rsid w:val="001B6D30"/>
    <w:rsid w:val="001B71E1"/>
    <w:rsid w:val="001B7BC5"/>
    <w:rsid w:val="001C0B26"/>
    <w:rsid w:val="001C0EFF"/>
    <w:rsid w:val="001C1413"/>
    <w:rsid w:val="001C17DD"/>
    <w:rsid w:val="001C1B1F"/>
    <w:rsid w:val="001C29E1"/>
    <w:rsid w:val="001C32D3"/>
    <w:rsid w:val="001C3593"/>
    <w:rsid w:val="001C50F3"/>
    <w:rsid w:val="001C589E"/>
    <w:rsid w:val="001C58FF"/>
    <w:rsid w:val="001C59E7"/>
    <w:rsid w:val="001C5ACD"/>
    <w:rsid w:val="001C6605"/>
    <w:rsid w:val="001C7892"/>
    <w:rsid w:val="001D009C"/>
    <w:rsid w:val="001D0CAC"/>
    <w:rsid w:val="001D133C"/>
    <w:rsid w:val="001D16BD"/>
    <w:rsid w:val="001D2CAD"/>
    <w:rsid w:val="001D40B3"/>
    <w:rsid w:val="001D410E"/>
    <w:rsid w:val="001D504A"/>
    <w:rsid w:val="001D68C9"/>
    <w:rsid w:val="001D6A94"/>
    <w:rsid w:val="001D6CE2"/>
    <w:rsid w:val="001D7BA1"/>
    <w:rsid w:val="001D7FBD"/>
    <w:rsid w:val="001E0AB1"/>
    <w:rsid w:val="001E107A"/>
    <w:rsid w:val="001E10D5"/>
    <w:rsid w:val="001E1143"/>
    <w:rsid w:val="001E2491"/>
    <w:rsid w:val="001E2F63"/>
    <w:rsid w:val="001E325B"/>
    <w:rsid w:val="001E3970"/>
    <w:rsid w:val="001E39A5"/>
    <w:rsid w:val="001E5787"/>
    <w:rsid w:val="001E60B7"/>
    <w:rsid w:val="001E61DD"/>
    <w:rsid w:val="001E6686"/>
    <w:rsid w:val="001E6D81"/>
    <w:rsid w:val="001E7466"/>
    <w:rsid w:val="001F03E0"/>
    <w:rsid w:val="001F20C1"/>
    <w:rsid w:val="001F22C8"/>
    <w:rsid w:val="001F2463"/>
    <w:rsid w:val="001F261D"/>
    <w:rsid w:val="001F2710"/>
    <w:rsid w:val="001F273C"/>
    <w:rsid w:val="001F3225"/>
    <w:rsid w:val="001F4B11"/>
    <w:rsid w:val="001F4D31"/>
    <w:rsid w:val="001F52C8"/>
    <w:rsid w:val="001F5F50"/>
    <w:rsid w:val="001F7968"/>
    <w:rsid w:val="001F7D7E"/>
    <w:rsid w:val="00201354"/>
    <w:rsid w:val="00202910"/>
    <w:rsid w:val="002039A5"/>
    <w:rsid w:val="00203AA1"/>
    <w:rsid w:val="00203D4A"/>
    <w:rsid w:val="00204A8E"/>
    <w:rsid w:val="00204CC1"/>
    <w:rsid w:val="0020619B"/>
    <w:rsid w:val="00206D84"/>
    <w:rsid w:val="00210427"/>
    <w:rsid w:val="0021259B"/>
    <w:rsid w:val="00214192"/>
    <w:rsid w:val="00214A5F"/>
    <w:rsid w:val="00215D32"/>
    <w:rsid w:val="00215FF8"/>
    <w:rsid w:val="002164A0"/>
    <w:rsid w:val="00216BAE"/>
    <w:rsid w:val="00217038"/>
    <w:rsid w:val="00217EA1"/>
    <w:rsid w:val="00217FD9"/>
    <w:rsid w:val="00217FF9"/>
    <w:rsid w:val="00220F8D"/>
    <w:rsid w:val="00222575"/>
    <w:rsid w:val="00222650"/>
    <w:rsid w:val="0022272E"/>
    <w:rsid w:val="002227B0"/>
    <w:rsid w:val="00222CBB"/>
    <w:rsid w:val="002233D0"/>
    <w:rsid w:val="0022419B"/>
    <w:rsid w:val="00224508"/>
    <w:rsid w:val="00224785"/>
    <w:rsid w:val="00224BEC"/>
    <w:rsid w:val="00225B88"/>
    <w:rsid w:val="00226D7A"/>
    <w:rsid w:val="00227464"/>
    <w:rsid w:val="0022799F"/>
    <w:rsid w:val="00227F8F"/>
    <w:rsid w:val="002302A3"/>
    <w:rsid w:val="00230316"/>
    <w:rsid w:val="00232681"/>
    <w:rsid w:val="00232DF0"/>
    <w:rsid w:val="00233272"/>
    <w:rsid w:val="00234D14"/>
    <w:rsid w:val="00235085"/>
    <w:rsid w:val="00235297"/>
    <w:rsid w:val="002358B3"/>
    <w:rsid w:val="00236481"/>
    <w:rsid w:val="0023727F"/>
    <w:rsid w:val="0023741D"/>
    <w:rsid w:val="0023749A"/>
    <w:rsid w:val="0023759D"/>
    <w:rsid w:val="00237E7C"/>
    <w:rsid w:val="002409FF"/>
    <w:rsid w:val="0024103C"/>
    <w:rsid w:val="0024139C"/>
    <w:rsid w:val="00241880"/>
    <w:rsid w:val="00241916"/>
    <w:rsid w:val="00241BDF"/>
    <w:rsid w:val="00242182"/>
    <w:rsid w:val="0024316B"/>
    <w:rsid w:val="0024377E"/>
    <w:rsid w:val="00246114"/>
    <w:rsid w:val="00247D2E"/>
    <w:rsid w:val="0025131B"/>
    <w:rsid w:val="00251B2B"/>
    <w:rsid w:val="00251B48"/>
    <w:rsid w:val="00251BCA"/>
    <w:rsid w:val="002520FD"/>
    <w:rsid w:val="002526ED"/>
    <w:rsid w:val="00253164"/>
    <w:rsid w:val="00253477"/>
    <w:rsid w:val="00253A59"/>
    <w:rsid w:val="00254040"/>
    <w:rsid w:val="002540A7"/>
    <w:rsid w:val="002563D9"/>
    <w:rsid w:val="00262878"/>
    <w:rsid w:val="00264CB5"/>
    <w:rsid w:val="00264D2B"/>
    <w:rsid w:val="00264E92"/>
    <w:rsid w:val="002659B4"/>
    <w:rsid w:val="0026656F"/>
    <w:rsid w:val="00267BB3"/>
    <w:rsid w:val="002708E2"/>
    <w:rsid w:val="002710C8"/>
    <w:rsid w:val="00271C80"/>
    <w:rsid w:val="00271E4D"/>
    <w:rsid w:val="002722B6"/>
    <w:rsid w:val="00272FD0"/>
    <w:rsid w:val="00273B62"/>
    <w:rsid w:val="00273F34"/>
    <w:rsid w:val="00274F05"/>
    <w:rsid w:val="002753D9"/>
    <w:rsid w:val="00275B0C"/>
    <w:rsid w:val="00275FBB"/>
    <w:rsid w:val="00277872"/>
    <w:rsid w:val="0028091C"/>
    <w:rsid w:val="00280FA0"/>
    <w:rsid w:val="0028118C"/>
    <w:rsid w:val="00281D55"/>
    <w:rsid w:val="0028225D"/>
    <w:rsid w:val="00283AE9"/>
    <w:rsid w:val="00283F01"/>
    <w:rsid w:val="00284502"/>
    <w:rsid w:val="002846E6"/>
    <w:rsid w:val="0028532F"/>
    <w:rsid w:val="00286C66"/>
    <w:rsid w:val="002872D6"/>
    <w:rsid w:val="0028759A"/>
    <w:rsid w:val="00287613"/>
    <w:rsid w:val="0029011C"/>
    <w:rsid w:val="002904C5"/>
    <w:rsid w:val="00290B69"/>
    <w:rsid w:val="0029187A"/>
    <w:rsid w:val="00291A30"/>
    <w:rsid w:val="0029322E"/>
    <w:rsid w:val="00293CAE"/>
    <w:rsid w:val="002941C1"/>
    <w:rsid w:val="0029531A"/>
    <w:rsid w:val="00296807"/>
    <w:rsid w:val="00296B35"/>
    <w:rsid w:val="00296D2E"/>
    <w:rsid w:val="00297097"/>
    <w:rsid w:val="0029729D"/>
    <w:rsid w:val="002975A9"/>
    <w:rsid w:val="00297CB6"/>
    <w:rsid w:val="002A0584"/>
    <w:rsid w:val="002A07BA"/>
    <w:rsid w:val="002A08AF"/>
    <w:rsid w:val="002A0978"/>
    <w:rsid w:val="002A10AC"/>
    <w:rsid w:val="002A1E16"/>
    <w:rsid w:val="002A20C1"/>
    <w:rsid w:val="002A237B"/>
    <w:rsid w:val="002A2801"/>
    <w:rsid w:val="002A437A"/>
    <w:rsid w:val="002A6870"/>
    <w:rsid w:val="002B0DC9"/>
    <w:rsid w:val="002B16CE"/>
    <w:rsid w:val="002B182D"/>
    <w:rsid w:val="002B1DCA"/>
    <w:rsid w:val="002B2837"/>
    <w:rsid w:val="002B320A"/>
    <w:rsid w:val="002B32EE"/>
    <w:rsid w:val="002B3AC3"/>
    <w:rsid w:val="002B4AE5"/>
    <w:rsid w:val="002B5ACB"/>
    <w:rsid w:val="002B5F2A"/>
    <w:rsid w:val="002B7202"/>
    <w:rsid w:val="002C00F9"/>
    <w:rsid w:val="002C0700"/>
    <w:rsid w:val="002C1B2C"/>
    <w:rsid w:val="002C2457"/>
    <w:rsid w:val="002C2A15"/>
    <w:rsid w:val="002C2EE9"/>
    <w:rsid w:val="002C4179"/>
    <w:rsid w:val="002D00C8"/>
    <w:rsid w:val="002D0151"/>
    <w:rsid w:val="002D12AE"/>
    <w:rsid w:val="002D14B6"/>
    <w:rsid w:val="002D1E4F"/>
    <w:rsid w:val="002D2066"/>
    <w:rsid w:val="002D2241"/>
    <w:rsid w:val="002D22D8"/>
    <w:rsid w:val="002D26B5"/>
    <w:rsid w:val="002D2E79"/>
    <w:rsid w:val="002D59EB"/>
    <w:rsid w:val="002D6150"/>
    <w:rsid w:val="002E037E"/>
    <w:rsid w:val="002E0CFA"/>
    <w:rsid w:val="002E208B"/>
    <w:rsid w:val="002E3B33"/>
    <w:rsid w:val="002E52D3"/>
    <w:rsid w:val="002E53F5"/>
    <w:rsid w:val="002E54B1"/>
    <w:rsid w:val="002E6241"/>
    <w:rsid w:val="002E6295"/>
    <w:rsid w:val="002E717D"/>
    <w:rsid w:val="002E73D6"/>
    <w:rsid w:val="002E7981"/>
    <w:rsid w:val="002E7B21"/>
    <w:rsid w:val="002F016A"/>
    <w:rsid w:val="002F10C3"/>
    <w:rsid w:val="002F15AC"/>
    <w:rsid w:val="002F1912"/>
    <w:rsid w:val="002F2C40"/>
    <w:rsid w:val="002F36DD"/>
    <w:rsid w:val="002F4619"/>
    <w:rsid w:val="002F4824"/>
    <w:rsid w:val="002F4EDD"/>
    <w:rsid w:val="002F5011"/>
    <w:rsid w:val="002F5159"/>
    <w:rsid w:val="002F619B"/>
    <w:rsid w:val="002F691B"/>
    <w:rsid w:val="002F6AB0"/>
    <w:rsid w:val="002F6F9D"/>
    <w:rsid w:val="002F7AC0"/>
    <w:rsid w:val="002F7D0C"/>
    <w:rsid w:val="00300699"/>
    <w:rsid w:val="00300BE9"/>
    <w:rsid w:val="003010CB"/>
    <w:rsid w:val="00301142"/>
    <w:rsid w:val="00301E0D"/>
    <w:rsid w:val="003045F7"/>
    <w:rsid w:val="003047B1"/>
    <w:rsid w:val="00305F0A"/>
    <w:rsid w:val="003067A0"/>
    <w:rsid w:val="00306A24"/>
    <w:rsid w:val="0030719A"/>
    <w:rsid w:val="00307709"/>
    <w:rsid w:val="00310392"/>
    <w:rsid w:val="003104A2"/>
    <w:rsid w:val="00310E08"/>
    <w:rsid w:val="0031139E"/>
    <w:rsid w:val="00311B7D"/>
    <w:rsid w:val="00312536"/>
    <w:rsid w:val="003127E5"/>
    <w:rsid w:val="00312CD4"/>
    <w:rsid w:val="00312DFA"/>
    <w:rsid w:val="0031376C"/>
    <w:rsid w:val="00314FA6"/>
    <w:rsid w:val="00315408"/>
    <w:rsid w:val="00315CB3"/>
    <w:rsid w:val="003162B3"/>
    <w:rsid w:val="003165A8"/>
    <w:rsid w:val="0031674A"/>
    <w:rsid w:val="00316D69"/>
    <w:rsid w:val="0031765D"/>
    <w:rsid w:val="00317FB7"/>
    <w:rsid w:val="0032074C"/>
    <w:rsid w:val="0032249D"/>
    <w:rsid w:val="0032282A"/>
    <w:rsid w:val="003231B2"/>
    <w:rsid w:val="0032431E"/>
    <w:rsid w:val="00324D55"/>
    <w:rsid w:val="003255E2"/>
    <w:rsid w:val="00325703"/>
    <w:rsid w:val="00325F12"/>
    <w:rsid w:val="00327875"/>
    <w:rsid w:val="00327F45"/>
    <w:rsid w:val="00327F92"/>
    <w:rsid w:val="00330175"/>
    <w:rsid w:val="00330221"/>
    <w:rsid w:val="0033099A"/>
    <w:rsid w:val="00330D4B"/>
    <w:rsid w:val="00331037"/>
    <w:rsid w:val="00331A51"/>
    <w:rsid w:val="00331D06"/>
    <w:rsid w:val="0033286C"/>
    <w:rsid w:val="003332AC"/>
    <w:rsid w:val="0033345A"/>
    <w:rsid w:val="0033349C"/>
    <w:rsid w:val="003339D5"/>
    <w:rsid w:val="00333A43"/>
    <w:rsid w:val="00333BEC"/>
    <w:rsid w:val="00335527"/>
    <w:rsid w:val="00335957"/>
    <w:rsid w:val="00335B98"/>
    <w:rsid w:val="0033780F"/>
    <w:rsid w:val="00337B72"/>
    <w:rsid w:val="00337ED5"/>
    <w:rsid w:val="00340414"/>
    <w:rsid w:val="0034101B"/>
    <w:rsid w:val="00341151"/>
    <w:rsid w:val="00341C1B"/>
    <w:rsid w:val="00341DD4"/>
    <w:rsid w:val="00342CE9"/>
    <w:rsid w:val="00343000"/>
    <w:rsid w:val="0034324A"/>
    <w:rsid w:val="00345A0F"/>
    <w:rsid w:val="00345B71"/>
    <w:rsid w:val="0034636F"/>
    <w:rsid w:val="003478A2"/>
    <w:rsid w:val="00350FFF"/>
    <w:rsid w:val="00351615"/>
    <w:rsid w:val="00351CED"/>
    <w:rsid w:val="00351EEC"/>
    <w:rsid w:val="00353206"/>
    <w:rsid w:val="00353EFD"/>
    <w:rsid w:val="00353F49"/>
    <w:rsid w:val="00354349"/>
    <w:rsid w:val="00354F6C"/>
    <w:rsid w:val="003555DA"/>
    <w:rsid w:val="00355F23"/>
    <w:rsid w:val="00355F41"/>
    <w:rsid w:val="00356023"/>
    <w:rsid w:val="003564E7"/>
    <w:rsid w:val="0035664E"/>
    <w:rsid w:val="003566B1"/>
    <w:rsid w:val="00357C94"/>
    <w:rsid w:val="003602D0"/>
    <w:rsid w:val="00361898"/>
    <w:rsid w:val="003638BE"/>
    <w:rsid w:val="003645C3"/>
    <w:rsid w:val="0036529C"/>
    <w:rsid w:val="00365961"/>
    <w:rsid w:val="00365A5E"/>
    <w:rsid w:val="00365B8A"/>
    <w:rsid w:val="00365D6B"/>
    <w:rsid w:val="0036681B"/>
    <w:rsid w:val="00366965"/>
    <w:rsid w:val="00367F41"/>
    <w:rsid w:val="0037052E"/>
    <w:rsid w:val="00370C53"/>
    <w:rsid w:val="003711E1"/>
    <w:rsid w:val="00372614"/>
    <w:rsid w:val="0037309F"/>
    <w:rsid w:val="00374069"/>
    <w:rsid w:val="003746D5"/>
    <w:rsid w:val="00374969"/>
    <w:rsid w:val="0037605F"/>
    <w:rsid w:val="00376158"/>
    <w:rsid w:val="00376363"/>
    <w:rsid w:val="00380421"/>
    <w:rsid w:val="00380B80"/>
    <w:rsid w:val="003835C2"/>
    <w:rsid w:val="00384F8C"/>
    <w:rsid w:val="0038641A"/>
    <w:rsid w:val="00386582"/>
    <w:rsid w:val="0038669E"/>
    <w:rsid w:val="00386D38"/>
    <w:rsid w:val="00387371"/>
    <w:rsid w:val="00387491"/>
    <w:rsid w:val="00387CCD"/>
    <w:rsid w:val="003900E5"/>
    <w:rsid w:val="003910B4"/>
    <w:rsid w:val="0039295E"/>
    <w:rsid w:val="00393003"/>
    <w:rsid w:val="0039374A"/>
    <w:rsid w:val="00393D2B"/>
    <w:rsid w:val="003940D5"/>
    <w:rsid w:val="003946C4"/>
    <w:rsid w:val="00394711"/>
    <w:rsid w:val="00394759"/>
    <w:rsid w:val="00394874"/>
    <w:rsid w:val="00395383"/>
    <w:rsid w:val="00395B43"/>
    <w:rsid w:val="003960EC"/>
    <w:rsid w:val="00397E67"/>
    <w:rsid w:val="00397F4A"/>
    <w:rsid w:val="003A1D96"/>
    <w:rsid w:val="003A1EFD"/>
    <w:rsid w:val="003A1F19"/>
    <w:rsid w:val="003A283E"/>
    <w:rsid w:val="003A2E17"/>
    <w:rsid w:val="003A3441"/>
    <w:rsid w:val="003A37FD"/>
    <w:rsid w:val="003A4077"/>
    <w:rsid w:val="003A46D1"/>
    <w:rsid w:val="003A4E3F"/>
    <w:rsid w:val="003A4E42"/>
    <w:rsid w:val="003A4F37"/>
    <w:rsid w:val="003A575C"/>
    <w:rsid w:val="003A5A1B"/>
    <w:rsid w:val="003A6814"/>
    <w:rsid w:val="003A7248"/>
    <w:rsid w:val="003A793D"/>
    <w:rsid w:val="003B0851"/>
    <w:rsid w:val="003B123B"/>
    <w:rsid w:val="003B174B"/>
    <w:rsid w:val="003B1F83"/>
    <w:rsid w:val="003B202B"/>
    <w:rsid w:val="003B2474"/>
    <w:rsid w:val="003B335A"/>
    <w:rsid w:val="003B37ED"/>
    <w:rsid w:val="003B38DD"/>
    <w:rsid w:val="003B46B8"/>
    <w:rsid w:val="003B5B06"/>
    <w:rsid w:val="003B63E5"/>
    <w:rsid w:val="003B67B1"/>
    <w:rsid w:val="003B7795"/>
    <w:rsid w:val="003B7912"/>
    <w:rsid w:val="003C2063"/>
    <w:rsid w:val="003C23D8"/>
    <w:rsid w:val="003C2456"/>
    <w:rsid w:val="003C252F"/>
    <w:rsid w:val="003C32F8"/>
    <w:rsid w:val="003C3FE9"/>
    <w:rsid w:val="003C405F"/>
    <w:rsid w:val="003C4328"/>
    <w:rsid w:val="003C47AF"/>
    <w:rsid w:val="003C4CD1"/>
    <w:rsid w:val="003D0DD6"/>
    <w:rsid w:val="003D1B58"/>
    <w:rsid w:val="003D2634"/>
    <w:rsid w:val="003D2A94"/>
    <w:rsid w:val="003D353F"/>
    <w:rsid w:val="003D36CD"/>
    <w:rsid w:val="003D56E0"/>
    <w:rsid w:val="003D6419"/>
    <w:rsid w:val="003D6F5F"/>
    <w:rsid w:val="003D7197"/>
    <w:rsid w:val="003E0028"/>
    <w:rsid w:val="003E0530"/>
    <w:rsid w:val="003E0573"/>
    <w:rsid w:val="003E073C"/>
    <w:rsid w:val="003E0C2B"/>
    <w:rsid w:val="003E0E96"/>
    <w:rsid w:val="003E1523"/>
    <w:rsid w:val="003E1CD4"/>
    <w:rsid w:val="003E2ECF"/>
    <w:rsid w:val="003E2F43"/>
    <w:rsid w:val="003E337F"/>
    <w:rsid w:val="003E41FF"/>
    <w:rsid w:val="003E6136"/>
    <w:rsid w:val="003E6539"/>
    <w:rsid w:val="003E6CC8"/>
    <w:rsid w:val="003E71AF"/>
    <w:rsid w:val="003E7272"/>
    <w:rsid w:val="003E7356"/>
    <w:rsid w:val="003F0234"/>
    <w:rsid w:val="003F0BB9"/>
    <w:rsid w:val="003F21D4"/>
    <w:rsid w:val="003F39D3"/>
    <w:rsid w:val="003F4906"/>
    <w:rsid w:val="003F4BC3"/>
    <w:rsid w:val="003F58BA"/>
    <w:rsid w:val="003F5F66"/>
    <w:rsid w:val="003F60BA"/>
    <w:rsid w:val="003F6ACF"/>
    <w:rsid w:val="003F6F05"/>
    <w:rsid w:val="004002FC"/>
    <w:rsid w:val="0040105E"/>
    <w:rsid w:val="00401AB0"/>
    <w:rsid w:val="00402C06"/>
    <w:rsid w:val="00405398"/>
    <w:rsid w:val="004056D5"/>
    <w:rsid w:val="00406C9C"/>
    <w:rsid w:val="004071DB"/>
    <w:rsid w:val="00407279"/>
    <w:rsid w:val="004075A0"/>
    <w:rsid w:val="00410E25"/>
    <w:rsid w:val="004115AC"/>
    <w:rsid w:val="0041162C"/>
    <w:rsid w:val="00412D2F"/>
    <w:rsid w:val="00413BED"/>
    <w:rsid w:val="004144B1"/>
    <w:rsid w:val="00414C09"/>
    <w:rsid w:val="0041519E"/>
    <w:rsid w:val="00416133"/>
    <w:rsid w:val="0041629C"/>
    <w:rsid w:val="00416732"/>
    <w:rsid w:val="00420168"/>
    <w:rsid w:val="004202C1"/>
    <w:rsid w:val="00420A2F"/>
    <w:rsid w:val="00421E33"/>
    <w:rsid w:val="00422439"/>
    <w:rsid w:val="0042268F"/>
    <w:rsid w:val="0042274D"/>
    <w:rsid w:val="00423390"/>
    <w:rsid w:val="004251F7"/>
    <w:rsid w:val="00426B4F"/>
    <w:rsid w:val="00427C8D"/>
    <w:rsid w:val="00430524"/>
    <w:rsid w:val="00430B9D"/>
    <w:rsid w:val="00431558"/>
    <w:rsid w:val="00431E36"/>
    <w:rsid w:val="00433C39"/>
    <w:rsid w:val="00434605"/>
    <w:rsid w:val="00435517"/>
    <w:rsid w:val="00435C79"/>
    <w:rsid w:val="00436142"/>
    <w:rsid w:val="004363C2"/>
    <w:rsid w:val="00437649"/>
    <w:rsid w:val="00437946"/>
    <w:rsid w:val="00437FB1"/>
    <w:rsid w:val="004403B3"/>
    <w:rsid w:val="00440411"/>
    <w:rsid w:val="004406AA"/>
    <w:rsid w:val="00440EC0"/>
    <w:rsid w:val="00441336"/>
    <w:rsid w:val="00442229"/>
    <w:rsid w:val="00442839"/>
    <w:rsid w:val="00443947"/>
    <w:rsid w:val="00444A1D"/>
    <w:rsid w:val="00445796"/>
    <w:rsid w:val="00445AF6"/>
    <w:rsid w:val="00446102"/>
    <w:rsid w:val="004466F3"/>
    <w:rsid w:val="00446CAD"/>
    <w:rsid w:val="0044732F"/>
    <w:rsid w:val="004501EC"/>
    <w:rsid w:val="004502A1"/>
    <w:rsid w:val="004507B7"/>
    <w:rsid w:val="00451C14"/>
    <w:rsid w:val="00453702"/>
    <w:rsid w:val="00453FE4"/>
    <w:rsid w:val="00454194"/>
    <w:rsid w:val="0045492E"/>
    <w:rsid w:val="004549B2"/>
    <w:rsid w:val="00454C13"/>
    <w:rsid w:val="00454F0E"/>
    <w:rsid w:val="00454F7B"/>
    <w:rsid w:val="004564EA"/>
    <w:rsid w:val="004603E3"/>
    <w:rsid w:val="00460421"/>
    <w:rsid w:val="00460AFF"/>
    <w:rsid w:val="00460B68"/>
    <w:rsid w:val="00461374"/>
    <w:rsid w:val="004623B3"/>
    <w:rsid w:val="00463B5A"/>
    <w:rsid w:val="0046499E"/>
    <w:rsid w:val="00464F13"/>
    <w:rsid w:val="004653B4"/>
    <w:rsid w:val="00465F01"/>
    <w:rsid w:val="00466056"/>
    <w:rsid w:val="004674A8"/>
    <w:rsid w:val="00467D0E"/>
    <w:rsid w:val="0047094A"/>
    <w:rsid w:val="00470AD6"/>
    <w:rsid w:val="00471178"/>
    <w:rsid w:val="0047158B"/>
    <w:rsid w:val="00471706"/>
    <w:rsid w:val="00471AE3"/>
    <w:rsid w:val="00471CC4"/>
    <w:rsid w:val="004733A7"/>
    <w:rsid w:val="004747F9"/>
    <w:rsid w:val="00476866"/>
    <w:rsid w:val="00476B57"/>
    <w:rsid w:val="00476D04"/>
    <w:rsid w:val="00477E60"/>
    <w:rsid w:val="00480939"/>
    <w:rsid w:val="00482481"/>
    <w:rsid w:val="00483374"/>
    <w:rsid w:val="00483B9C"/>
    <w:rsid w:val="004842DB"/>
    <w:rsid w:val="00485A06"/>
    <w:rsid w:val="00486335"/>
    <w:rsid w:val="0048661E"/>
    <w:rsid w:val="00486792"/>
    <w:rsid w:val="00486849"/>
    <w:rsid w:val="00487B6B"/>
    <w:rsid w:val="00487E82"/>
    <w:rsid w:val="00487F80"/>
    <w:rsid w:val="00490ADC"/>
    <w:rsid w:val="004930F2"/>
    <w:rsid w:val="00493345"/>
    <w:rsid w:val="004944A5"/>
    <w:rsid w:val="00494A3B"/>
    <w:rsid w:val="0049566B"/>
    <w:rsid w:val="00496B60"/>
    <w:rsid w:val="004A0291"/>
    <w:rsid w:val="004A0B23"/>
    <w:rsid w:val="004A1DF4"/>
    <w:rsid w:val="004A250A"/>
    <w:rsid w:val="004A3538"/>
    <w:rsid w:val="004A375B"/>
    <w:rsid w:val="004A380D"/>
    <w:rsid w:val="004A3CAA"/>
    <w:rsid w:val="004A46BD"/>
    <w:rsid w:val="004A516B"/>
    <w:rsid w:val="004A5677"/>
    <w:rsid w:val="004A5F30"/>
    <w:rsid w:val="004A6B81"/>
    <w:rsid w:val="004A6CB4"/>
    <w:rsid w:val="004A75D1"/>
    <w:rsid w:val="004A7897"/>
    <w:rsid w:val="004A7B3B"/>
    <w:rsid w:val="004B08DD"/>
    <w:rsid w:val="004B0955"/>
    <w:rsid w:val="004B0994"/>
    <w:rsid w:val="004B2317"/>
    <w:rsid w:val="004B274C"/>
    <w:rsid w:val="004B2EC0"/>
    <w:rsid w:val="004B3BDD"/>
    <w:rsid w:val="004B43C2"/>
    <w:rsid w:val="004B460A"/>
    <w:rsid w:val="004B5BC3"/>
    <w:rsid w:val="004B5D16"/>
    <w:rsid w:val="004B616B"/>
    <w:rsid w:val="004B6563"/>
    <w:rsid w:val="004B67AD"/>
    <w:rsid w:val="004B795C"/>
    <w:rsid w:val="004B7CF7"/>
    <w:rsid w:val="004B7E8C"/>
    <w:rsid w:val="004C1C58"/>
    <w:rsid w:val="004C2463"/>
    <w:rsid w:val="004C2ABB"/>
    <w:rsid w:val="004C2C79"/>
    <w:rsid w:val="004C343D"/>
    <w:rsid w:val="004C345C"/>
    <w:rsid w:val="004C40BC"/>
    <w:rsid w:val="004C56C0"/>
    <w:rsid w:val="004C7ECC"/>
    <w:rsid w:val="004D091A"/>
    <w:rsid w:val="004D1093"/>
    <w:rsid w:val="004D1642"/>
    <w:rsid w:val="004D2866"/>
    <w:rsid w:val="004D3DFD"/>
    <w:rsid w:val="004D3E70"/>
    <w:rsid w:val="004D3F90"/>
    <w:rsid w:val="004D4950"/>
    <w:rsid w:val="004D591E"/>
    <w:rsid w:val="004D598B"/>
    <w:rsid w:val="004D5B94"/>
    <w:rsid w:val="004D644B"/>
    <w:rsid w:val="004D66C3"/>
    <w:rsid w:val="004D7376"/>
    <w:rsid w:val="004D7A9C"/>
    <w:rsid w:val="004D7B0D"/>
    <w:rsid w:val="004E028A"/>
    <w:rsid w:val="004E03C6"/>
    <w:rsid w:val="004E0EAC"/>
    <w:rsid w:val="004E2587"/>
    <w:rsid w:val="004E35F8"/>
    <w:rsid w:val="004E36E1"/>
    <w:rsid w:val="004E3AB8"/>
    <w:rsid w:val="004E4334"/>
    <w:rsid w:val="004E4DBB"/>
    <w:rsid w:val="004E5FFE"/>
    <w:rsid w:val="004E6284"/>
    <w:rsid w:val="004E6C87"/>
    <w:rsid w:val="004F0064"/>
    <w:rsid w:val="004F1B59"/>
    <w:rsid w:val="004F2C01"/>
    <w:rsid w:val="004F3BB1"/>
    <w:rsid w:val="004F3E25"/>
    <w:rsid w:val="004F5008"/>
    <w:rsid w:val="004F59BC"/>
    <w:rsid w:val="004F6325"/>
    <w:rsid w:val="004F6F4D"/>
    <w:rsid w:val="004F785C"/>
    <w:rsid w:val="00500CD7"/>
    <w:rsid w:val="00502D86"/>
    <w:rsid w:val="005032E6"/>
    <w:rsid w:val="00504FA5"/>
    <w:rsid w:val="00505321"/>
    <w:rsid w:val="005063C5"/>
    <w:rsid w:val="00507EC1"/>
    <w:rsid w:val="00510402"/>
    <w:rsid w:val="00510B2F"/>
    <w:rsid w:val="00510BD7"/>
    <w:rsid w:val="005113F1"/>
    <w:rsid w:val="00511F66"/>
    <w:rsid w:val="005130E7"/>
    <w:rsid w:val="00513276"/>
    <w:rsid w:val="00513354"/>
    <w:rsid w:val="00514940"/>
    <w:rsid w:val="00514CCC"/>
    <w:rsid w:val="00515686"/>
    <w:rsid w:val="00516457"/>
    <w:rsid w:val="005171B1"/>
    <w:rsid w:val="00517D9B"/>
    <w:rsid w:val="00517EF6"/>
    <w:rsid w:val="005208B3"/>
    <w:rsid w:val="005208EA"/>
    <w:rsid w:val="005209D9"/>
    <w:rsid w:val="00521EC5"/>
    <w:rsid w:val="00522018"/>
    <w:rsid w:val="005224F4"/>
    <w:rsid w:val="005225C4"/>
    <w:rsid w:val="00522749"/>
    <w:rsid w:val="00522ADE"/>
    <w:rsid w:val="0052311D"/>
    <w:rsid w:val="005235D1"/>
    <w:rsid w:val="005240B4"/>
    <w:rsid w:val="00524103"/>
    <w:rsid w:val="005241FE"/>
    <w:rsid w:val="00525DFC"/>
    <w:rsid w:val="00525E8C"/>
    <w:rsid w:val="00527CB5"/>
    <w:rsid w:val="00527D20"/>
    <w:rsid w:val="00530330"/>
    <w:rsid w:val="005303AD"/>
    <w:rsid w:val="00531305"/>
    <w:rsid w:val="005315B4"/>
    <w:rsid w:val="00531E4D"/>
    <w:rsid w:val="005320B3"/>
    <w:rsid w:val="0053257A"/>
    <w:rsid w:val="00532694"/>
    <w:rsid w:val="0053375D"/>
    <w:rsid w:val="00533C91"/>
    <w:rsid w:val="005346E7"/>
    <w:rsid w:val="00535735"/>
    <w:rsid w:val="00536D45"/>
    <w:rsid w:val="005379CA"/>
    <w:rsid w:val="005400E6"/>
    <w:rsid w:val="00540AF3"/>
    <w:rsid w:val="00541E0E"/>
    <w:rsid w:val="005422E9"/>
    <w:rsid w:val="005427F8"/>
    <w:rsid w:val="00543358"/>
    <w:rsid w:val="00545FAE"/>
    <w:rsid w:val="00545FC7"/>
    <w:rsid w:val="00546198"/>
    <w:rsid w:val="005468E7"/>
    <w:rsid w:val="005469E2"/>
    <w:rsid w:val="0054786F"/>
    <w:rsid w:val="005505AF"/>
    <w:rsid w:val="0055193D"/>
    <w:rsid w:val="00551F70"/>
    <w:rsid w:val="0055272A"/>
    <w:rsid w:val="00552ADB"/>
    <w:rsid w:val="00555310"/>
    <w:rsid w:val="00556A66"/>
    <w:rsid w:val="0055770D"/>
    <w:rsid w:val="00560C01"/>
    <w:rsid w:val="00560D27"/>
    <w:rsid w:val="005623E4"/>
    <w:rsid w:val="00562B24"/>
    <w:rsid w:val="0056412D"/>
    <w:rsid w:val="005645A5"/>
    <w:rsid w:val="005646A9"/>
    <w:rsid w:val="00565735"/>
    <w:rsid w:val="005665CD"/>
    <w:rsid w:val="005666DF"/>
    <w:rsid w:val="00570C18"/>
    <w:rsid w:val="00570D2F"/>
    <w:rsid w:val="00570F97"/>
    <w:rsid w:val="00571EEC"/>
    <w:rsid w:val="005729BC"/>
    <w:rsid w:val="00572BC0"/>
    <w:rsid w:val="00572D4E"/>
    <w:rsid w:val="00573462"/>
    <w:rsid w:val="00573BDE"/>
    <w:rsid w:val="005746E9"/>
    <w:rsid w:val="00574BD2"/>
    <w:rsid w:val="0057572A"/>
    <w:rsid w:val="00575898"/>
    <w:rsid w:val="00575D16"/>
    <w:rsid w:val="005761CF"/>
    <w:rsid w:val="00576CC9"/>
    <w:rsid w:val="00577785"/>
    <w:rsid w:val="005805D3"/>
    <w:rsid w:val="0058274B"/>
    <w:rsid w:val="00582E4C"/>
    <w:rsid w:val="005834E5"/>
    <w:rsid w:val="00583588"/>
    <w:rsid w:val="00584987"/>
    <w:rsid w:val="00585CC4"/>
    <w:rsid w:val="00586DD0"/>
    <w:rsid w:val="005875FA"/>
    <w:rsid w:val="005907E1"/>
    <w:rsid w:val="005929F8"/>
    <w:rsid w:val="00592D0F"/>
    <w:rsid w:val="005933A5"/>
    <w:rsid w:val="00594298"/>
    <w:rsid w:val="00594BDF"/>
    <w:rsid w:val="00594DDA"/>
    <w:rsid w:val="00595603"/>
    <w:rsid w:val="0059653F"/>
    <w:rsid w:val="00596BFC"/>
    <w:rsid w:val="00597F03"/>
    <w:rsid w:val="00597FEC"/>
    <w:rsid w:val="005A0959"/>
    <w:rsid w:val="005A13AC"/>
    <w:rsid w:val="005A1540"/>
    <w:rsid w:val="005A1DAA"/>
    <w:rsid w:val="005A2D6E"/>
    <w:rsid w:val="005A310C"/>
    <w:rsid w:val="005A4E72"/>
    <w:rsid w:val="005A4F57"/>
    <w:rsid w:val="005A5D24"/>
    <w:rsid w:val="005A5E42"/>
    <w:rsid w:val="005A61E0"/>
    <w:rsid w:val="005A63F1"/>
    <w:rsid w:val="005A74CF"/>
    <w:rsid w:val="005A7F2D"/>
    <w:rsid w:val="005B0FFC"/>
    <w:rsid w:val="005B1279"/>
    <w:rsid w:val="005B2D7C"/>
    <w:rsid w:val="005B3531"/>
    <w:rsid w:val="005B38DC"/>
    <w:rsid w:val="005B6C11"/>
    <w:rsid w:val="005B792F"/>
    <w:rsid w:val="005B7E9E"/>
    <w:rsid w:val="005C0399"/>
    <w:rsid w:val="005C21CD"/>
    <w:rsid w:val="005C34B8"/>
    <w:rsid w:val="005C366C"/>
    <w:rsid w:val="005C3E9D"/>
    <w:rsid w:val="005C402B"/>
    <w:rsid w:val="005C42B4"/>
    <w:rsid w:val="005C496B"/>
    <w:rsid w:val="005C49AC"/>
    <w:rsid w:val="005C4C72"/>
    <w:rsid w:val="005C5C83"/>
    <w:rsid w:val="005C7910"/>
    <w:rsid w:val="005C7A39"/>
    <w:rsid w:val="005D060A"/>
    <w:rsid w:val="005D0F13"/>
    <w:rsid w:val="005D1264"/>
    <w:rsid w:val="005D1927"/>
    <w:rsid w:val="005D1D08"/>
    <w:rsid w:val="005D1EDD"/>
    <w:rsid w:val="005D224D"/>
    <w:rsid w:val="005D270D"/>
    <w:rsid w:val="005D2B90"/>
    <w:rsid w:val="005D3976"/>
    <w:rsid w:val="005D3A75"/>
    <w:rsid w:val="005D3EC3"/>
    <w:rsid w:val="005D40E4"/>
    <w:rsid w:val="005D4518"/>
    <w:rsid w:val="005D51E4"/>
    <w:rsid w:val="005D5F62"/>
    <w:rsid w:val="005D66F7"/>
    <w:rsid w:val="005E08EE"/>
    <w:rsid w:val="005E16EA"/>
    <w:rsid w:val="005E222C"/>
    <w:rsid w:val="005E2CA3"/>
    <w:rsid w:val="005E2EA6"/>
    <w:rsid w:val="005E3C10"/>
    <w:rsid w:val="005E4222"/>
    <w:rsid w:val="005E4BE3"/>
    <w:rsid w:val="005E50DD"/>
    <w:rsid w:val="005E5FBF"/>
    <w:rsid w:val="005E66D1"/>
    <w:rsid w:val="005E68BB"/>
    <w:rsid w:val="005E68EA"/>
    <w:rsid w:val="005F175B"/>
    <w:rsid w:val="005F19D7"/>
    <w:rsid w:val="005F22D5"/>
    <w:rsid w:val="005F4F9A"/>
    <w:rsid w:val="005F59E0"/>
    <w:rsid w:val="005F6683"/>
    <w:rsid w:val="005F7DDE"/>
    <w:rsid w:val="006001CB"/>
    <w:rsid w:val="006004E4"/>
    <w:rsid w:val="00600A1E"/>
    <w:rsid w:val="00600A66"/>
    <w:rsid w:val="00601BC5"/>
    <w:rsid w:val="006024B6"/>
    <w:rsid w:val="00603DBF"/>
    <w:rsid w:val="00604F9D"/>
    <w:rsid w:val="0060530B"/>
    <w:rsid w:val="00605408"/>
    <w:rsid w:val="00607321"/>
    <w:rsid w:val="00610640"/>
    <w:rsid w:val="006131DC"/>
    <w:rsid w:val="00613BF0"/>
    <w:rsid w:val="006143A2"/>
    <w:rsid w:val="00614D70"/>
    <w:rsid w:val="00616222"/>
    <w:rsid w:val="00616525"/>
    <w:rsid w:val="00616BF8"/>
    <w:rsid w:val="00617C8F"/>
    <w:rsid w:val="00620748"/>
    <w:rsid w:val="006223BA"/>
    <w:rsid w:val="00622DA9"/>
    <w:rsid w:val="0062360A"/>
    <w:rsid w:val="00623E5D"/>
    <w:rsid w:val="006249BC"/>
    <w:rsid w:val="00627EBC"/>
    <w:rsid w:val="00630D7F"/>
    <w:rsid w:val="0063103F"/>
    <w:rsid w:val="0063189E"/>
    <w:rsid w:val="006323ED"/>
    <w:rsid w:val="006326BB"/>
    <w:rsid w:val="00632898"/>
    <w:rsid w:val="0063299C"/>
    <w:rsid w:val="00633C63"/>
    <w:rsid w:val="00634729"/>
    <w:rsid w:val="006358A3"/>
    <w:rsid w:val="006358B4"/>
    <w:rsid w:val="00635C04"/>
    <w:rsid w:val="00635EDA"/>
    <w:rsid w:val="006364A5"/>
    <w:rsid w:val="006367E8"/>
    <w:rsid w:val="006369CF"/>
    <w:rsid w:val="0063733E"/>
    <w:rsid w:val="00640CC3"/>
    <w:rsid w:val="00641619"/>
    <w:rsid w:val="0064179D"/>
    <w:rsid w:val="00641A3A"/>
    <w:rsid w:val="00641BC3"/>
    <w:rsid w:val="0064252A"/>
    <w:rsid w:val="00642F22"/>
    <w:rsid w:val="006466BA"/>
    <w:rsid w:val="00646F62"/>
    <w:rsid w:val="006473A3"/>
    <w:rsid w:val="00647D5A"/>
    <w:rsid w:val="0065138F"/>
    <w:rsid w:val="0065151B"/>
    <w:rsid w:val="00652848"/>
    <w:rsid w:val="00653600"/>
    <w:rsid w:val="00653F8E"/>
    <w:rsid w:val="00654A6C"/>
    <w:rsid w:val="00654DDD"/>
    <w:rsid w:val="006561B7"/>
    <w:rsid w:val="00656441"/>
    <w:rsid w:val="00656E6B"/>
    <w:rsid w:val="00657251"/>
    <w:rsid w:val="0066005A"/>
    <w:rsid w:val="00660608"/>
    <w:rsid w:val="006610B4"/>
    <w:rsid w:val="006613A3"/>
    <w:rsid w:val="0066189D"/>
    <w:rsid w:val="00662D37"/>
    <w:rsid w:val="00663165"/>
    <w:rsid w:val="0066357E"/>
    <w:rsid w:val="00663676"/>
    <w:rsid w:val="00664173"/>
    <w:rsid w:val="00664E50"/>
    <w:rsid w:val="00665F96"/>
    <w:rsid w:val="0066673C"/>
    <w:rsid w:val="00666CF0"/>
    <w:rsid w:val="00667A3B"/>
    <w:rsid w:val="00667D67"/>
    <w:rsid w:val="006708E6"/>
    <w:rsid w:val="00670F37"/>
    <w:rsid w:val="006733BE"/>
    <w:rsid w:val="0067426B"/>
    <w:rsid w:val="00674752"/>
    <w:rsid w:val="0067793B"/>
    <w:rsid w:val="0068126B"/>
    <w:rsid w:val="006827BC"/>
    <w:rsid w:val="006829E2"/>
    <w:rsid w:val="0068375E"/>
    <w:rsid w:val="00683985"/>
    <w:rsid w:val="006856A8"/>
    <w:rsid w:val="00686305"/>
    <w:rsid w:val="006874F7"/>
    <w:rsid w:val="00687F93"/>
    <w:rsid w:val="006905E8"/>
    <w:rsid w:val="00693733"/>
    <w:rsid w:val="00693B28"/>
    <w:rsid w:val="0069481B"/>
    <w:rsid w:val="00694944"/>
    <w:rsid w:val="00694A60"/>
    <w:rsid w:val="00694E2A"/>
    <w:rsid w:val="00694E7B"/>
    <w:rsid w:val="00695094"/>
    <w:rsid w:val="0069538A"/>
    <w:rsid w:val="00695951"/>
    <w:rsid w:val="006967ED"/>
    <w:rsid w:val="00696CBD"/>
    <w:rsid w:val="00697376"/>
    <w:rsid w:val="00697EB8"/>
    <w:rsid w:val="006A1411"/>
    <w:rsid w:val="006A1BD1"/>
    <w:rsid w:val="006A1EDE"/>
    <w:rsid w:val="006A20B5"/>
    <w:rsid w:val="006A2120"/>
    <w:rsid w:val="006A5699"/>
    <w:rsid w:val="006A6C4B"/>
    <w:rsid w:val="006A702D"/>
    <w:rsid w:val="006A77C1"/>
    <w:rsid w:val="006A7F4F"/>
    <w:rsid w:val="006B0011"/>
    <w:rsid w:val="006B0232"/>
    <w:rsid w:val="006B0583"/>
    <w:rsid w:val="006B56AB"/>
    <w:rsid w:val="006B6AFC"/>
    <w:rsid w:val="006B7247"/>
    <w:rsid w:val="006B7E52"/>
    <w:rsid w:val="006C0541"/>
    <w:rsid w:val="006C0702"/>
    <w:rsid w:val="006C08C0"/>
    <w:rsid w:val="006C1381"/>
    <w:rsid w:val="006C2222"/>
    <w:rsid w:val="006C27B5"/>
    <w:rsid w:val="006C2C2F"/>
    <w:rsid w:val="006C3338"/>
    <w:rsid w:val="006C3A45"/>
    <w:rsid w:val="006C3B48"/>
    <w:rsid w:val="006C4EDD"/>
    <w:rsid w:val="006C5650"/>
    <w:rsid w:val="006C594E"/>
    <w:rsid w:val="006C7971"/>
    <w:rsid w:val="006C7D5E"/>
    <w:rsid w:val="006D25AA"/>
    <w:rsid w:val="006D30AD"/>
    <w:rsid w:val="006D517A"/>
    <w:rsid w:val="006D5C2C"/>
    <w:rsid w:val="006D7522"/>
    <w:rsid w:val="006D7E30"/>
    <w:rsid w:val="006E06B0"/>
    <w:rsid w:val="006E0FF4"/>
    <w:rsid w:val="006E21FA"/>
    <w:rsid w:val="006E3800"/>
    <w:rsid w:val="006E3AA0"/>
    <w:rsid w:val="006E3BEA"/>
    <w:rsid w:val="006E510F"/>
    <w:rsid w:val="006E6EDD"/>
    <w:rsid w:val="006F078A"/>
    <w:rsid w:val="006F0B01"/>
    <w:rsid w:val="006F0C14"/>
    <w:rsid w:val="006F0E34"/>
    <w:rsid w:val="006F1CD3"/>
    <w:rsid w:val="006F20C0"/>
    <w:rsid w:val="006F2192"/>
    <w:rsid w:val="006F24AF"/>
    <w:rsid w:val="006F2DDB"/>
    <w:rsid w:val="006F3ED8"/>
    <w:rsid w:val="006F40FA"/>
    <w:rsid w:val="006F41CC"/>
    <w:rsid w:val="006F46B0"/>
    <w:rsid w:val="006F66BA"/>
    <w:rsid w:val="006F6CE5"/>
    <w:rsid w:val="00700126"/>
    <w:rsid w:val="0070075D"/>
    <w:rsid w:val="00701AD1"/>
    <w:rsid w:val="00703FB9"/>
    <w:rsid w:val="0070509A"/>
    <w:rsid w:val="00705298"/>
    <w:rsid w:val="00705808"/>
    <w:rsid w:val="007068F9"/>
    <w:rsid w:val="00706B92"/>
    <w:rsid w:val="00707252"/>
    <w:rsid w:val="00707565"/>
    <w:rsid w:val="00707C0B"/>
    <w:rsid w:val="007100AB"/>
    <w:rsid w:val="00710AAD"/>
    <w:rsid w:val="00710AAE"/>
    <w:rsid w:val="007110CE"/>
    <w:rsid w:val="0071112B"/>
    <w:rsid w:val="00712840"/>
    <w:rsid w:val="00714539"/>
    <w:rsid w:val="00715657"/>
    <w:rsid w:val="00715C1E"/>
    <w:rsid w:val="00716588"/>
    <w:rsid w:val="00716C9D"/>
    <w:rsid w:val="00717821"/>
    <w:rsid w:val="00717AF5"/>
    <w:rsid w:val="00717BBC"/>
    <w:rsid w:val="00720449"/>
    <w:rsid w:val="00720472"/>
    <w:rsid w:val="0072065E"/>
    <w:rsid w:val="007206CA"/>
    <w:rsid w:val="00720F43"/>
    <w:rsid w:val="0072257B"/>
    <w:rsid w:val="00722AA7"/>
    <w:rsid w:val="00722D6C"/>
    <w:rsid w:val="00724624"/>
    <w:rsid w:val="007246C8"/>
    <w:rsid w:val="00724D0C"/>
    <w:rsid w:val="00725C60"/>
    <w:rsid w:val="0072775E"/>
    <w:rsid w:val="00727A36"/>
    <w:rsid w:val="007302F9"/>
    <w:rsid w:val="00732012"/>
    <w:rsid w:val="00733127"/>
    <w:rsid w:val="007336AA"/>
    <w:rsid w:val="00734E4B"/>
    <w:rsid w:val="00736129"/>
    <w:rsid w:val="00740314"/>
    <w:rsid w:val="00740C2B"/>
    <w:rsid w:val="0074126B"/>
    <w:rsid w:val="007413E8"/>
    <w:rsid w:val="00741931"/>
    <w:rsid w:val="00741D73"/>
    <w:rsid w:val="00741DC5"/>
    <w:rsid w:val="007421FE"/>
    <w:rsid w:val="0074342B"/>
    <w:rsid w:val="007437DB"/>
    <w:rsid w:val="00743F01"/>
    <w:rsid w:val="00744271"/>
    <w:rsid w:val="0074431C"/>
    <w:rsid w:val="0074484C"/>
    <w:rsid w:val="00744EFD"/>
    <w:rsid w:val="00745276"/>
    <w:rsid w:val="0074577E"/>
    <w:rsid w:val="0074632D"/>
    <w:rsid w:val="00746F66"/>
    <w:rsid w:val="00747C23"/>
    <w:rsid w:val="00747DCF"/>
    <w:rsid w:val="00751FC1"/>
    <w:rsid w:val="00752827"/>
    <w:rsid w:val="00753446"/>
    <w:rsid w:val="00753BDA"/>
    <w:rsid w:val="00754E05"/>
    <w:rsid w:val="00754E80"/>
    <w:rsid w:val="00754EF7"/>
    <w:rsid w:val="00754FDD"/>
    <w:rsid w:val="007550C7"/>
    <w:rsid w:val="00756689"/>
    <w:rsid w:val="00757AE2"/>
    <w:rsid w:val="0076084A"/>
    <w:rsid w:val="00760971"/>
    <w:rsid w:val="0076191B"/>
    <w:rsid w:val="00762C3A"/>
    <w:rsid w:val="00763487"/>
    <w:rsid w:val="007634D1"/>
    <w:rsid w:val="00765782"/>
    <w:rsid w:val="00765D0E"/>
    <w:rsid w:val="00767501"/>
    <w:rsid w:val="00770E3D"/>
    <w:rsid w:val="00773B40"/>
    <w:rsid w:val="00773EEA"/>
    <w:rsid w:val="0077451C"/>
    <w:rsid w:val="007801F0"/>
    <w:rsid w:val="0078042D"/>
    <w:rsid w:val="007806A9"/>
    <w:rsid w:val="007809A1"/>
    <w:rsid w:val="0078163D"/>
    <w:rsid w:val="00781CD1"/>
    <w:rsid w:val="00783E7B"/>
    <w:rsid w:val="00783F8E"/>
    <w:rsid w:val="00784210"/>
    <w:rsid w:val="00784C3C"/>
    <w:rsid w:val="007852FE"/>
    <w:rsid w:val="0078536C"/>
    <w:rsid w:val="007862A5"/>
    <w:rsid w:val="0078655A"/>
    <w:rsid w:val="007870AF"/>
    <w:rsid w:val="00787894"/>
    <w:rsid w:val="007901E7"/>
    <w:rsid w:val="00790E50"/>
    <w:rsid w:val="0079172D"/>
    <w:rsid w:val="00792EB3"/>
    <w:rsid w:val="00792FFE"/>
    <w:rsid w:val="00793713"/>
    <w:rsid w:val="00793A70"/>
    <w:rsid w:val="00795158"/>
    <w:rsid w:val="00796944"/>
    <w:rsid w:val="007976EB"/>
    <w:rsid w:val="00797C53"/>
    <w:rsid w:val="007A04D6"/>
    <w:rsid w:val="007A0AD7"/>
    <w:rsid w:val="007A1E69"/>
    <w:rsid w:val="007A21A7"/>
    <w:rsid w:val="007A2850"/>
    <w:rsid w:val="007A4A30"/>
    <w:rsid w:val="007A50FB"/>
    <w:rsid w:val="007A5EDA"/>
    <w:rsid w:val="007A6588"/>
    <w:rsid w:val="007A6859"/>
    <w:rsid w:val="007A77E1"/>
    <w:rsid w:val="007B0DA0"/>
    <w:rsid w:val="007B17AA"/>
    <w:rsid w:val="007B1EA8"/>
    <w:rsid w:val="007B297F"/>
    <w:rsid w:val="007B305E"/>
    <w:rsid w:val="007B373E"/>
    <w:rsid w:val="007B3CA7"/>
    <w:rsid w:val="007B55AC"/>
    <w:rsid w:val="007B61EA"/>
    <w:rsid w:val="007B667D"/>
    <w:rsid w:val="007B6755"/>
    <w:rsid w:val="007B70F8"/>
    <w:rsid w:val="007B72F4"/>
    <w:rsid w:val="007C0D08"/>
    <w:rsid w:val="007C0F78"/>
    <w:rsid w:val="007C12F3"/>
    <w:rsid w:val="007C1832"/>
    <w:rsid w:val="007C22E9"/>
    <w:rsid w:val="007C2B8E"/>
    <w:rsid w:val="007C4628"/>
    <w:rsid w:val="007C4B01"/>
    <w:rsid w:val="007C5554"/>
    <w:rsid w:val="007C5F34"/>
    <w:rsid w:val="007C623A"/>
    <w:rsid w:val="007C63B9"/>
    <w:rsid w:val="007C699D"/>
    <w:rsid w:val="007C6F04"/>
    <w:rsid w:val="007C778A"/>
    <w:rsid w:val="007D0629"/>
    <w:rsid w:val="007D1B79"/>
    <w:rsid w:val="007D27FB"/>
    <w:rsid w:val="007D308E"/>
    <w:rsid w:val="007D3819"/>
    <w:rsid w:val="007D4066"/>
    <w:rsid w:val="007D4963"/>
    <w:rsid w:val="007D4AA4"/>
    <w:rsid w:val="007D50EF"/>
    <w:rsid w:val="007D59A5"/>
    <w:rsid w:val="007D66F7"/>
    <w:rsid w:val="007D6C7F"/>
    <w:rsid w:val="007D7A35"/>
    <w:rsid w:val="007E0A7D"/>
    <w:rsid w:val="007E1101"/>
    <w:rsid w:val="007E2748"/>
    <w:rsid w:val="007E38B7"/>
    <w:rsid w:val="007E3F90"/>
    <w:rsid w:val="007E40C1"/>
    <w:rsid w:val="007E4D32"/>
    <w:rsid w:val="007E5E55"/>
    <w:rsid w:val="007E6236"/>
    <w:rsid w:val="007E7DBC"/>
    <w:rsid w:val="007F2763"/>
    <w:rsid w:val="007F284C"/>
    <w:rsid w:val="007F470D"/>
    <w:rsid w:val="007F757F"/>
    <w:rsid w:val="007F7F1F"/>
    <w:rsid w:val="0080418D"/>
    <w:rsid w:val="00804E69"/>
    <w:rsid w:val="00804F67"/>
    <w:rsid w:val="0080524D"/>
    <w:rsid w:val="008054C0"/>
    <w:rsid w:val="00805521"/>
    <w:rsid w:val="00805A63"/>
    <w:rsid w:val="00806003"/>
    <w:rsid w:val="008061D5"/>
    <w:rsid w:val="00811623"/>
    <w:rsid w:val="008120DA"/>
    <w:rsid w:val="008129C3"/>
    <w:rsid w:val="00812F51"/>
    <w:rsid w:val="008135D5"/>
    <w:rsid w:val="00813D5E"/>
    <w:rsid w:val="00815432"/>
    <w:rsid w:val="008154A5"/>
    <w:rsid w:val="00815BFA"/>
    <w:rsid w:val="00815F78"/>
    <w:rsid w:val="00820328"/>
    <w:rsid w:val="008205BE"/>
    <w:rsid w:val="00820D38"/>
    <w:rsid w:val="00821ED7"/>
    <w:rsid w:val="00822F52"/>
    <w:rsid w:val="00822F88"/>
    <w:rsid w:val="0082347E"/>
    <w:rsid w:val="00823483"/>
    <w:rsid w:val="00823A34"/>
    <w:rsid w:val="00823E19"/>
    <w:rsid w:val="008246AF"/>
    <w:rsid w:val="00824DEC"/>
    <w:rsid w:val="00824FB1"/>
    <w:rsid w:val="00825030"/>
    <w:rsid w:val="008250DF"/>
    <w:rsid w:val="00825320"/>
    <w:rsid w:val="00825DAE"/>
    <w:rsid w:val="00826051"/>
    <w:rsid w:val="00826E99"/>
    <w:rsid w:val="00827B6A"/>
    <w:rsid w:val="008308C6"/>
    <w:rsid w:val="00830B3E"/>
    <w:rsid w:val="00831622"/>
    <w:rsid w:val="008318CE"/>
    <w:rsid w:val="00831A84"/>
    <w:rsid w:val="00832710"/>
    <w:rsid w:val="00833518"/>
    <w:rsid w:val="00833A96"/>
    <w:rsid w:val="00833DED"/>
    <w:rsid w:val="0083403B"/>
    <w:rsid w:val="008345A1"/>
    <w:rsid w:val="00834F02"/>
    <w:rsid w:val="0083548C"/>
    <w:rsid w:val="0083602B"/>
    <w:rsid w:val="00837222"/>
    <w:rsid w:val="0083790B"/>
    <w:rsid w:val="00840F87"/>
    <w:rsid w:val="008425A7"/>
    <w:rsid w:val="00842EC3"/>
    <w:rsid w:val="008433F9"/>
    <w:rsid w:val="00843A0C"/>
    <w:rsid w:val="00844738"/>
    <w:rsid w:val="008455E4"/>
    <w:rsid w:val="008457BB"/>
    <w:rsid w:val="008462B6"/>
    <w:rsid w:val="00846AA2"/>
    <w:rsid w:val="00846BAD"/>
    <w:rsid w:val="008477A4"/>
    <w:rsid w:val="00847C0F"/>
    <w:rsid w:val="008506A0"/>
    <w:rsid w:val="00850AF5"/>
    <w:rsid w:val="00850BC8"/>
    <w:rsid w:val="00851C9F"/>
    <w:rsid w:val="00851ED3"/>
    <w:rsid w:val="008531D0"/>
    <w:rsid w:val="0085383B"/>
    <w:rsid w:val="008539EE"/>
    <w:rsid w:val="00854097"/>
    <w:rsid w:val="00854AEE"/>
    <w:rsid w:val="00854BEE"/>
    <w:rsid w:val="00854FD4"/>
    <w:rsid w:val="008558D5"/>
    <w:rsid w:val="00855D20"/>
    <w:rsid w:val="00856286"/>
    <w:rsid w:val="00857072"/>
    <w:rsid w:val="0085726F"/>
    <w:rsid w:val="008572D8"/>
    <w:rsid w:val="00857D94"/>
    <w:rsid w:val="0086111B"/>
    <w:rsid w:val="0086131D"/>
    <w:rsid w:val="0086226D"/>
    <w:rsid w:val="008625DB"/>
    <w:rsid w:val="00862D2E"/>
    <w:rsid w:val="00863DB4"/>
    <w:rsid w:val="00865CF4"/>
    <w:rsid w:val="00865D4B"/>
    <w:rsid w:val="00866B7E"/>
    <w:rsid w:val="00866EDA"/>
    <w:rsid w:val="0086734C"/>
    <w:rsid w:val="00867D30"/>
    <w:rsid w:val="00867F87"/>
    <w:rsid w:val="00870BDD"/>
    <w:rsid w:val="00870CD2"/>
    <w:rsid w:val="00870DA0"/>
    <w:rsid w:val="00872134"/>
    <w:rsid w:val="00872310"/>
    <w:rsid w:val="008726DF"/>
    <w:rsid w:val="00872A6E"/>
    <w:rsid w:val="00872E9B"/>
    <w:rsid w:val="0087339B"/>
    <w:rsid w:val="008735E4"/>
    <w:rsid w:val="00874AC3"/>
    <w:rsid w:val="00874DAC"/>
    <w:rsid w:val="00875E5D"/>
    <w:rsid w:val="00875F64"/>
    <w:rsid w:val="00877392"/>
    <w:rsid w:val="00881170"/>
    <w:rsid w:val="008813A5"/>
    <w:rsid w:val="008813DC"/>
    <w:rsid w:val="00881709"/>
    <w:rsid w:val="00883611"/>
    <w:rsid w:val="00884295"/>
    <w:rsid w:val="008843CD"/>
    <w:rsid w:val="0088443A"/>
    <w:rsid w:val="008845A2"/>
    <w:rsid w:val="00884C02"/>
    <w:rsid w:val="00884C23"/>
    <w:rsid w:val="00885272"/>
    <w:rsid w:val="00885395"/>
    <w:rsid w:val="00885548"/>
    <w:rsid w:val="00885638"/>
    <w:rsid w:val="00885993"/>
    <w:rsid w:val="00885A07"/>
    <w:rsid w:val="00885C65"/>
    <w:rsid w:val="008860C8"/>
    <w:rsid w:val="0089027D"/>
    <w:rsid w:val="008902E0"/>
    <w:rsid w:val="008915C2"/>
    <w:rsid w:val="00891B06"/>
    <w:rsid w:val="00893797"/>
    <w:rsid w:val="00894244"/>
    <w:rsid w:val="008948B8"/>
    <w:rsid w:val="00894A7E"/>
    <w:rsid w:val="008952F2"/>
    <w:rsid w:val="00895A87"/>
    <w:rsid w:val="0089646B"/>
    <w:rsid w:val="0089666C"/>
    <w:rsid w:val="0089798B"/>
    <w:rsid w:val="00897F52"/>
    <w:rsid w:val="008A008F"/>
    <w:rsid w:val="008A024A"/>
    <w:rsid w:val="008A1496"/>
    <w:rsid w:val="008A2A10"/>
    <w:rsid w:val="008A2D58"/>
    <w:rsid w:val="008A4C2F"/>
    <w:rsid w:val="008A5403"/>
    <w:rsid w:val="008A5FC2"/>
    <w:rsid w:val="008A62B4"/>
    <w:rsid w:val="008A63E9"/>
    <w:rsid w:val="008A6B14"/>
    <w:rsid w:val="008A6CBB"/>
    <w:rsid w:val="008A777A"/>
    <w:rsid w:val="008A781E"/>
    <w:rsid w:val="008A7881"/>
    <w:rsid w:val="008B0191"/>
    <w:rsid w:val="008B0538"/>
    <w:rsid w:val="008B1595"/>
    <w:rsid w:val="008B1698"/>
    <w:rsid w:val="008B17FD"/>
    <w:rsid w:val="008B1AB9"/>
    <w:rsid w:val="008B2132"/>
    <w:rsid w:val="008B214E"/>
    <w:rsid w:val="008B2A8B"/>
    <w:rsid w:val="008B324F"/>
    <w:rsid w:val="008B3988"/>
    <w:rsid w:val="008B61CF"/>
    <w:rsid w:val="008B6A54"/>
    <w:rsid w:val="008B6AE5"/>
    <w:rsid w:val="008B723A"/>
    <w:rsid w:val="008B7985"/>
    <w:rsid w:val="008C0BDA"/>
    <w:rsid w:val="008C1582"/>
    <w:rsid w:val="008C1A2A"/>
    <w:rsid w:val="008C2809"/>
    <w:rsid w:val="008C2FDA"/>
    <w:rsid w:val="008C313E"/>
    <w:rsid w:val="008C413B"/>
    <w:rsid w:val="008C4251"/>
    <w:rsid w:val="008C473D"/>
    <w:rsid w:val="008C4990"/>
    <w:rsid w:val="008C56FD"/>
    <w:rsid w:val="008C5E5C"/>
    <w:rsid w:val="008C74D0"/>
    <w:rsid w:val="008C7FF2"/>
    <w:rsid w:val="008D1904"/>
    <w:rsid w:val="008D1C6B"/>
    <w:rsid w:val="008D1DC8"/>
    <w:rsid w:val="008D22D5"/>
    <w:rsid w:val="008D31F8"/>
    <w:rsid w:val="008D34C7"/>
    <w:rsid w:val="008D47F4"/>
    <w:rsid w:val="008D4D58"/>
    <w:rsid w:val="008D576B"/>
    <w:rsid w:val="008D59B7"/>
    <w:rsid w:val="008D646B"/>
    <w:rsid w:val="008D6F85"/>
    <w:rsid w:val="008D7353"/>
    <w:rsid w:val="008D73FA"/>
    <w:rsid w:val="008D7F96"/>
    <w:rsid w:val="008E00CE"/>
    <w:rsid w:val="008E0972"/>
    <w:rsid w:val="008E178D"/>
    <w:rsid w:val="008E1E6C"/>
    <w:rsid w:val="008E2F1B"/>
    <w:rsid w:val="008E31B9"/>
    <w:rsid w:val="008E3D2C"/>
    <w:rsid w:val="008E4140"/>
    <w:rsid w:val="008E4A7D"/>
    <w:rsid w:val="008E578D"/>
    <w:rsid w:val="008E622D"/>
    <w:rsid w:val="008E6823"/>
    <w:rsid w:val="008E6BE7"/>
    <w:rsid w:val="008E6D94"/>
    <w:rsid w:val="008E6E35"/>
    <w:rsid w:val="008E74D1"/>
    <w:rsid w:val="008E7DB0"/>
    <w:rsid w:val="008E7F07"/>
    <w:rsid w:val="008F0D04"/>
    <w:rsid w:val="008F37CE"/>
    <w:rsid w:val="008F4853"/>
    <w:rsid w:val="008F49A8"/>
    <w:rsid w:val="008F49D2"/>
    <w:rsid w:val="008F5321"/>
    <w:rsid w:val="008F5D2A"/>
    <w:rsid w:val="008F603A"/>
    <w:rsid w:val="0090017E"/>
    <w:rsid w:val="00900982"/>
    <w:rsid w:val="0090111E"/>
    <w:rsid w:val="009018A6"/>
    <w:rsid w:val="00901F6D"/>
    <w:rsid w:val="009024DC"/>
    <w:rsid w:val="00902FB3"/>
    <w:rsid w:val="009035FB"/>
    <w:rsid w:val="00903D96"/>
    <w:rsid w:val="00903DC0"/>
    <w:rsid w:val="00904196"/>
    <w:rsid w:val="009042DD"/>
    <w:rsid w:val="00904455"/>
    <w:rsid w:val="0090458D"/>
    <w:rsid w:val="00905295"/>
    <w:rsid w:val="00905600"/>
    <w:rsid w:val="0090615C"/>
    <w:rsid w:val="0090668F"/>
    <w:rsid w:val="00906B96"/>
    <w:rsid w:val="0090749C"/>
    <w:rsid w:val="00907D9F"/>
    <w:rsid w:val="00910191"/>
    <w:rsid w:val="00911DA8"/>
    <w:rsid w:val="00911ECC"/>
    <w:rsid w:val="009127A7"/>
    <w:rsid w:val="00913A13"/>
    <w:rsid w:val="00914B12"/>
    <w:rsid w:val="00915266"/>
    <w:rsid w:val="00915537"/>
    <w:rsid w:val="00915F7C"/>
    <w:rsid w:val="00916438"/>
    <w:rsid w:val="009164F2"/>
    <w:rsid w:val="0091679F"/>
    <w:rsid w:val="00917A5B"/>
    <w:rsid w:val="00920009"/>
    <w:rsid w:val="009225CD"/>
    <w:rsid w:val="009226A1"/>
    <w:rsid w:val="00923FC0"/>
    <w:rsid w:val="0092637A"/>
    <w:rsid w:val="00926679"/>
    <w:rsid w:val="00926F25"/>
    <w:rsid w:val="009273F4"/>
    <w:rsid w:val="0092744C"/>
    <w:rsid w:val="00927547"/>
    <w:rsid w:val="009277B8"/>
    <w:rsid w:val="00930CA2"/>
    <w:rsid w:val="00932966"/>
    <w:rsid w:val="00932BFF"/>
    <w:rsid w:val="00932CDF"/>
    <w:rsid w:val="00932CF1"/>
    <w:rsid w:val="00933DB1"/>
    <w:rsid w:val="00933DD1"/>
    <w:rsid w:val="00933FAE"/>
    <w:rsid w:val="0093400D"/>
    <w:rsid w:val="00934397"/>
    <w:rsid w:val="00935023"/>
    <w:rsid w:val="00935E57"/>
    <w:rsid w:val="009371EA"/>
    <w:rsid w:val="00940AE2"/>
    <w:rsid w:val="009411FE"/>
    <w:rsid w:val="00941280"/>
    <w:rsid w:val="00941944"/>
    <w:rsid w:val="00941AB0"/>
    <w:rsid w:val="009427B9"/>
    <w:rsid w:val="00942C2F"/>
    <w:rsid w:val="00943FA4"/>
    <w:rsid w:val="00944574"/>
    <w:rsid w:val="009447C0"/>
    <w:rsid w:val="009457D5"/>
    <w:rsid w:val="00945840"/>
    <w:rsid w:val="00946768"/>
    <w:rsid w:val="00946FCD"/>
    <w:rsid w:val="009475C4"/>
    <w:rsid w:val="00947E90"/>
    <w:rsid w:val="0095113D"/>
    <w:rsid w:val="00951634"/>
    <w:rsid w:val="00952100"/>
    <w:rsid w:val="009521A9"/>
    <w:rsid w:val="00952BD4"/>
    <w:rsid w:val="00952DE4"/>
    <w:rsid w:val="009530C1"/>
    <w:rsid w:val="009531ED"/>
    <w:rsid w:val="009533B5"/>
    <w:rsid w:val="009534C7"/>
    <w:rsid w:val="009544D9"/>
    <w:rsid w:val="00954641"/>
    <w:rsid w:val="0095469B"/>
    <w:rsid w:val="00954CEA"/>
    <w:rsid w:val="009553FA"/>
    <w:rsid w:val="00955A51"/>
    <w:rsid w:val="00955F0A"/>
    <w:rsid w:val="0095629A"/>
    <w:rsid w:val="009563D0"/>
    <w:rsid w:val="00957737"/>
    <w:rsid w:val="009578D6"/>
    <w:rsid w:val="00957F25"/>
    <w:rsid w:val="00960321"/>
    <w:rsid w:val="00961505"/>
    <w:rsid w:val="00961770"/>
    <w:rsid w:val="009634D9"/>
    <w:rsid w:val="009649D3"/>
    <w:rsid w:val="00964AC4"/>
    <w:rsid w:val="00965EBE"/>
    <w:rsid w:val="00966145"/>
    <w:rsid w:val="00966532"/>
    <w:rsid w:val="0096687B"/>
    <w:rsid w:val="00966C13"/>
    <w:rsid w:val="00966F8E"/>
    <w:rsid w:val="00967336"/>
    <w:rsid w:val="009700FA"/>
    <w:rsid w:val="00970D46"/>
    <w:rsid w:val="009711ED"/>
    <w:rsid w:val="00971481"/>
    <w:rsid w:val="00971CF8"/>
    <w:rsid w:val="00971E17"/>
    <w:rsid w:val="0097335B"/>
    <w:rsid w:val="00973490"/>
    <w:rsid w:val="00973FC6"/>
    <w:rsid w:val="00974578"/>
    <w:rsid w:val="00974605"/>
    <w:rsid w:val="009747C8"/>
    <w:rsid w:val="00974A56"/>
    <w:rsid w:val="00975E16"/>
    <w:rsid w:val="00976725"/>
    <w:rsid w:val="00976938"/>
    <w:rsid w:val="00976E59"/>
    <w:rsid w:val="009774F1"/>
    <w:rsid w:val="00977AC5"/>
    <w:rsid w:val="00980B74"/>
    <w:rsid w:val="00981677"/>
    <w:rsid w:val="00981B53"/>
    <w:rsid w:val="00981D28"/>
    <w:rsid w:val="00982B8F"/>
    <w:rsid w:val="00982DA0"/>
    <w:rsid w:val="00982E51"/>
    <w:rsid w:val="0098557C"/>
    <w:rsid w:val="009863AD"/>
    <w:rsid w:val="0098779A"/>
    <w:rsid w:val="009910C3"/>
    <w:rsid w:val="00991178"/>
    <w:rsid w:val="00992098"/>
    <w:rsid w:val="0099241B"/>
    <w:rsid w:val="00992CB7"/>
    <w:rsid w:val="00993343"/>
    <w:rsid w:val="00995301"/>
    <w:rsid w:val="00995646"/>
    <w:rsid w:val="009958F9"/>
    <w:rsid w:val="009964A1"/>
    <w:rsid w:val="0099679F"/>
    <w:rsid w:val="0099684E"/>
    <w:rsid w:val="00996CD0"/>
    <w:rsid w:val="00996D09"/>
    <w:rsid w:val="00997CA1"/>
    <w:rsid w:val="009A1026"/>
    <w:rsid w:val="009A143D"/>
    <w:rsid w:val="009A24A4"/>
    <w:rsid w:val="009A2B8F"/>
    <w:rsid w:val="009A378A"/>
    <w:rsid w:val="009A45ED"/>
    <w:rsid w:val="009A4B52"/>
    <w:rsid w:val="009A4FD1"/>
    <w:rsid w:val="009A515E"/>
    <w:rsid w:val="009A55BB"/>
    <w:rsid w:val="009A6F18"/>
    <w:rsid w:val="009A7394"/>
    <w:rsid w:val="009A7A8E"/>
    <w:rsid w:val="009A7CA1"/>
    <w:rsid w:val="009B0C86"/>
    <w:rsid w:val="009B201A"/>
    <w:rsid w:val="009B3853"/>
    <w:rsid w:val="009B397D"/>
    <w:rsid w:val="009B41B2"/>
    <w:rsid w:val="009B4787"/>
    <w:rsid w:val="009B58CC"/>
    <w:rsid w:val="009B5DE2"/>
    <w:rsid w:val="009B6764"/>
    <w:rsid w:val="009B6A3C"/>
    <w:rsid w:val="009B798E"/>
    <w:rsid w:val="009C009B"/>
    <w:rsid w:val="009C0E58"/>
    <w:rsid w:val="009C3193"/>
    <w:rsid w:val="009C35DF"/>
    <w:rsid w:val="009C41D8"/>
    <w:rsid w:val="009C4481"/>
    <w:rsid w:val="009C47F8"/>
    <w:rsid w:val="009C4FFB"/>
    <w:rsid w:val="009C7865"/>
    <w:rsid w:val="009D06B2"/>
    <w:rsid w:val="009D080B"/>
    <w:rsid w:val="009D143B"/>
    <w:rsid w:val="009D1AB1"/>
    <w:rsid w:val="009D22B7"/>
    <w:rsid w:val="009D2897"/>
    <w:rsid w:val="009D3874"/>
    <w:rsid w:val="009D4C9B"/>
    <w:rsid w:val="009D4FDF"/>
    <w:rsid w:val="009D6F1B"/>
    <w:rsid w:val="009D7046"/>
    <w:rsid w:val="009D70E4"/>
    <w:rsid w:val="009E0F51"/>
    <w:rsid w:val="009E102C"/>
    <w:rsid w:val="009E1233"/>
    <w:rsid w:val="009E244D"/>
    <w:rsid w:val="009E29AE"/>
    <w:rsid w:val="009E3690"/>
    <w:rsid w:val="009E43B5"/>
    <w:rsid w:val="009E56D2"/>
    <w:rsid w:val="009E5E2E"/>
    <w:rsid w:val="009E60E2"/>
    <w:rsid w:val="009E6981"/>
    <w:rsid w:val="009E6FFF"/>
    <w:rsid w:val="009E7119"/>
    <w:rsid w:val="009E7B04"/>
    <w:rsid w:val="009F0006"/>
    <w:rsid w:val="009F0075"/>
    <w:rsid w:val="009F01A0"/>
    <w:rsid w:val="009F119B"/>
    <w:rsid w:val="009F1C47"/>
    <w:rsid w:val="009F2DB0"/>
    <w:rsid w:val="009F3C3B"/>
    <w:rsid w:val="009F412D"/>
    <w:rsid w:val="009F43DF"/>
    <w:rsid w:val="009F4E02"/>
    <w:rsid w:val="009F551B"/>
    <w:rsid w:val="009F586B"/>
    <w:rsid w:val="009F716C"/>
    <w:rsid w:val="009F730C"/>
    <w:rsid w:val="00A000F7"/>
    <w:rsid w:val="00A002C8"/>
    <w:rsid w:val="00A00621"/>
    <w:rsid w:val="00A01497"/>
    <w:rsid w:val="00A01546"/>
    <w:rsid w:val="00A018B5"/>
    <w:rsid w:val="00A02745"/>
    <w:rsid w:val="00A02C98"/>
    <w:rsid w:val="00A03AF6"/>
    <w:rsid w:val="00A03D09"/>
    <w:rsid w:val="00A03D19"/>
    <w:rsid w:val="00A0441B"/>
    <w:rsid w:val="00A0473E"/>
    <w:rsid w:val="00A04E36"/>
    <w:rsid w:val="00A05229"/>
    <w:rsid w:val="00A0524A"/>
    <w:rsid w:val="00A054AD"/>
    <w:rsid w:val="00A057C0"/>
    <w:rsid w:val="00A05E72"/>
    <w:rsid w:val="00A0663B"/>
    <w:rsid w:val="00A069E9"/>
    <w:rsid w:val="00A07126"/>
    <w:rsid w:val="00A074E8"/>
    <w:rsid w:val="00A07949"/>
    <w:rsid w:val="00A07A78"/>
    <w:rsid w:val="00A10B99"/>
    <w:rsid w:val="00A10CFE"/>
    <w:rsid w:val="00A10D04"/>
    <w:rsid w:val="00A124F6"/>
    <w:rsid w:val="00A12DFB"/>
    <w:rsid w:val="00A13D43"/>
    <w:rsid w:val="00A14089"/>
    <w:rsid w:val="00A1424A"/>
    <w:rsid w:val="00A146CB"/>
    <w:rsid w:val="00A14A23"/>
    <w:rsid w:val="00A14EB0"/>
    <w:rsid w:val="00A15FB7"/>
    <w:rsid w:val="00A16E32"/>
    <w:rsid w:val="00A1712A"/>
    <w:rsid w:val="00A173C4"/>
    <w:rsid w:val="00A206FB"/>
    <w:rsid w:val="00A21288"/>
    <w:rsid w:val="00A21DEF"/>
    <w:rsid w:val="00A21F92"/>
    <w:rsid w:val="00A22F78"/>
    <w:rsid w:val="00A23275"/>
    <w:rsid w:val="00A23F08"/>
    <w:rsid w:val="00A24488"/>
    <w:rsid w:val="00A252AA"/>
    <w:rsid w:val="00A2636A"/>
    <w:rsid w:val="00A2683A"/>
    <w:rsid w:val="00A26954"/>
    <w:rsid w:val="00A2717E"/>
    <w:rsid w:val="00A27A8C"/>
    <w:rsid w:val="00A27CA8"/>
    <w:rsid w:val="00A27E8E"/>
    <w:rsid w:val="00A30A1D"/>
    <w:rsid w:val="00A32618"/>
    <w:rsid w:val="00A329DE"/>
    <w:rsid w:val="00A32BEA"/>
    <w:rsid w:val="00A33259"/>
    <w:rsid w:val="00A3358B"/>
    <w:rsid w:val="00A35B4F"/>
    <w:rsid w:val="00A35E30"/>
    <w:rsid w:val="00A361F4"/>
    <w:rsid w:val="00A373BC"/>
    <w:rsid w:val="00A3787D"/>
    <w:rsid w:val="00A40E1A"/>
    <w:rsid w:val="00A40F1A"/>
    <w:rsid w:val="00A412C5"/>
    <w:rsid w:val="00A41C48"/>
    <w:rsid w:val="00A41ECE"/>
    <w:rsid w:val="00A43448"/>
    <w:rsid w:val="00A439C8"/>
    <w:rsid w:val="00A45F3D"/>
    <w:rsid w:val="00A4697C"/>
    <w:rsid w:val="00A46D66"/>
    <w:rsid w:val="00A476E9"/>
    <w:rsid w:val="00A47960"/>
    <w:rsid w:val="00A47BBF"/>
    <w:rsid w:val="00A50574"/>
    <w:rsid w:val="00A507CF"/>
    <w:rsid w:val="00A50A74"/>
    <w:rsid w:val="00A50E71"/>
    <w:rsid w:val="00A51014"/>
    <w:rsid w:val="00A52145"/>
    <w:rsid w:val="00A52D8D"/>
    <w:rsid w:val="00A53CCC"/>
    <w:rsid w:val="00A53F0C"/>
    <w:rsid w:val="00A54EA4"/>
    <w:rsid w:val="00A555C5"/>
    <w:rsid w:val="00A56041"/>
    <w:rsid w:val="00A561C4"/>
    <w:rsid w:val="00A571CA"/>
    <w:rsid w:val="00A572E4"/>
    <w:rsid w:val="00A57668"/>
    <w:rsid w:val="00A57A4F"/>
    <w:rsid w:val="00A6077D"/>
    <w:rsid w:val="00A6095E"/>
    <w:rsid w:val="00A60A09"/>
    <w:rsid w:val="00A60D4E"/>
    <w:rsid w:val="00A612FC"/>
    <w:rsid w:val="00A615A5"/>
    <w:rsid w:val="00A62154"/>
    <w:rsid w:val="00A62C93"/>
    <w:rsid w:val="00A630F6"/>
    <w:rsid w:val="00A6342C"/>
    <w:rsid w:val="00A63BE5"/>
    <w:rsid w:val="00A63DA6"/>
    <w:rsid w:val="00A657CD"/>
    <w:rsid w:val="00A6583D"/>
    <w:rsid w:val="00A65E04"/>
    <w:rsid w:val="00A66481"/>
    <w:rsid w:val="00A664A4"/>
    <w:rsid w:val="00A66594"/>
    <w:rsid w:val="00A66934"/>
    <w:rsid w:val="00A67097"/>
    <w:rsid w:val="00A67980"/>
    <w:rsid w:val="00A70C00"/>
    <w:rsid w:val="00A70CAC"/>
    <w:rsid w:val="00A713D4"/>
    <w:rsid w:val="00A7236A"/>
    <w:rsid w:val="00A7302A"/>
    <w:rsid w:val="00A74C9C"/>
    <w:rsid w:val="00A752A4"/>
    <w:rsid w:val="00A753CA"/>
    <w:rsid w:val="00A75C31"/>
    <w:rsid w:val="00A77312"/>
    <w:rsid w:val="00A77ED7"/>
    <w:rsid w:val="00A806F4"/>
    <w:rsid w:val="00A80790"/>
    <w:rsid w:val="00A80FBC"/>
    <w:rsid w:val="00A816E0"/>
    <w:rsid w:val="00A829CD"/>
    <w:rsid w:val="00A83558"/>
    <w:rsid w:val="00A845A3"/>
    <w:rsid w:val="00A84E19"/>
    <w:rsid w:val="00A85297"/>
    <w:rsid w:val="00A86680"/>
    <w:rsid w:val="00A8756C"/>
    <w:rsid w:val="00A9024B"/>
    <w:rsid w:val="00A9052D"/>
    <w:rsid w:val="00A90FCE"/>
    <w:rsid w:val="00A916CD"/>
    <w:rsid w:val="00A92845"/>
    <w:rsid w:val="00A92FEA"/>
    <w:rsid w:val="00A934B9"/>
    <w:rsid w:val="00A941EC"/>
    <w:rsid w:val="00A94FD5"/>
    <w:rsid w:val="00A963CE"/>
    <w:rsid w:val="00A964A7"/>
    <w:rsid w:val="00A973AC"/>
    <w:rsid w:val="00A97B69"/>
    <w:rsid w:val="00AA0748"/>
    <w:rsid w:val="00AA1950"/>
    <w:rsid w:val="00AA19CC"/>
    <w:rsid w:val="00AA19E4"/>
    <w:rsid w:val="00AA261D"/>
    <w:rsid w:val="00AA3F43"/>
    <w:rsid w:val="00AA575A"/>
    <w:rsid w:val="00AA57F3"/>
    <w:rsid w:val="00AA6C26"/>
    <w:rsid w:val="00AA7734"/>
    <w:rsid w:val="00AA78C6"/>
    <w:rsid w:val="00AB03AC"/>
    <w:rsid w:val="00AB04BE"/>
    <w:rsid w:val="00AB194B"/>
    <w:rsid w:val="00AB1C64"/>
    <w:rsid w:val="00AB2159"/>
    <w:rsid w:val="00AB2385"/>
    <w:rsid w:val="00AB2664"/>
    <w:rsid w:val="00AB3FBB"/>
    <w:rsid w:val="00AB6138"/>
    <w:rsid w:val="00AB6CBA"/>
    <w:rsid w:val="00AB7194"/>
    <w:rsid w:val="00AB7D9D"/>
    <w:rsid w:val="00AC0292"/>
    <w:rsid w:val="00AC194D"/>
    <w:rsid w:val="00AC2B11"/>
    <w:rsid w:val="00AC3E91"/>
    <w:rsid w:val="00AC4538"/>
    <w:rsid w:val="00AC5000"/>
    <w:rsid w:val="00AC5213"/>
    <w:rsid w:val="00AC5405"/>
    <w:rsid w:val="00AC5D12"/>
    <w:rsid w:val="00AC7351"/>
    <w:rsid w:val="00AC7764"/>
    <w:rsid w:val="00AC790B"/>
    <w:rsid w:val="00AD0629"/>
    <w:rsid w:val="00AD20C0"/>
    <w:rsid w:val="00AD371C"/>
    <w:rsid w:val="00AD37A2"/>
    <w:rsid w:val="00AD4431"/>
    <w:rsid w:val="00AD5519"/>
    <w:rsid w:val="00AD5BC2"/>
    <w:rsid w:val="00AD5CEA"/>
    <w:rsid w:val="00AD629F"/>
    <w:rsid w:val="00AD79F0"/>
    <w:rsid w:val="00AD7D0D"/>
    <w:rsid w:val="00AD7DAF"/>
    <w:rsid w:val="00AE0202"/>
    <w:rsid w:val="00AE03EF"/>
    <w:rsid w:val="00AE1041"/>
    <w:rsid w:val="00AE1E4E"/>
    <w:rsid w:val="00AE27FF"/>
    <w:rsid w:val="00AE297A"/>
    <w:rsid w:val="00AE2A2F"/>
    <w:rsid w:val="00AE4B76"/>
    <w:rsid w:val="00AE664F"/>
    <w:rsid w:val="00AE6972"/>
    <w:rsid w:val="00AE6DE9"/>
    <w:rsid w:val="00AE7831"/>
    <w:rsid w:val="00AE798A"/>
    <w:rsid w:val="00AF045E"/>
    <w:rsid w:val="00AF1012"/>
    <w:rsid w:val="00AF4B69"/>
    <w:rsid w:val="00AF4F7B"/>
    <w:rsid w:val="00AF5610"/>
    <w:rsid w:val="00AF700B"/>
    <w:rsid w:val="00B0056F"/>
    <w:rsid w:val="00B006F3"/>
    <w:rsid w:val="00B012E5"/>
    <w:rsid w:val="00B029C3"/>
    <w:rsid w:val="00B02B2F"/>
    <w:rsid w:val="00B03497"/>
    <w:rsid w:val="00B03537"/>
    <w:rsid w:val="00B03D4D"/>
    <w:rsid w:val="00B0463C"/>
    <w:rsid w:val="00B0464D"/>
    <w:rsid w:val="00B04799"/>
    <w:rsid w:val="00B052E9"/>
    <w:rsid w:val="00B059FC"/>
    <w:rsid w:val="00B05F34"/>
    <w:rsid w:val="00B060A6"/>
    <w:rsid w:val="00B065BF"/>
    <w:rsid w:val="00B065DA"/>
    <w:rsid w:val="00B06BCC"/>
    <w:rsid w:val="00B0733B"/>
    <w:rsid w:val="00B07CD1"/>
    <w:rsid w:val="00B07DA5"/>
    <w:rsid w:val="00B07F0D"/>
    <w:rsid w:val="00B07F20"/>
    <w:rsid w:val="00B113A4"/>
    <w:rsid w:val="00B11F7C"/>
    <w:rsid w:val="00B132D3"/>
    <w:rsid w:val="00B1479A"/>
    <w:rsid w:val="00B14C84"/>
    <w:rsid w:val="00B14D5E"/>
    <w:rsid w:val="00B150EF"/>
    <w:rsid w:val="00B160D2"/>
    <w:rsid w:val="00B173B0"/>
    <w:rsid w:val="00B2054A"/>
    <w:rsid w:val="00B2172B"/>
    <w:rsid w:val="00B22F4A"/>
    <w:rsid w:val="00B22F58"/>
    <w:rsid w:val="00B234A1"/>
    <w:rsid w:val="00B256CE"/>
    <w:rsid w:val="00B27CC3"/>
    <w:rsid w:val="00B303EE"/>
    <w:rsid w:val="00B3066A"/>
    <w:rsid w:val="00B31035"/>
    <w:rsid w:val="00B31285"/>
    <w:rsid w:val="00B31514"/>
    <w:rsid w:val="00B3176D"/>
    <w:rsid w:val="00B323B2"/>
    <w:rsid w:val="00B332BC"/>
    <w:rsid w:val="00B33552"/>
    <w:rsid w:val="00B33ADA"/>
    <w:rsid w:val="00B342A8"/>
    <w:rsid w:val="00B34FB2"/>
    <w:rsid w:val="00B368CD"/>
    <w:rsid w:val="00B36F12"/>
    <w:rsid w:val="00B37FC8"/>
    <w:rsid w:val="00B40D3E"/>
    <w:rsid w:val="00B40EE1"/>
    <w:rsid w:val="00B41031"/>
    <w:rsid w:val="00B41BAB"/>
    <w:rsid w:val="00B42B51"/>
    <w:rsid w:val="00B434A8"/>
    <w:rsid w:val="00B436CC"/>
    <w:rsid w:val="00B44A0F"/>
    <w:rsid w:val="00B44B46"/>
    <w:rsid w:val="00B462AF"/>
    <w:rsid w:val="00B46993"/>
    <w:rsid w:val="00B47A51"/>
    <w:rsid w:val="00B47EA8"/>
    <w:rsid w:val="00B511A8"/>
    <w:rsid w:val="00B51D90"/>
    <w:rsid w:val="00B53D94"/>
    <w:rsid w:val="00B54031"/>
    <w:rsid w:val="00B55E63"/>
    <w:rsid w:val="00B561A8"/>
    <w:rsid w:val="00B565DD"/>
    <w:rsid w:val="00B56781"/>
    <w:rsid w:val="00B5696C"/>
    <w:rsid w:val="00B57448"/>
    <w:rsid w:val="00B57EA6"/>
    <w:rsid w:val="00B60790"/>
    <w:rsid w:val="00B60DA2"/>
    <w:rsid w:val="00B60FCD"/>
    <w:rsid w:val="00B610DB"/>
    <w:rsid w:val="00B61E50"/>
    <w:rsid w:val="00B6218E"/>
    <w:rsid w:val="00B626B8"/>
    <w:rsid w:val="00B62F4C"/>
    <w:rsid w:val="00B63521"/>
    <w:rsid w:val="00B63618"/>
    <w:rsid w:val="00B63AB5"/>
    <w:rsid w:val="00B63DAA"/>
    <w:rsid w:val="00B65926"/>
    <w:rsid w:val="00B65D06"/>
    <w:rsid w:val="00B66033"/>
    <w:rsid w:val="00B663C0"/>
    <w:rsid w:val="00B66573"/>
    <w:rsid w:val="00B6664D"/>
    <w:rsid w:val="00B6673E"/>
    <w:rsid w:val="00B6701D"/>
    <w:rsid w:val="00B67754"/>
    <w:rsid w:val="00B6776E"/>
    <w:rsid w:val="00B67815"/>
    <w:rsid w:val="00B70C49"/>
    <w:rsid w:val="00B72DD7"/>
    <w:rsid w:val="00B73479"/>
    <w:rsid w:val="00B7386E"/>
    <w:rsid w:val="00B755A2"/>
    <w:rsid w:val="00B76AA2"/>
    <w:rsid w:val="00B76D72"/>
    <w:rsid w:val="00B772B9"/>
    <w:rsid w:val="00B774BF"/>
    <w:rsid w:val="00B8041B"/>
    <w:rsid w:val="00B810C3"/>
    <w:rsid w:val="00B8259F"/>
    <w:rsid w:val="00B831EA"/>
    <w:rsid w:val="00B83759"/>
    <w:rsid w:val="00B84122"/>
    <w:rsid w:val="00B84948"/>
    <w:rsid w:val="00B8686D"/>
    <w:rsid w:val="00B86C07"/>
    <w:rsid w:val="00B87E79"/>
    <w:rsid w:val="00B91139"/>
    <w:rsid w:val="00B9270E"/>
    <w:rsid w:val="00B92E10"/>
    <w:rsid w:val="00B93C08"/>
    <w:rsid w:val="00B94243"/>
    <w:rsid w:val="00B949FE"/>
    <w:rsid w:val="00B94A04"/>
    <w:rsid w:val="00B94CDF"/>
    <w:rsid w:val="00B95DF1"/>
    <w:rsid w:val="00BA0770"/>
    <w:rsid w:val="00BA1270"/>
    <w:rsid w:val="00BA1E78"/>
    <w:rsid w:val="00BA205A"/>
    <w:rsid w:val="00BA2462"/>
    <w:rsid w:val="00BA26C2"/>
    <w:rsid w:val="00BA38D9"/>
    <w:rsid w:val="00BA3ABC"/>
    <w:rsid w:val="00BA3CF6"/>
    <w:rsid w:val="00BA46E7"/>
    <w:rsid w:val="00BA493B"/>
    <w:rsid w:val="00BA5250"/>
    <w:rsid w:val="00BA5725"/>
    <w:rsid w:val="00BA62CD"/>
    <w:rsid w:val="00BA71DC"/>
    <w:rsid w:val="00BA78F5"/>
    <w:rsid w:val="00BA79E6"/>
    <w:rsid w:val="00BB0C3F"/>
    <w:rsid w:val="00BB1035"/>
    <w:rsid w:val="00BB14E0"/>
    <w:rsid w:val="00BB178A"/>
    <w:rsid w:val="00BB1B64"/>
    <w:rsid w:val="00BB40FB"/>
    <w:rsid w:val="00BB429F"/>
    <w:rsid w:val="00BB4A94"/>
    <w:rsid w:val="00BB4ED1"/>
    <w:rsid w:val="00BB534F"/>
    <w:rsid w:val="00BB675A"/>
    <w:rsid w:val="00BB6A6E"/>
    <w:rsid w:val="00BB7499"/>
    <w:rsid w:val="00BB797F"/>
    <w:rsid w:val="00BC14F7"/>
    <w:rsid w:val="00BC1750"/>
    <w:rsid w:val="00BC2E42"/>
    <w:rsid w:val="00BC3FF5"/>
    <w:rsid w:val="00BC44FD"/>
    <w:rsid w:val="00BC5798"/>
    <w:rsid w:val="00BC6A55"/>
    <w:rsid w:val="00BC6C02"/>
    <w:rsid w:val="00BC6CF5"/>
    <w:rsid w:val="00BC7237"/>
    <w:rsid w:val="00BC7365"/>
    <w:rsid w:val="00BC78DE"/>
    <w:rsid w:val="00BC794C"/>
    <w:rsid w:val="00BC7B1C"/>
    <w:rsid w:val="00BD0945"/>
    <w:rsid w:val="00BD094E"/>
    <w:rsid w:val="00BD1C9A"/>
    <w:rsid w:val="00BD2780"/>
    <w:rsid w:val="00BD2AE7"/>
    <w:rsid w:val="00BD2C94"/>
    <w:rsid w:val="00BD2F6B"/>
    <w:rsid w:val="00BD3DAB"/>
    <w:rsid w:val="00BD4B5B"/>
    <w:rsid w:val="00BD4E61"/>
    <w:rsid w:val="00BD5ADA"/>
    <w:rsid w:val="00BD6433"/>
    <w:rsid w:val="00BD6841"/>
    <w:rsid w:val="00BD6E7C"/>
    <w:rsid w:val="00BD7022"/>
    <w:rsid w:val="00BD7C56"/>
    <w:rsid w:val="00BE0E6E"/>
    <w:rsid w:val="00BE0E8E"/>
    <w:rsid w:val="00BE1196"/>
    <w:rsid w:val="00BE226F"/>
    <w:rsid w:val="00BE2639"/>
    <w:rsid w:val="00BE3034"/>
    <w:rsid w:val="00BE34A7"/>
    <w:rsid w:val="00BE3544"/>
    <w:rsid w:val="00BE3DD6"/>
    <w:rsid w:val="00BE44DF"/>
    <w:rsid w:val="00BE474D"/>
    <w:rsid w:val="00BE4F4D"/>
    <w:rsid w:val="00BE54A3"/>
    <w:rsid w:val="00BE5879"/>
    <w:rsid w:val="00BE66DE"/>
    <w:rsid w:val="00BE66EE"/>
    <w:rsid w:val="00BE7404"/>
    <w:rsid w:val="00BE7754"/>
    <w:rsid w:val="00BE7B8A"/>
    <w:rsid w:val="00BF00B2"/>
    <w:rsid w:val="00BF0258"/>
    <w:rsid w:val="00BF1A76"/>
    <w:rsid w:val="00BF1AC6"/>
    <w:rsid w:val="00BF1E9F"/>
    <w:rsid w:val="00BF2FA2"/>
    <w:rsid w:val="00BF308C"/>
    <w:rsid w:val="00BF3958"/>
    <w:rsid w:val="00BF55D6"/>
    <w:rsid w:val="00BF69CD"/>
    <w:rsid w:val="00BF6EA8"/>
    <w:rsid w:val="00BF71E7"/>
    <w:rsid w:val="00BF7903"/>
    <w:rsid w:val="00C00611"/>
    <w:rsid w:val="00C0182D"/>
    <w:rsid w:val="00C03038"/>
    <w:rsid w:val="00C030F3"/>
    <w:rsid w:val="00C03379"/>
    <w:rsid w:val="00C03699"/>
    <w:rsid w:val="00C05A4E"/>
    <w:rsid w:val="00C063D7"/>
    <w:rsid w:val="00C063E7"/>
    <w:rsid w:val="00C064A9"/>
    <w:rsid w:val="00C066FE"/>
    <w:rsid w:val="00C06AF6"/>
    <w:rsid w:val="00C06B2D"/>
    <w:rsid w:val="00C106A7"/>
    <w:rsid w:val="00C10AE5"/>
    <w:rsid w:val="00C121C6"/>
    <w:rsid w:val="00C12367"/>
    <w:rsid w:val="00C12583"/>
    <w:rsid w:val="00C12DC6"/>
    <w:rsid w:val="00C13BC2"/>
    <w:rsid w:val="00C13F45"/>
    <w:rsid w:val="00C14369"/>
    <w:rsid w:val="00C144CF"/>
    <w:rsid w:val="00C1470A"/>
    <w:rsid w:val="00C1555E"/>
    <w:rsid w:val="00C15ED5"/>
    <w:rsid w:val="00C161D2"/>
    <w:rsid w:val="00C170AB"/>
    <w:rsid w:val="00C17F14"/>
    <w:rsid w:val="00C20A77"/>
    <w:rsid w:val="00C20DE2"/>
    <w:rsid w:val="00C2233B"/>
    <w:rsid w:val="00C226A4"/>
    <w:rsid w:val="00C226D9"/>
    <w:rsid w:val="00C22A59"/>
    <w:rsid w:val="00C231A6"/>
    <w:rsid w:val="00C241EA"/>
    <w:rsid w:val="00C24251"/>
    <w:rsid w:val="00C24623"/>
    <w:rsid w:val="00C24BFF"/>
    <w:rsid w:val="00C251F0"/>
    <w:rsid w:val="00C26D24"/>
    <w:rsid w:val="00C2729E"/>
    <w:rsid w:val="00C27EA3"/>
    <w:rsid w:val="00C315A3"/>
    <w:rsid w:val="00C318E5"/>
    <w:rsid w:val="00C31A5C"/>
    <w:rsid w:val="00C326F6"/>
    <w:rsid w:val="00C33514"/>
    <w:rsid w:val="00C34443"/>
    <w:rsid w:val="00C34C89"/>
    <w:rsid w:val="00C34E23"/>
    <w:rsid w:val="00C362EE"/>
    <w:rsid w:val="00C36A0A"/>
    <w:rsid w:val="00C37FE7"/>
    <w:rsid w:val="00C40BC3"/>
    <w:rsid w:val="00C41731"/>
    <w:rsid w:val="00C4270F"/>
    <w:rsid w:val="00C4279C"/>
    <w:rsid w:val="00C42885"/>
    <w:rsid w:val="00C42DA1"/>
    <w:rsid w:val="00C439BC"/>
    <w:rsid w:val="00C43A20"/>
    <w:rsid w:val="00C44589"/>
    <w:rsid w:val="00C44E57"/>
    <w:rsid w:val="00C45200"/>
    <w:rsid w:val="00C453F1"/>
    <w:rsid w:val="00C47B61"/>
    <w:rsid w:val="00C5160B"/>
    <w:rsid w:val="00C51FC7"/>
    <w:rsid w:val="00C5229B"/>
    <w:rsid w:val="00C52682"/>
    <w:rsid w:val="00C53344"/>
    <w:rsid w:val="00C5373A"/>
    <w:rsid w:val="00C53CA7"/>
    <w:rsid w:val="00C54963"/>
    <w:rsid w:val="00C550F3"/>
    <w:rsid w:val="00C55106"/>
    <w:rsid w:val="00C55185"/>
    <w:rsid w:val="00C55EE5"/>
    <w:rsid w:val="00C60BC3"/>
    <w:rsid w:val="00C60F25"/>
    <w:rsid w:val="00C61CCE"/>
    <w:rsid w:val="00C61F83"/>
    <w:rsid w:val="00C62355"/>
    <w:rsid w:val="00C62B5D"/>
    <w:rsid w:val="00C634CA"/>
    <w:rsid w:val="00C63941"/>
    <w:rsid w:val="00C639C9"/>
    <w:rsid w:val="00C63BFC"/>
    <w:rsid w:val="00C64017"/>
    <w:rsid w:val="00C6481B"/>
    <w:rsid w:val="00C65A55"/>
    <w:rsid w:val="00C65CB2"/>
    <w:rsid w:val="00C65F1A"/>
    <w:rsid w:val="00C66E83"/>
    <w:rsid w:val="00C67101"/>
    <w:rsid w:val="00C716A8"/>
    <w:rsid w:val="00C720E8"/>
    <w:rsid w:val="00C724DF"/>
    <w:rsid w:val="00C72E1E"/>
    <w:rsid w:val="00C73AED"/>
    <w:rsid w:val="00C73C6F"/>
    <w:rsid w:val="00C73CB1"/>
    <w:rsid w:val="00C7449B"/>
    <w:rsid w:val="00C74A95"/>
    <w:rsid w:val="00C7543F"/>
    <w:rsid w:val="00C75D51"/>
    <w:rsid w:val="00C77607"/>
    <w:rsid w:val="00C77EFA"/>
    <w:rsid w:val="00C77F9E"/>
    <w:rsid w:val="00C800C8"/>
    <w:rsid w:val="00C806CB"/>
    <w:rsid w:val="00C80E71"/>
    <w:rsid w:val="00C81CF7"/>
    <w:rsid w:val="00C81DCA"/>
    <w:rsid w:val="00C824E8"/>
    <w:rsid w:val="00C82EA6"/>
    <w:rsid w:val="00C84288"/>
    <w:rsid w:val="00C84BEA"/>
    <w:rsid w:val="00C84D71"/>
    <w:rsid w:val="00C851FD"/>
    <w:rsid w:val="00C853CB"/>
    <w:rsid w:val="00C85929"/>
    <w:rsid w:val="00C90082"/>
    <w:rsid w:val="00C9028F"/>
    <w:rsid w:val="00C90573"/>
    <w:rsid w:val="00C92C4D"/>
    <w:rsid w:val="00C94DFB"/>
    <w:rsid w:val="00C95145"/>
    <w:rsid w:val="00C956A2"/>
    <w:rsid w:val="00C9669B"/>
    <w:rsid w:val="00C97D94"/>
    <w:rsid w:val="00CA01A3"/>
    <w:rsid w:val="00CA0DA9"/>
    <w:rsid w:val="00CA11B1"/>
    <w:rsid w:val="00CA136B"/>
    <w:rsid w:val="00CA148A"/>
    <w:rsid w:val="00CA1D5F"/>
    <w:rsid w:val="00CA39AE"/>
    <w:rsid w:val="00CA55CA"/>
    <w:rsid w:val="00CA694D"/>
    <w:rsid w:val="00CB03D9"/>
    <w:rsid w:val="00CB0438"/>
    <w:rsid w:val="00CB0936"/>
    <w:rsid w:val="00CB096C"/>
    <w:rsid w:val="00CB0A1D"/>
    <w:rsid w:val="00CB1598"/>
    <w:rsid w:val="00CB1D2A"/>
    <w:rsid w:val="00CB1F38"/>
    <w:rsid w:val="00CB1FAE"/>
    <w:rsid w:val="00CB2076"/>
    <w:rsid w:val="00CB20AB"/>
    <w:rsid w:val="00CB22FF"/>
    <w:rsid w:val="00CB25A9"/>
    <w:rsid w:val="00CB3CB2"/>
    <w:rsid w:val="00CB3D75"/>
    <w:rsid w:val="00CB4B87"/>
    <w:rsid w:val="00CB506D"/>
    <w:rsid w:val="00CB5A6A"/>
    <w:rsid w:val="00CB6B46"/>
    <w:rsid w:val="00CB6C1D"/>
    <w:rsid w:val="00CB6EE8"/>
    <w:rsid w:val="00CB7276"/>
    <w:rsid w:val="00CB7CB0"/>
    <w:rsid w:val="00CC00D9"/>
    <w:rsid w:val="00CC0AA2"/>
    <w:rsid w:val="00CC0AD5"/>
    <w:rsid w:val="00CC0D13"/>
    <w:rsid w:val="00CC0EB2"/>
    <w:rsid w:val="00CC265E"/>
    <w:rsid w:val="00CC2EBC"/>
    <w:rsid w:val="00CC3C83"/>
    <w:rsid w:val="00CC4856"/>
    <w:rsid w:val="00CC4C8D"/>
    <w:rsid w:val="00CC511F"/>
    <w:rsid w:val="00CC5251"/>
    <w:rsid w:val="00CC5502"/>
    <w:rsid w:val="00CC5618"/>
    <w:rsid w:val="00CC5C4E"/>
    <w:rsid w:val="00CC6A48"/>
    <w:rsid w:val="00CC77F9"/>
    <w:rsid w:val="00CC7E1A"/>
    <w:rsid w:val="00CD0289"/>
    <w:rsid w:val="00CD0493"/>
    <w:rsid w:val="00CD178A"/>
    <w:rsid w:val="00CD1BDF"/>
    <w:rsid w:val="00CD2C47"/>
    <w:rsid w:val="00CD2E3D"/>
    <w:rsid w:val="00CD3080"/>
    <w:rsid w:val="00CD30A8"/>
    <w:rsid w:val="00CD3592"/>
    <w:rsid w:val="00CD36A4"/>
    <w:rsid w:val="00CD3C47"/>
    <w:rsid w:val="00CD3F53"/>
    <w:rsid w:val="00CD46AA"/>
    <w:rsid w:val="00CD4804"/>
    <w:rsid w:val="00CD502D"/>
    <w:rsid w:val="00CD5D0D"/>
    <w:rsid w:val="00CD693C"/>
    <w:rsid w:val="00CD72C7"/>
    <w:rsid w:val="00CD78CA"/>
    <w:rsid w:val="00CD78D2"/>
    <w:rsid w:val="00CD7FC0"/>
    <w:rsid w:val="00CE011F"/>
    <w:rsid w:val="00CE01B3"/>
    <w:rsid w:val="00CE01B8"/>
    <w:rsid w:val="00CE0F67"/>
    <w:rsid w:val="00CE1054"/>
    <w:rsid w:val="00CE1102"/>
    <w:rsid w:val="00CE19C5"/>
    <w:rsid w:val="00CE2547"/>
    <w:rsid w:val="00CE2CE2"/>
    <w:rsid w:val="00CE3A87"/>
    <w:rsid w:val="00CE3D97"/>
    <w:rsid w:val="00CE5A20"/>
    <w:rsid w:val="00CE63C1"/>
    <w:rsid w:val="00CE69FE"/>
    <w:rsid w:val="00CE6A6F"/>
    <w:rsid w:val="00CE7255"/>
    <w:rsid w:val="00CE7553"/>
    <w:rsid w:val="00CF06B0"/>
    <w:rsid w:val="00CF1040"/>
    <w:rsid w:val="00CF24D6"/>
    <w:rsid w:val="00CF2C17"/>
    <w:rsid w:val="00CF3336"/>
    <w:rsid w:val="00CF40B9"/>
    <w:rsid w:val="00CF41E1"/>
    <w:rsid w:val="00CF4AD2"/>
    <w:rsid w:val="00CF5360"/>
    <w:rsid w:val="00CF639A"/>
    <w:rsid w:val="00CF6ABB"/>
    <w:rsid w:val="00CF6DBA"/>
    <w:rsid w:val="00CF73F5"/>
    <w:rsid w:val="00CF7AC9"/>
    <w:rsid w:val="00CF7B59"/>
    <w:rsid w:val="00CF7BCB"/>
    <w:rsid w:val="00D01BF6"/>
    <w:rsid w:val="00D01DCE"/>
    <w:rsid w:val="00D020B8"/>
    <w:rsid w:val="00D022E6"/>
    <w:rsid w:val="00D0294C"/>
    <w:rsid w:val="00D04226"/>
    <w:rsid w:val="00D04EC8"/>
    <w:rsid w:val="00D04ECC"/>
    <w:rsid w:val="00D057CB"/>
    <w:rsid w:val="00D05B56"/>
    <w:rsid w:val="00D06063"/>
    <w:rsid w:val="00D066B0"/>
    <w:rsid w:val="00D072CD"/>
    <w:rsid w:val="00D1022F"/>
    <w:rsid w:val="00D102AB"/>
    <w:rsid w:val="00D104E2"/>
    <w:rsid w:val="00D11873"/>
    <w:rsid w:val="00D11B55"/>
    <w:rsid w:val="00D11F46"/>
    <w:rsid w:val="00D124A6"/>
    <w:rsid w:val="00D127F4"/>
    <w:rsid w:val="00D1289C"/>
    <w:rsid w:val="00D12BAE"/>
    <w:rsid w:val="00D12BEE"/>
    <w:rsid w:val="00D130D6"/>
    <w:rsid w:val="00D13289"/>
    <w:rsid w:val="00D13598"/>
    <w:rsid w:val="00D13914"/>
    <w:rsid w:val="00D13AF5"/>
    <w:rsid w:val="00D14506"/>
    <w:rsid w:val="00D1576A"/>
    <w:rsid w:val="00D15A2A"/>
    <w:rsid w:val="00D15C3F"/>
    <w:rsid w:val="00D15C99"/>
    <w:rsid w:val="00D160E5"/>
    <w:rsid w:val="00D1679F"/>
    <w:rsid w:val="00D17185"/>
    <w:rsid w:val="00D171CB"/>
    <w:rsid w:val="00D17D24"/>
    <w:rsid w:val="00D17E1C"/>
    <w:rsid w:val="00D17F66"/>
    <w:rsid w:val="00D20168"/>
    <w:rsid w:val="00D207EA"/>
    <w:rsid w:val="00D2116B"/>
    <w:rsid w:val="00D217E9"/>
    <w:rsid w:val="00D22209"/>
    <w:rsid w:val="00D229B7"/>
    <w:rsid w:val="00D23688"/>
    <w:rsid w:val="00D23A27"/>
    <w:rsid w:val="00D23DFB"/>
    <w:rsid w:val="00D23ED0"/>
    <w:rsid w:val="00D247BA"/>
    <w:rsid w:val="00D250F1"/>
    <w:rsid w:val="00D25BB6"/>
    <w:rsid w:val="00D26A93"/>
    <w:rsid w:val="00D315F1"/>
    <w:rsid w:val="00D31736"/>
    <w:rsid w:val="00D319B9"/>
    <w:rsid w:val="00D32C9A"/>
    <w:rsid w:val="00D337CC"/>
    <w:rsid w:val="00D3423D"/>
    <w:rsid w:val="00D3456B"/>
    <w:rsid w:val="00D347A1"/>
    <w:rsid w:val="00D34DCB"/>
    <w:rsid w:val="00D34ED9"/>
    <w:rsid w:val="00D34F1B"/>
    <w:rsid w:val="00D3548C"/>
    <w:rsid w:val="00D35979"/>
    <w:rsid w:val="00D369D2"/>
    <w:rsid w:val="00D36A3A"/>
    <w:rsid w:val="00D36CAE"/>
    <w:rsid w:val="00D37195"/>
    <w:rsid w:val="00D37835"/>
    <w:rsid w:val="00D37E2B"/>
    <w:rsid w:val="00D40C96"/>
    <w:rsid w:val="00D41B8F"/>
    <w:rsid w:val="00D41BAC"/>
    <w:rsid w:val="00D42048"/>
    <w:rsid w:val="00D42B2B"/>
    <w:rsid w:val="00D4318D"/>
    <w:rsid w:val="00D431D9"/>
    <w:rsid w:val="00D438FC"/>
    <w:rsid w:val="00D43923"/>
    <w:rsid w:val="00D44327"/>
    <w:rsid w:val="00D459E2"/>
    <w:rsid w:val="00D45E10"/>
    <w:rsid w:val="00D4637A"/>
    <w:rsid w:val="00D46A9E"/>
    <w:rsid w:val="00D46F34"/>
    <w:rsid w:val="00D47AAA"/>
    <w:rsid w:val="00D501A4"/>
    <w:rsid w:val="00D50519"/>
    <w:rsid w:val="00D5058C"/>
    <w:rsid w:val="00D50E2D"/>
    <w:rsid w:val="00D51199"/>
    <w:rsid w:val="00D51C3C"/>
    <w:rsid w:val="00D51EC6"/>
    <w:rsid w:val="00D51EE5"/>
    <w:rsid w:val="00D526CC"/>
    <w:rsid w:val="00D52A39"/>
    <w:rsid w:val="00D55048"/>
    <w:rsid w:val="00D556A2"/>
    <w:rsid w:val="00D56591"/>
    <w:rsid w:val="00D57A44"/>
    <w:rsid w:val="00D57D55"/>
    <w:rsid w:val="00D57F61"/>
    <w:rsid w:val="00D614E1"/>
    <w:rsid w:val="00D615A7"/>
    <w:rsid w:val="00D61BFB"/>
    <w:rsid w:val="00D61DFB"/>
    <w:rsid w:val="00D62E1D"/>
    <w:rsid w:val="00D63092"/>
    <w:rsid w:val="00D644F8"/>
    <w:rsid w:val="00D6480B"/>
    <w:rsid w:val="00D649E4"/>
    <w:rsid w:val="00D64AA8"/>
    <w:rsid w:val="00D65D87"/>
    <w:rsid w:val="00D66086"/>
    <w:rsid w:val="00D67219"/>
    <w:rsid w:val="00D676C0"/>
    <w:rsid w:val="00D67766"/>
    <w:rsid w:val="00D67B12"/>
    <w:rsid w:val="00D706D8"/>
    <w:rsid w:val="00D70D24"/>
    <w:rsid w:val="00D71DEA"/>
    <w:rsid w:val="00D72EB3"/>
    <w:rsid w:val="00D738AA"/>
    <w:rsid w:val="00D73E6C"/>
    <w:rsid w:val="00D74481"/>
    <w:rsid w:val="00D74672"/>
    <w:rsid w:val="00D7471C"/>
    <w:rsid w:val="00D74A1C"/>
    <w:rsid w:val="00D74EDF"/>
    <w:rsid w:val="00D774C4"/>
    <w:rsid w:val="00D77D0A"/>
    <w:rsid w:val="00D806DC"/>
    <w:rsid w:val="00D809A5"/>
    <w:rsid w:val="00D81ECA"/>
    <w:rsid w:val="00D84472"/>
    <w:rsid w:val="00D851CD"/>
    <w:rsid w:val="00D86718"/>
    <w:rsid w:val="00D8687D"/>
    <w:rsid w:val="00D87F0C"/>
    <w:rsid w:val="00D9004B"/>
    <w:rsid w:val="00D908B5"/>
    <w:rsid w:val="00D91369"/>
    <w:rsid w:val="00D91C7F"/>
    <w:rsid w:val="00D9238D"/>
    <w:rsid w:val="00D923A3"/>
    <w:rsid w:val="00D9404D"/>
    <w:rsid w:val="00D94933"/>
    <w:rsid w:val="00D9507B"/>
    <w:rsid w:val="00D95216"/>
    <w:rsid w:val="00D95548"/>
    <w:rsid w:val="00D95EB7"/>
    <w:rsid w:val="00D967A2"/>
    <w:rsid w:val="00DA085F"/>
    <w:rsid w:val="00DA1A0F"/>
    <w:rsid w:val="00DA1A7D"/>
    <w:rsid w:val="00DA20F5"/>
    <w:rsid w:val="00DA36E2"/>
    <w:rsid w:val="00DA46C1"/>
    <w:rsid w:val="00DA4C50"/>
    <w:rsid w:val="00DA4F5B"/>
    <w:rsid w:val="00DA5C1D"/>
    <w:rsid w:val="00DA7D57"/>
    <w:rsid w:val="00DB04E3"/>
    <w:rsid w:val="00DB1B98"/>
    <w:rsid w:val="00DB1D28"/>
    <w:rsid w:val="00DB1F0E"/>
    <w:rsid w:val="00DB2089"/>
    <w:rsid w:val="00DB418E"/>
    <w:rsid w:val="00DB4823"/>
    <w:rsid w:val="00DB4F0D"/>
    <w:rsid w:val="00DB4F9E"/>
    <w:rsid w:val="00DB6078"/>
    <w:rsid w:val="00DB6310"/>
    <w:rsid w:val="00DB6C51"/>
    <w:rsid w:val="00DB6D90"/>
    <w:rsid w:val="00DB7655"/>
    <w:rsid w:val="00DB7BF3"/>
    <w:rsid w:val="00DB7C31"/>
    <w:rsid w:val="00DB7CB0"/>
    <w:rsid w:val="00DB7D61"/>
    <w:rsid w:val="00DB7F8F"/>
    <w:rsid w:val="00DC05EB"/>
    <w:rsid w:val="00DC120E"/>
    <w:rsid w:val="00DC1577"/>
    <w:rsid w:val="00DC1B4A"/>
    <w:rsid w:val="00DC2635"/>
    <w:rsid w:val="00DC3065"/>
    <w:rsid w:val="00DC3CE6"/>
    <w:rsid w:val="00DC431D"/>
    <w:rsid w:val="00DC523E"/>
    <w:rsid w:val="00DC53EE"/>
    <w:rsid w:val="00DC5D80"/>
    <w:rsid w:val="00DC62F0"/>
    <w:rsid w:val="00DC6CAE"/>
    <w:rsid w:val="00DC6E8D"/>
    <w:rsid w:val="00DC70C9"/>
    <w:rsid w:val="00DD0465"/>
    <w:rsid w:val="00DD182D"/>
    <w:rsid w:val="00DD1A22"/>
    <w:rsid w:val="00DD22B8"/>
    <w:rsid w:val="00DD2743"/>
    <w:rsid w:val="00DD3882"/>
    <w:rsid w:val="00DD51FC"/>
    <w:rsid w:val="00DD5844"/>
    <w:rsid w:val="00DD58AA"/>
    <w:rsid w:val="00DD65B1"/>
    <w:rsid w:val="00DD6E8E"/>
    <w:rsid w:val="00DD725D"/>
    <w:rsid w:val="00DE0051"/>
    <w:rsid w:val="00DE1831"/>
    <w:rsid w:val="00DE33A0"/>
    <w:rsid w:val="00DE437A"/>
    <w:rsid w:val="00DE43CA"/>
    <w:rsid w:val="00DE4FE1"/>
    <w:rsid w:val="00DE5A7B"/>
    <w:rsid w:val="00DE6624"/>
    <w:rsid w:val="00DE7106"/>
    <w:rsid w:val="00DE73B9"/>
    <w:rsid w:val="00DE75A9"/>
    <w:rsid w:val="00DF0A41"/>
    <w:rsid w:val="00DF0C82"/>
    <w:rsid w:val="00DF0DB4"/>
    <w:rsid w:val="00DF159B"/>
    <w:rsid w:val="00DF19ED"/>
    <w:rsid w:val="00DF1BF0"/>
    <w:rsid w:val="00DF23E1"/>
    <w:rsid w:val="00DF4962"/>
    <w:rsid w:val="00DF4E93"/>
    <w:rsid w:val="00DF5F92"/>
    <w:rsid w:val="00DF607E"/>
    <w:rsid w:val="00DF6D6F"/>
    <w:rsid w:val="00DF6FD4"/>
    <w:rsid w:val="00DF73A8"/>
    <w:rsid w:val="00DF7DD3"/>
    <w:rsid w:val="00E00262"/>
    <w:rsid w:val="00E003E9"/>
    <w:rsid w:val="00E01448"/>
    <w:rsid w:val="00E0242E"/>
    <w:rsid w:val="00E02843"/>
    <w:rsid w:val="00E02980"/>
    <w:rsid w:val="00E04D96"/>
    <w:rsid w:val="00E059F3"/>
    <w:rsid w:val="00E06100"/>
    <w:rsid w:val="00E072C6"/>
    <w:rsid w:val="00E0778E"/>
    <w:rsid w:val="00E077EB"/>
    <w:rsid w:val="00E0780C"/>
    <w:rsid w:val="00E07CEE"/>
    <w:rsid w:val="00E105EF"/>
    <w:rsid w:val="00E11DE5"/>
    <w:rsid w:val="00E125C7"/>
    <w:rsid w:val="00E13547"/>
    <w:rsid w:val="00E13757"/>
    <w:rsid w:val="00E13F3A"/>
    <w:rsid w:val="00E145E7"/>
    <w:rsid w:val="00E14905"/>
    <w:rsid w:val="00E158CC"/>
    <w:rsid w:val="00E17109"/>
    <w:rsid w:val="00E17B43"/>
    <w:rsid w:val="00E208ED"/>
    <w:rsid w:val="00E20AF4"/>
    <w:rsid w:val="00E21871"/>
    <w:rsid w:val="00E2350E"/>
    <w:rsid w:val="00E23B71"/>
    <w:rsid w:val="00E23DF8"/>
    <w:rsid w:val="00E23E3B"/>
    <w:rsid w:val="00E24169"/>
    <w:rsid w:val="00E242D6"/>
    <w:rsid w:val="00E2442B"/>
    <w:rsid w:val="00E25679"/>
    <w:rsid w:val="00E27BA4"/>
    <w:rsid w:val="00E3059F"/>
    <w:rsid w:val="00E305E1"/>
    <w:rsid w:val="00E306AE"/>
    <w:rsid w:val="00E30AAB"/>
    <w:rsid w:val="00E30DC5"/>
    <w:rsid w:val="00E3210E"/>
    <w:rsid w:val="00E3325C"/>
    <w:rsid w:val="00E33A84"/>
    <w:rsid w:val="00E34806"/>
    <w:rsid w:val="00E34826"/>
    <w:rsid w:val="00E34EA1"/>
    <w:rsid w:val="00E34F9A"/>
    <w:rsid w:val="00E35488"/>
    <w:rsid w:val="00E3566D"/>
    <w:rsid w:val="00E36FD8"/>
    <w:rsid w:val="00E4055D"/>
    <w:rsid w:val="00E4084E"/>
    <w:rsid w:val="00E41337"/>
    <w:rsid w:val="00E4287F"/>
    <w:rsid w:val="00E42D89"/>
    <w:rsid w:val="00E42D8C"/>
    <w:rsid w:val="00E434F0"/>
    <w:rsid w:val="00E450D8"/>
    <w:rsid w:val="00E46757"/>
    <w:rsid w:val="00E46A5D"/>
    <w:rsid w:val="00E47B75"/>
    <w:rsid w:val="00E51BBB"/>
    <w:rsid w:val="00E51DAF"/>
    <w:rsid w:val="00E52FFD"/>
    <w:rsid w:val="00E54777"/>
    <w:rsid w:val="00E5538F"/>
    <w:rsid w:val="00E57066"/>
    <w:rsid w:val="00E5721B"/>
    <w:rsid w:val="00E60D5E"/>
    <w:rsid w:val="00E62C5C"/>
    <w:rsid w:val="00E62F6D"/>
    <w:rsid w:val="00E633A6"/>
    <w:rsid w:val="00E634B8"/>
    <w:rsid w:val="00E64D12"/>
    <w:rsid w:val="00E65230"/>
    <w:rsid w:val="00E65FD9"/>
    <w:rsid w:val="00E66A4A"/>
    <w:rsid w:val="00E67900"/>
    <w:rsid w:val="00E70136"/>
    <w:rsid w:val="00E73E47"/>
    <w:rsid w:val="00E74116"/>
    <w:rsid w:val="00E7473E"/>
    <w:rsid w:val="00E74CF2"/>
    <w:rsid w:val="00E772C1"/>
    <w:rsid w:val="00E80A72"/>
    <w:rsid w:val="00E80D80"/>
    <w:rsid w:val="00E81351"/>
    <w:rsid w:val="00E82FAA"/>
    <w:rsid w:val="00E83EB3"/>
    <w:rsid w:val="00E83F46"/>
    <w:rsid w:val="00E855E2"/>
    <w:rsid w:val="00E85781"/>
    <w:rsid w:val="00E85E09"/>
    <w:rsid w:val="00E85EBC"/>
    <w:rsid w:val="00E86D95"/>
    <w:rsid w:val="00E87707"/>
    <w:rsid w:val="00E87F94"/>
    <w:rsid w:val="00E90438"/>
    <w:rsid w:val="00E90DE4"/>
    <w:rsid w:val="00E91BC3"/>
    <w:rsid w:val="00E92DB3"/>
    <w:rsid w:val="00E93A9D"/>
    <w:rsid w:val="00E93BA9"/>
    <w:rsid w:val="00E93C11"/>
    <w:rsid w:val="00E948DD"/>
    <w:rsid w:val="00E949AB"/>
    <w:rsid w:val="00E9583B"/>
    <w:rsid w:val="00E96720"/>
    <w:rsid w:val="00E96D2E"/>
    <w:rsid w:val="00E96F41"/>
    <w:rsid w:val="00E97B2A"/>
    <w:rsid w:val="00EA0F9D"/>
    <w:rsid w:val="00EA43C1"/>
    <w:rsid w:val="00EA46CB"/>
    <w:rsid w:val="00EA4CF8"/>
    <w:rsid w:val="00EA62ED"/>
    <w:rsid w:val="00EA66AC"/>
    <w:rsid w:val="00EA6772"/>
    <w:rsid w:val="00EB160C"/>
    <w:rsid w:val="00EB1A40"/>
    <w:rsid w:val="00EB1EE8"/>
    <w:rsid w:val="00EB2630"/>
    <w:rsid w:val="00EB3629"/>
    <w:rsid w:val="00EB3C95"/>
    <w:rsid w:val="00EB3CF8"/>
    <w:rsid w:val="00EB3F4D"/>
    <w:rsid w:val="00EB48B7"/>
    <w:rsid w:val="00EB4984"/>
    <w:rsid w:val="00EB5C05"/>
    <w:rsid w:val="00EB65E1"/>
    <w:rsid w:val="00EB7E18"/>
    <w:rsid w:val="00EC054C"/>
    <w:rsid w:val="00EC20DD"/>
    <w:rsid w:val="00EC22E8"/>
    <w:rsid w:val="00EC2A6B"/>
    <w:rsid w:val="00EC2BBE"/>
    <w:rsid w:val="00EC3011"/>
    <w:rsid w:val="00EC30BA"/>
    <w:rsid w:val="00EC34D7"/>
    <w:rsid w:val="00EC4948"/>
    <w:rsid w:val="00EC49F1"/>
    <w:rsid w:val="00EC4AA9"/>
    <w:rsid w:val="00EC4AEB"/>
    <w:rsid w:val="00EC5D9E"/>
    <w:rsid w:val="00EC6CCE"/>
    <w:rsid w:val="00EC6F2C"/>
    <w:rsid w:val="00EC7A96"/>
    <w:rsid w:val="00EC7E5B"/>
    <w:rsid w:val="00EC7FEA"/>
    <w:rsid w:val="00ED12BA"/>
    <w:rsid w:val="00ED1362"/>
    <w:rsid w:val="00ED13E1"/>
    <w:rsid w:val="00ED19E8"/>
    <w:rsid w:val="00ED2923"/>
    <w:rsid w:val="00ED3ED0"/>
    <w:rsid w:val="00ED4820"/>
    <w:rsid w:val="00ED4B24"/>
    <w:rsid w:val="00ED4B76"/>
    <w:rsid w:val="00ED5DF0"/>
    <w:rsid w:val="00ED6CE6"/>
    <w:rsid w:val="00ED7412"/>
    <w:rsid w:val="00ED77CC"/>
    <w:rsid w:val="00EE0BFF"/>
    <w:rsid w:val="00EE0D42"/>
    <w:rsid w:val="00EE1AC7"/>
    <w:rsid w:val="00EE2444"/>
    <w:rsid w:val="00EE24F0"/>
    <w:rsid w:val="00EE6250"/>
    <w:rsid w:val="00EE7631"/>
    <w:rsid w:val="00EE7B5A"/>
    <w:rsid w:val="00EE7BAF"/>
    <w:rsid w:val="00EF0A15"/>
    <w:rsid w:val="00EF0AEB"/>
    <w:rsid w:val="00EF2E53"/>
    <w:rsid w:val="00EF3DBF"/>
    <w:rsid w:val="00EF5C10"/>
    <w:rsid w:val="00EF700B"/>
    <w:rsid w:val="00EF7D09"/>
    <w:rsid w:val="00EF7EB1"/>
    <w:rsid w:val="00F006F4"/>
    <w:rsid w:val="00F0115B"/>
    <w:rsid w:val="00F019BA"/>
    <w:rsid w:val="00F019F3"/>
    <w:rsid w:val="00F02C0F"/>
    <w:rsid w:val="00F02E57"/>
    <w:rsid w:val="00F03CFC"/>
    <w:rsid w:val="00F055C3"/>
    <w:rsid w:val="00F055E9"/>
    <w:rsid w:val="00F055F1"/>
    <w:rsid w:val="00F055F6"/>
    <w:rsid w:val="00F05E10"/>
    <w:rsid w:val="00F05ED6"/>
    <w:rsid w:val="00F0748E"/>
    <w:rsid w:val="00F07713"/>
    <w:rsid w:val="00F07D88"/>
    <w:rsid w:val="00F1016A"/>
    <w:rsid w:val="00F1017F"/>
    <w:rsid w:val="00F106A8"/>
    <w:rsid w:val="00F11DA4"/>
    <w:rsid w:val="00F11FB0"/>
    <w:rsid w:val="00F12373"/>
    <w:rsid w:val="00F1261C"/>
    <w:rsid w:val="00F1298B"/>
    <w:rsid w:val="00F12B61"/>
    <w:rsid w:val="00F136D5"/>
    <w:rsid w:val="00F13B29"/>
    <w:rsid w:val="00F14890"/>
    <w:rsid w:val="00F171D7"/>
    <w:rsid w:val="00F17401"/>
    <w:rsid w:val="00F1757B"/>
    <w:rsid w:val="00F178EB"/>
    <w:rsid w:val="00F20C51"/>
    <w:rsid w:val="00F225AF"/>
    <w:rsid w:val="00F227A0"/>
    <w:rsid w:val="00F232AE"/>
    <w:rsid w:val="00F23ACC"/>
    <w:rsid w:val="00F23E82"/>
    <w:rsid w:val="00F2517B"/>
    <w:rsid w:val="00F2529D"/>
    <w:rsid w:val="00F25578"/>
    <w:rsid w:val="00F25AE8"/>
    <w:rsid w:val="00F25B92"/>
    <w:rsid w:val="00F26699"/>
    <w:rsid w:val="00F268FB"/>
    <w:rsid w:val="00F26D77"/>
    <w:rsid w:val="00F26F2A"/>
    <w:rsid w:val="00F273C2"/>
    <w:rsid w:val="00F30BEA"/>
    <w:rsid w:val="00F31697"/>
    <w:rsid w:val="00F3237D"/>
    <w:rsid w:val="00F32F0F"/>
    <w:rsid w:val="00F32F79"/>
    <w:rsid w:val="00F3301F"/>
    <w:rsid w:val="00F335B8"/>
    <w:rsid w:val="00F3368A"/>
    <w:rsid w:val="00F33D5F"/>
    <w:rsid w:val="00F35B54"/>
    <w:rsid w:val="00F375BB"/>
    <w:rsid w:val="00F37E6E"/>
    <w:rsid w:val="00F40B42"/>
    <w:rsid w:val="00F411B1"/>
    <w:rsid w:val="00F4126D"/>
    <w:rsid w:val="00F4137E"/>
    <w:rsid w:val="00F41A17"/>
    <w:rsid w:val="00F41E88"/>
    <w:rsid w:val="00F41F64"/>
    <w:rsid w:val="00F4279C"/>
    <w:rsid w:val="00F44523"/>
    <w:rsid w:val="00F449BA"/>
    <w:rsid w:val="00F44DC8"/>
    <w:rsid w:val="00F4501D"/>
    <w:rsid w:val="00F47B35"/>
    <w:rsid w:val="00F500ED"/>
    <w:rsid w:val="00F50872"/>
    <w:rsid w:val="00F513D4"/>
    <w:rsid w:val="00F51BA3"/>
    <w:rsid w:val="00F523F1"/>
    <w:rsid w:val="00F52E20"/>
    <w:rsid w:val="00F5311C"/>
    <w:rsid w:val="00F54079"/>
    <w:rsid w:val="00F55E53"/>
    <w:rsid w:val="00F55FF0"/>
    <w:rsid w:val="00F5673A"/>
    <w:rsid w:val="00F56BD1"/>
    <w:rsid w:val="00F5799A"/>
    <w:rsid w:val="00F57BFD"/>
    <w:rsid w:val="00F607D3"/>
    <w:rsid w:val="00F61D3C"/>
    <w:rsid w:val="00F61FB5"/>
    <w:rsid w:val="00F621ED"/>
    <w:rsid w:val="00F62613"/>
    <w:rsid w:val="00F62B22"/>
    <w:rsid w:val="00F631DB"/>
    <w:rsid w:val="00F633A7"/>
    <w:rsid w:val="00F635AB"/>
    <w:rsid w:val="00F63DFC"/>
    <w:rsid w:val="00F64CB1"/>
    <w:rsid w:val="00F65943"/>
    <w:rsid w:val="00F661F4"/>
    <w:rsid w:val="00F66B27"/>
    <w:rsid w:val="00F66D36"/>
    <w:rsid w:val="00F6772D"/>
    <w:rsid w:val="00F67EF7"/>
    <w:rsid w:val="00F67F0F"/>
    <w:rsid w:val="00F71EC5"/>
    <w:rsid w:val="00F71F82"/>
    <w:rsid w:val="00F7249C"/>
    <w:rsid w:val="00F730B9"/>
    <w:rsid w:val="00F73BB5"/>
    <w:rsid w:val="00F73FC9"/>
    <w:rsid w:val="00F75035"/>
    <w:rsid w:val="00F7508A"/>
    <w:rsid w:val="00F756AA"/>
    <w:rsid w:val="00F761D8"/>
    <w:rsid w:val="00F767E3"/>
    <w:rsid w:val="00F80661"/>
    <w:rsid w:val="00F8102A"/>
    <w:rsid w:val="00F81209"/>
    <w:rsid w:val="00F82AF3"/>
    <w:rsid w:val="00F82C31"/>
    <w:rsid w:val="00F832B4"/>
    <w:rsid w:val="00F84797"/>
    <w:rsid w:val="00F84BC7"/>
    <w:rsid w:val="00F8629B"/>
    <w:rsid w:val="00F87DE3"/>
    <w:rsid w:val="00F909AD"/>
    <w:rsid w:val="00F90FB5"/>
    <w:rsid w:val="00F91813"/>
    <w:rsid w:val="00F9215F"/>
    <w:rsid w:val="00F923FC"/>
    <w:rsid w:val="00F92552"/>
    <w:rsid w:val="00F926D0"/>
    <w:rsid w:val="00F93F37"/>
    <w:rsid w:val="00F94480"/>
    <w:rsid w:val="00F945E4"/>
    <w:rsid w:val="00F949C9"/>
    <w:rsid w:val="00F949E3"/>
    <w:rsid w:val="00F95854"/>
    <w:rsid w:val="00F97210"/>
    <w:rsid w:val="00FA14AA"/>
    <w:rsid w:val="00FA1BA0"/>
    <w:rsid w:val="00FA324C"/>
    <w:rsid w:val="00FA33F1"/>
    <w:rsid w:val="00FA3743"/>
    <w:rsid w:val="00FA3DCE"/>
    <w:rsid w:val="00FA46F3"/>
    <w:rsid w:val="00FA591D"/>
    <w:rsid w:val="00FA6886"/>
    <w:rsid w:val="00FA7FE0"/>
    <w:rsid w:val="00FB0350"/>
    <w:rsid w:val="00FB1540"/>
    <w:rsid w:val="00FB1DB3"/>
    <w:rsid w:val="00FB2933"/>
    <w:rsid w:val="00FB4644"/>
    <w:rsid w:val="00FB4696"/>
    <w:rsid w:val="00FB5A5A"/>
    <w:rsid w:val="00FB7133"/>
    <w:rsid w:val="00FB789E"/>
    <w:rsid w:val="00FC00A6"/>
    <w:rsid w:val="00FC1AD8"/>
    <w:rsid w:val="00FC45D0"/>
    <w:rsid w:val="00FC50CD"/>
    <w:rsid w:val="00FC6535"/>
    <w:rsid w:val="00FD2F30"/>
    <w:rsid w:val="00FD47D5"/>
    <w:rsid w:val="00FD4A64"/>
    <w:rsid w:val="00FD585D"/>
    <w:rsid w:val="00FD6779"/>
    <w:rsid w:val="00FD6A7A"/>
    <w:rsid w:val="00FD6FB9"/>
    <w:rsid w:val="00FD72B9"/>
    <w:rsid w:val="00FD773B"/>
    <w:rsid w:val="00FD7884"/>
    <w:rsid w:val="00FD7A4E"/>
    <w:rsid w:val="00FD7FFC"/>
    <w:rsid w:val="00FE0963"/>
    <w:rsid w:val="00FE0FD7"/>
    <w:rsid w:val="00FE156D"/>
    <w:rsid w:val="00FE17EE"/>
    <w:rsid w:val="00FE1F77"/>
    <w:rsid w:val="00FE2515"/>
    <w:rsid w:val="00FE2840"/>
    <w:rsid w:val="00FE28C6"/>
    <w:rsid w:val="00FE2B67"/>
    <w:rsid w:val="00FE2D9A"/>
    <w:rsid w:val="00FE341B"/>
    <w:rsid w:val="00FE45EC"/>
    <w:rsid w:val="00FE4856"/>
    <w:rsid w:val="00FE61D8"/>
    <w:rsid w:val="00FE6D48"/>
    <w:rsid w:val="00FE7463"/>
    <w:rsid w:val="00FE7792"/>
    <w:rsid w:val="00FE7A76"/>
    <w:rsid w:val="00FE7D99"/>
    <w:rsid w:val="00FF1475"/>
    <w:rsid w:val="00FF2A6B"/>
    <w:rsid w:val="00FF3122"/>
    <w:rsid w:val="00FF33CD"/>
    <w:rsid w:val="00FF36C8"/>
    <w:rsid w:val="00FF409B"/>
    <w:rsid w:val="00FF413D"/>
    <w:rsid w:val="00FF466D"/>
    <w:rsid w:val="00FF4C48"/>
    <w:rsid w:val="00FF52FF"/>
    <w:rsid w:val="00FF6439"/>
    <w:rsid w:val="00FF6DF9"/>
    <w:rsid w:val="00FF78A5"/>
    <w:rsid w:val="00FF7AAE"/>
    <w:rsid w:val="00FF7DE8"/>
    <w:rsid w:val="3EF15863"/>
    <w:rsid w:val="437C57C3"/>
    <w:rsid w:val="4A166C30"/>
    <w:rsid w:val="576F4809"/>
    <w:rsid w:val="5DE35E01"/>
    <w:rsid w:val="6E7F99FB"/>
    <w:rsid w:val="7FFFB9A8"/>
    <w:rsid w:val="BD67145F"/>
    <w:rsid w:val="BED550A8"/>
    <w:rsid w:val="BFEFECA7"/>
    <w:rsid w:val="C3F7DF67"/>
    <w:rsid w:val="CFFCD606"/>
    <w:rsid w:val="D6FCDFB3"/>
    <w:rsid w:val="DFFB5923"/>
    <w:rsid w:val="F9F635D0"/>
    <w:rsid w:val="FBBBF6B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qFormat="1" w:unhideWhenUsed="0" w:uiPriority="0" w:semiHidden="0" w:name="Normal Indent"/>
    <w:lsdException w:qFormat="1"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qFormat="1" w:unhideWhenUsed="0" w:uiPriority="99"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ocked="1"/>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lang w:val="en-US" w:eastAsia="zh-CN" w:bidi="ar-SA"/>
    </w:rPr>
  </w:style>
  <w:style w:type="paragraph" w:styleId="2">
    <w:name w:val="heading 1"/>
    <w:basedOn w:val="1"/>
    <w:next w:val="1"/>
    <w:link w:val="45"/>
    <w:qFormat/>
    <w:locked/>
    <w:uiPriority w:val="0"/>
    <w:pPr>
      <w:keepNext/>
      <w:keepLines/>
      <w:spacing w:before="340" w:after="330" w:line="578" w:lineRule="auto"/>
      <w:outlineLvl w:val="0"/>
    </w:pPr>
    <w:rPr>
      <w:b/>
      <w:bCs/>
      <w:kern w:val="44"/>
      <w:sz w:val="44"/>
      <w:szCs w:val="44"/>
    </w:rPr>
  </w:style>
  <w:style w:type="paragraph" w:styleId="3">
    <w:name w:val="heading 2"/>
    <w:basedOn w:val="1"/>
    <w:next w:val="1"/>
    <w:link w:val="39"/>
    <w:semiHidden/>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unhideWhenUsed/>
    <w:qFormat/>
    <w:locked/>
    <w:uiPriority w:val="0"/>
    <w:pPr>
      <w:keepNext/>
      <w:keepLines/>
      <w:spacing w:before="260" w:after="260" w:line="416" w:lineRule="auto"/>
      <w:outlineLvl w:val="2"/>
    </w:pPr>
    <w:rPr>
      <w:b/>
      <w:bCs/>
      <w:sz w:val="32"/>
      <w:szCs w:val="3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qFormat/>
    <w:locked/>
    <w:uiPriority w:val="0"/>
    <w:pPr>
      <w:ind w:left="1260"/>
      <w:jc w:val="left"/>
    </w:pPr>
    <w:rPr>
      <w:rFonts w:asciiTheme="minorHAnsi" w:hAnsiTheme="minorHAnsi" w:cstheme="minorHAnsi"/>
      <w:sz w:val="18"/>
      <w:szCs w:val="18"/>
    </w:rPr>
  </w:style>
  <w:style w:type="paragraph" w:styleId="6">
    <w:name w:val="Normal Indent"/>
    <w:basedOn w:val="1"/>
    <w:qFormat/>
    <w:uiPriority w:val="0"/>
    <w:pPr>
      <w:ind w:firstLine="420" w:firstLineChars="200"/>
    </w:pPr>
    <w:rPr>
      <w:rFonts w:eastAsia="仿宋_GB2312" w:asciiTheme="minorHAnsi" w:hAnsiTheme="minorHAnsi" w:cstheme="minorBidi"/>
      <w:kern w:val="2"/>
      <w:sz w:val="32"/>
      <w:szCs w:val="24"/>
    </w:rPr>
  </w:style>
  <w:style w:type="paragraph" w:styleId="7">
    <w:name w:val="annotation text"/>
    <w:basedOn w:val="1"/>
    <w:link w:val="36"/>
    <w:semiHidden/>
    <w:unhideWhenUsed/>
    <w:qFormat/>
    <w:uiPriority w:val="99"/>
    <w:pPr>
      <w:jc w:val="left"/>
    </w:pPr>
  </w:style>
  <w:style w:type="paragraph" w:styleId="8">
    <w:name w:val="toc 5"/>
    <w:basedOn w:val="1"/>
    <w:next w:val="1"/>
    <w:qFormat/>
    <w:locked/>
    <w:uiPriority w:val="0"/>
    <w:pPr>
      <w:ind w:left="840"/>
      <w:jc w:val="left"/>
    </w:pPr>
    <w:rPr>
      <w:rFonts w:asciiTheme="minorHAnsi" w:hAnsiTheme="minorHAnsi" w:cstheme="minorHAnsi"/>
      <w:sz w:val="18"/>
      <w:szCs w:val="18"/>
    </w:rPr>
  </w:style>
  <w:style w:type="paragraph" w:styleId="9">
    <w:name w:val="toc 3"/>
    <w:basedOn w:val="1"/>
    <w:next w:val="1"/>
    <w:qFormat/>
    <w:locked/>
    <w:uiPriority w:val="39"/>
    <w:pPr>
      <w:ind w:left="420"/>
      <w:jc w:val="left"/>
    </w:pPr>
    <w:rPr>
      <w:rFonts w:asciiTheme="minorHAnsi" w:hAnsiTheme="minorHAnsi" w:cstheme="minorHAnsi"/>
      <w:i/>
      <w:iCs/>
    </w:rPr>
  </w:style>
  <w:style w:type="paragraph" w:styleId="10">
    <w:name w:val="toc 8"/>
    <w:basedOn w:val="1"/>
    <w:next w:val="1"/>
    <w:qFormat/>
    <w:locked/>
    <w:uiPriority w:val="0"/>
    <w:pPr>
      <w:ind w:left="1470"/>
      <w:jc w:val="left"/>
    </w:pPr>
    <w:rPr>
      <w:rFonts w:asciiTheme="minorHAnsi" w:hAnsiTheme="minorHAnsi" w:cstheme="minorHAnsi"/>
      <w:sz w:val="18"/>
      <w:szCs w:val="18"/>
    </w:rPr>
  </w:style>
  <w:style w:type="paragraph" w:styleId="11">
    <w:name w:val="endnote text"/>
    <w:basedOn w:val="1"/>
    <w:link w:val="53"/>
    <w:semiHidden/>
    <w:unhideWhenUsed/>
    <w:qFormat/>
    <w:uiPriority w:val="99"/>
    <w:pPr>
      <w:snapToGrid w:val="0"/>
      <w:jc w:val="left"/>
    </w:pPr>
  </w:style>
  <w:style w:type="paragraph" w:styleId="12">
    <w:name w:val="Balloon Text"/>
    <w:basedOn w:val="1"/>
    <w:link w:val="46"/>
    <w:semiHidden/>
    <w:unhideWhenUsed/>
    <w:qFormat/>
    <w:uiPriority w:val="99"/>
    <w:rPr>
      <w:sz w:val="18"/>
      <w:szCs w:val="18"/>
    </w:rPr>
  </w:style>
  <w:style w:type="paragraph" w:styleId="13">
    <w:name w:val="footer"/>
    <w:basedOn w:val="1"/>
    <w:link w:val="34"/>
    <w:qFormat/>
    <w:uiPriority w:val="0"/>
    <w:pPr>
      <w:tabs>
        <w:tab w:val="center" w:pos="4153"/>
        <w:tab w:val="right" w:pos="8306"/>
      </w:tabs>
      <w:snapToGrid w:val="0"/>
      <w:jc w:val="left"/>
    </w:pPr>
    <w:rPr>
      <w:rFonts w:cs="Calibri"/>
      <w:sz w:val="18"/>
      <w:szCs w:val="18"/>
    </w:rPr>
  </w:style>
  <w:style w:type="paragraph" w:styleId="14">
    <w:name w:val="header"/>
    <w:basedOn w:val="1"/>
    <w:link w:val="33"/>
    <w:qFormat/>
    <w:uiPriority w:val="0"/>
    <w:pPr>
      <w:pBdr>
        <w:bottom w:val="single" w:color="auto" w:sz="6" w:space="1"/>
      </w:pBdr>
      <w:tabs>
        <w:tab w:val="center" w:pos="4153"/>
        <w:tab w:val="right" w:pos="8306"/>
      </w:tabs>
      <w:snapToGrid w:val="0"/>
      <w:jc w:val="center"/>
    </w:pPr>
    <w:rPr>
      <w:rFonts w:cs="Calibri"/>
      <w:sz w:val="18"/>
      <w:szCs w:val="18"/>
    </w:rPr>
  </w:style>
  <w:style w:type="paragraph" w:styleId="15">
    <w:name w:val="toc 1"/>
    <w:basedOn w:val="1"/>
    <w:next w:val="1"/>
    <w:qFormat/>
    <w:locked/>
    <w:uiPriority w:val="39"/>
    <w:pPr>
      <w:tabs>
        <w:tab w:val="right" w:leader="dot" w:pos="8296"/>
      </w:tabs>
      <w:adjustRightInd w:val="0"/>
      <w:snapToGrid w:val="0"/>
      <w:spacing w:line="560" w:lineRule="exact"/>
      <w:jc w:val="left"/>
    </w:pPr>
    <w:rPr>
      <w:rFonts w:ascii="宋体" w:hAnsi="宋体" w:cs="黑体"/>
      <w:b/>
      <w:smallCaps/>
      <w:sz w:val="28"/>
      <w:szCs w:val="28"/>
    </w:rPr>
  </w:style>
  <w:style w:type="paragraph" w:styleId="16">
    <w:name w:val="toc 4"/>
    <w:basedOn w:val="1"/>
    <w:next w:val="1"/>
    <w:qFormat/>
    <w:locked/>
    <w:uiPriority w:val="0"/>
    <w:pPr>
      <w:ind w:left="630"/>
      <w:jc w:val="left"/>
    </w:pPr>
    <w:rPr>
      <w:rFonts w:asciiTheme="minorHAnsi" w:hAnsiTheme="minorHAnsi" w:cstheme="minorHAnsi"/>
      <w:sz w:val="18"/>
      <w:szCs w:val="18"/>
    </w:rPr>
  </w:style>
  <w:style w:type="paragraph" w:styleId="17">
    <w:name w:val="footnote text"/>
    <w:basedOn w:val="1"/>
    <w:link w:val="54"/>
    <w:semiHidden/>
    <w:unhideWhenUsed/>
    <w:qFormat/>
    <w:uiPriority w:val="99"/>
    <w:pPr>
      <w:snapToGrid w:val="0"/>
      <w:jc w:val="left"/>
    </w:pPr>
    <w:rPr>
      <w:sz w:val="18"/>
      <w:szCs w:val="18"/>
    </w:rPr>
  </w:style>
  <w:style w:type="paragraph" w:styleId="18">
    <w:name w:val="toc 6"/>
    <w:basedOn w:val="1"/>
    <w:next w:val="1"/>
    <w:qFormat/>
    <w:locked/>
    <w:uiPriority w:val="0"/>
    <w:pPr>
      <w:ind w:left="1050"/>
      <w:jc w:val="left"/>
    </w:pPr>
    <w:rPr>
      <w:rFonts w:asciiTheme="minorHAnsi" w:hAnsiTheme="minorHAnsi" w:cstheme="minorHAnsi"/>
      <w:sz w:val="18"/>
      <w:szCs w:val="18"/>
    </w:rPr>
  </w:style>
  <w:style w:type="paragraph" w:styleId="19">
    <w:name w:val="toc 2"/>
    <w:basedOn w:val="1"/>
    <w:next w:val="1"/>
    <w:qFormat/>
    <w:locked/>
    <w:uiPriority w:val="39"/>
    <w:pPr>
      <w:tabs>
        <w:tab w:val="right" w:leader="dot" w:pos="8296"/>
      </w:tabs>
      <w:spacing w:line="560" w:lineRule="exact"/>
      <w:ind w:left="210"/>
      <w:jc w:val="left"/>
    </w:pPr>
    <w:rPr>
      <w:rFonts w:eastAsia="黑体" w:asciiTheme="minorHAnsi" w:hAnsiTheme="minorHAnsi" w:cstheme="minorHAnsi"/>
      <w:smallCaps/>
    </w:rPr>
  </w:style>
  <w:style w:type="paragraph" w:styleId="20">
    <w:name w:val="toc 9"/>
    <w:basedOn w:val="1"/>
    <w:next w:val="1"/>
    <w:qFormat/>
    <w:locked/>
    <w:uiPriority w:val="0"/>
    <w:pPr>
      <w:ind w:left="1680"/>
      <w:jc w:val="left"/>
    </w:pPr>
    <w:rPr>
      <w:rFonts w:asciiTheme="minorHAnsi" w:hAnsiTheme="minorHAnsi" w:cstheme="minorHAnsi"/>
      <w:sz w:val="18"/>
      <w:szCs w:val="18"/>
    </w:rPr>
  </w:style>
  <w:style w:type="paragraph" w:styleId="21">
    <w:name w:val="HTML Preformatted"/>
    <w:basedOn w:val="1"/>
    <w:link w:val="49"/>
    <w:semiHidden/>
    <w:unhideWhenUsed/>
    <w:qFormat/>
    <w:uiPriority w:val="99"/>
    <w:rPr>
      <w:rFonts w:ascii="Courier New" w:hAnsi="Courier New" w:cs="Courier New"/>
    </w:rPr>
  </w:style>
  <w:style w:type="paragraph" w:styleId="22">
    <w:name w:val="Normal (Web)"/>
    <w:basedOn w:val="1"/>
    <w:unhideWhenUsed/>
    <w:qFormat/>
    <w:uiPriority w:val="99"/>
    <w:rPr>
      <w:sz w:val="24"/>
      <w:szCs w:val="24"/>
    </w:rPr>
  </w:style>
  <w:style w:type="paragraph" w:styleId="23">
    <w:name w:val="Title"/>
    <w:basedOn w:val="1"/>
    <w:next w:val="1"/>
    <w:link w:val="48"/>
    <w:qFormat/>
    <w:locked/>
    <w:uiPriority w:val="0"/>
    <w:pPr>
      <w:spacing w:before="240" w:after="60"/>
      <w:jc w:val="center"/>
      <w:outlineLvl w:val="0"/>
    </w:pPr>
    <w:rPr>
      <w:rFonts w:asciiTheme="majorHAnsi" w:hAnsiTheme="majorHAnsi" w:eastAsiaTheme="majorEastAsia" w:cstheme="majorBidi"/>
      <w:b/>
      <w:bCs/>
      <w:sz w:val="32"/>
      <w:szCs w:val="32"/>
    </w:rPr>
  </w:style>
  <w:style w:type="paragraph" w:styleId="24">
    <w:name w:val="annotation subject"/>
    <w:basedOn w:val="7"/>
    <w:next w:val="7"/>
    <w:link w:val="37"/>
    <w:semiHidden/>
    <w:unhideWhenUsed/>
    <w:qFormat/>
    <w:uiPriority w:val="99"/>
    <w:rPr>
      <w:b/>
      <w:bCs/>
    </w:rPr>
  </w:style>
  <w:style w:type="table" w:styleId="26">
    <w:name w:val="Table Grid"/>
    <w:basedOn w:val="25"/>
    <w:qFormat/>
    <w:locked/>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endnote reference"/>
    <w:basedOn w:val="27"/>
    <w:semiHidden/>
    <w:unhideWhenUsed/>
    <w:qFormat/>
    <w:uiPriority w:val="99"/>
    <w:rPr>
      <w:vertAlign w:val="superscript"/>
    </w:rPr>
  </w:style>
  <w:style w:type="character" w:styleId="29">
    <w:name w:val="page number"/>
    <w:basedOn w:val="27"/>
    <w:qFormat/>
    <w:uiPriority w:val="99"/>
  </w:style>
  <w:style w:type="character" w:styleId="30">
    <w:name w:val="Hyperlink"/>
    <w:basedOn w:val="27"/>
    <w:unhideWhenUsed/>
    <w:qFormat/>
    <w:uiPriority w:val="99"/>
    <w:rPr>
      <w:color w:val="0000FF" w:themeColor="hyperlink"/>
      <w:u w:val="single"/>
      <w14:textFill>
        <w14:solidFill>
          <w14:schemeClr w14:val="hlink"/>
        </w14:solidFill>
      </w14:textFill>
    </w:rPr>
  </w:style>
  <w:style w:type="character" w:styleId="31">
    <w:name w:val="annotation reference"/>
    <w:basedOn w:val="27"/>
    <w:semiHidden/>
    <w:unhideWhenUsed/>
    <w:qFormat/>
    <w:uiPriority w:val="99"/>
    <w:rPr>
      <w:sz w:val="21"/>
      <w:szCs w:val="21"/>
    </w:rPr>
  </w:style>
  <w:style w:type="character" w:styleId="32">
    <w:name w:val="footnote reference"/>
    <w:basedOn w:val="27"/>
    <w:semiHidden/>
    <w:unhideWhenUsed/>
    <w:qFormat/>
    <w:uiPriority w:val="99"/>
    <w:rPr>
      <w:vertAlign w:val="superscript"/>
    </w:rPr>
  </w:style>
  <w:style w:type="character" w:customStyle="1" w:styleId="33">
    <w:name w:val="页眉 字符"/>
    <w:link w:val="14"/>
    <w:qFormat/>
    <w:locked/>
    <w:uiPriority w:val="0"/>
    <w:rPr>
      <w:sz w:val="18"/>
      <w:szCs w:val="18"/>
    </w:rPr>
  </w:style>
  <w:style w:type="character" w:customStyle="1" w:styleId="34">
    <w:name w:val="页脚 字符"/>
    <w:link w:val="13"/>
    <w:qFormat/>
    <w:locked/>
    <w:uiPriority w:val="0"/>
    <w:rPr>
      <w:sz w:val="18"/>
      <w:szCs w:val="18"/>
    </w:rPr>
  </w:style>
  <w:style w:type="paragraph" w:customStyle="1" w:styleId="35">
    <w:name w:val="修订1"/>
    <w:hidden/>
    <w:semiHidden/>
    <w:qFormat/>
    <w:uiPriority w:val="99"/>
    <w:rPr>
      <w:rFonts w:ascii="Times New Roman" w:hAnsi="Times New Roman" w:eastAsia="宋体" w:cs="Times New Roman"/>
      <w:kern w:val="2"/>
      <w:sz w:val="21"/>
      <w:szCs w:val="21"/>
      <w:lang w:val="en-US" w:eastAsia="zh-CN" w:bidi="ar-SA"/>
    </w:rPr>
  </w:style>
  <w:style w:type="character" w:customStyle="1" w:styleId="36">
    <w:name w:val="批注文字 字符"/>
    <w:basedOn w:val="27"/>
    <w:link w:val="7"/>
    <w:semiHidden/>
    <w:qFormat/>
    <w:uiPriority w:val="99"/>
    <w:rPr>
      <w:rFonts w:ascii="Times New Roman" w:hAnsi="Times New Roman"/>
      <w:kern w:val="2"/>
      <w:sz w:val="21"/>
      <w:szCs w:val="21"/>
    </w:rPr>
  </w:style>
  <w:style w:type="character" w:customStyle="1" w:styleId="37">
    <w:name w:val="批注主题 字符"/>
    <w:basedOn w:val="36"/>
    <w:link w:val="24"/>
    <w:semiHidden/>
    <w:qFormat/>
    <w:uiPriority w:val="99"/>
    <w:rPr>
      <w:rFonts w:ascii="Times New Roman" w:hAnsi="Times New Roman"/>
      <w:b/>
      <w:bCs/>
      <w:kern w:val="2"/>
      <w:sz w:val="21"/>
      <w:szCs w:val="21"/>
    </w:rPr>
  </w:style>
  <w:style w:type="paragraph" w:styleId="38">
    <w:name w:val="List Paragraph"/>
    <w:basedOn w:val="1"/>
    <w:qFormat/>
    <w:uiPriority w:val="99"/>
    <w:pPr>
      <w:ind w:firstLine="420" w:firstLineChars="200"/>
    </w:pPr>
  </w:style>
  <w:style w:type="character" w:customStyle="1" w:styleId="39">
    <w:name w:val="标题 2 字符"/>
    <w:basedOn w:val="27"/>
    <w:link w:val="3"/>
    <w:semiHidden/>
    <w:qFormat/>
    <w:uiPriority w:val="0"/>
    <w:rPr>
      <w:rFonts w:asciiTheme="majorHAnsi" w:hAnsiTheme="majorHAnsi" w:eastAsiaTheme="majorEastAsia" w:cstheme="majorBidi"/>
      <w:b/>
      <w:bCs/>
      <w:kern w:val="2"/>
      <w:sz w:val="32"/>
      <w:szCs w:val="32"/>
    </w:rPr>
  </w:style>
  <w:style w:type="character" w:styleId="40">
    <w:name w:val="Placeholder Text"/>
    <w:basedOn w:val="27"/>
    <w:semiHidden/>
    <w:qFormat/>
    <w:uiPriority w:val="99"/>
    <w:rPr>
      <w:color w:val="808080"/>
    </w:rPr>
  </w:style>
  <w:style w:type="paragraph" w:customStyle="1" w:styleId="41">
    <w:name w:val="表格"/>
    <w:basedOn w:val="1"/>
    <w:link w:val="42"/>
    <w:qFormat/>
    <w:uiPriority w:val="0"/>
    <w:pPr>
      <w:spacing w:line="360" w:lineRule="exact"/>
      <w:jc w:val="left"/>
    </w:pPr>
    <w:rPr>
      <w:rFonts w:eastAsia="仿宋_GB2312" w:cstheme="minorBidi"/>
      <w:bCs/>
      <w:sz w:val="24"/>
      <w:szCs w:val="22"/>
    </w:rPr>
  </w:style>
  <w:style w:type="character" w:customStyle="1" w:styleId="42">
    <w:name w:val="表格 字符"/>
    <w:basedOn w:val="27"/>
    <w:link w:val="41"/>
    <w:qFormat/>
    <w:uiPriority w:val="0"/>
    <w:rPr>
      <w:rFonts w:ascii="Times New Roman" w:hAnsi="Times New Roman" w:eastAsia="仿宋_GB2312" w:cstheme="minorBidi"/>
      <w:bCs/>
      <w:kern w:val="2"/>
      <w:sz w:val="24"/>
      <w:szCs w:val="22"/>
    </w:rPr>
  </w:style>
  <w:style w:type="character" w:customStyle="1" w:styleId="43">
    <w:name w:val="标题 3 字符"/>
    <w:basedOn w:val="27"/>
    <w:link w:val="4"/>
    <w:semiHidden/>
    <w:qFormat/>
    <w:uiPriority w:val="0"/>
    <w:rPr>
      <w:rFonts w:ascii="Times New Roman" w:hAnsi="Times New Roman"/>
      <w:b/>
      <w:bCs/>
      <w:kern w:val="2"/>
      <w:sz w:val="32"/>
      <w:szCs w:val="32"/>
    </w:rPr>
  </w:style>
  <w:style w:type="character" w:customStyle="1" w:styleId="44">
    <w:name w:val="未处理的提及1"/>
    <w:basedOn w:val="27"/>
    <w:semiHidden/>
    <w:unhideWhenUsed/>
    <w:qFormat/>
    <w:uiPriority w:val="99"/>
    <w:rPr>
      <w:color w:val="605E5C"/>
      <w:shd w:val="clear" w:color="auto" w:fill="E1DFDD"/>
    </w:rPr>
  </w:style>
  <w:style w:type="character" w:customStyle="1" w:styleId="45">
    <w:name w:val="标题 1 字符"/>
    <w:basedOn w:val="27"/>
    <w:link w:val="2"/>
    <w:qFormat/>
    <w:uiPriority w:val="0"/>
    <w:rPr>
      <w:rFonts w:ascii="Times New Roman" w:hAnsi="Times New Roman"/>
      <w:b/>
      <w:bCs/>
      <w:kern w:val="44"/>
      <w:sz w:val="44"/>
      <w:szCs w:val="44"/>
    </w:rPr>
  </w:style>
  <w:style w:type="character" w:customStyle="1" w:styleId="46">
    <w:name w:val="批注框文本 字符"/>
    <w:basedOn w:val="27"/>
    <w:link w:val="12"/>
    <w:semiHidden/>
    <w:qFormat/>
    <w:uiPriority w:val="99"/>
    <w:rPr>
      <w:rFonts w:ascii="Times New Roman" w:hAnsi="Times New Roman"/>
      <w:kern w:val="2"/>
      <w:sz w:val="18"/>
      <w:szCs w:val="18"/>
    </w:rPr>
  </w:style>
  <w:style w:type="paragraph" w:customStyle="1" w:styleId="47">
    <w:name w:val="_Style 1"/>
    <w:basedOn w:val="1"/>
    <w:qFormat/>
    <w:uiPriority w:val="99"/>
    <w:pPr>
      <w:ind w:firstLine="420" w:firstLineChars="200"/>
    </w:pPr>
  </w:style>
  <w:style w:type="character" w:customStyle="1" w:styleId="48">
    <w:name w:val="标题 字符"/>
    <w:basedOn w:val="27"/>
    <w:link w:val="23"/>
    <w:qFormat/>
    <w:uiPriority w:val="0"/>
    <w:rPr>
      <w:rFonts w:asciiTheme="majorHAnsi" w:hAnsiTheme="majorHAnsi" w:eastAsiaTheme="majorEastAsia" w:cstheme="majorBidi"/>
      <w:b/>
      <w:bCs/>
      <w:sz w:val="32"/>
      <w:szCs w:val="32"/>
    </w:rPr>
  </w:style>
  <w:style w:type="character" w:customStyle="1" w:styleId="49">
    <w:name w:val="HTML 预设格式 字符"/>
    <w:basedOn w:val="27"/>
    <w:link w:val="21"/>
    <w:semiHidden/>
    <w:qFormat/>
    <w:uiPriority w:val="99"/>
    <w:rPr>
      <w:rFonts w:ascii="Courier New" w:hAnsi="Courier New" w:cs="Courier New"/>
    </w:rPr>
  </w:style>
  <w:style w:type="character" w:customStyle="1" w:styleId="50">
    <w:name w:val="font01"/>
    <w:basedOn w:val="27"/>
    <w:qFormat/>
    <w:uiPriority w:val="0"/>
    <w:rPr>
      <w:rFonts w:ascii="仿宋_GB2312" w:eastAsia="仿宋_GB2312" w:cs="仿宋_GB2312"/>
      <w:color w:val="000000"/>
      <w:sz w:val="24"/>
      <w:szCs w:val="24"/>
      <w:u w:val="none"/>
    </w:rPr>
  </w:style>
  <w:style w:type="character" w:customStyle="1" w:styleId="51">
    <w:name w:val="font41"/>
    <w:basedOn w:val="27"/>
    <w:qFormat/>
    <w:uiPriority w:val="0"/>
    <w:rPr>
      <w:rFonts w:hint="eastAsia" w:ascii="宋体" w:hAnsi="宋体" w:eastAsia="宋体"/>
      <w:color w:val="000000"/>
      <w:sz w:val="20"/>
      <w:szCs w:val="20"/>
      <w:u w:val="none"/>
    </w:rPr>
  </w:style>
  <w:style w:type="character" w:customStyle="1" w:styleId="52">
    <w:name w:val="font21"/>
    <w:basedOn w:val="27"/>
    <w:qFormat/>
    <w:uiPriority w:val="0"/>
    <w:rPr>
      <w:rFonts w:hint="eastAsia" w:ascii="宋体" w:hAnsi="宋体" w:eastAsia="宋体"/>
      <w:color w:val="FF0000"/>
      <w:sz w:val="20"/>
      <w:szCs w:val="20"/>
      <w:u w:val="none"/>
    </w:rPr>
  </w:style>
  <w:style w:type="character" w:customStyle="1" w:styleId="53">
    <w:name w:val="尾注文本 字符"/>
    <w:basedOn w:val="27"/>
    <w:link w:val="11"/>
    <w:semiHidden/>
    <w:qFormat/>
    <w:uiPriority w:val="99"/>
  </w:style>
  <w:style w:type="character" w:customStyle="1" w:styleId="54">
    <w:name w:val="脚注文本 字符"/>
    <w:basedOn w:val="27"/>
    <w:link w:val="17"/>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9" Type="http://schemas.openxmlformats.org/officeDocument/2006/relationships/fontTable" Target="fontTable.xml"/><Relationship Id="rId88" Type="http://schemas.openxmlformats.org/officeDocument/2006/relationships/image" Target="media/image80.jpeg"/><Relationship Id="rId87" Type="http://schemas.openxmlformats.org/officeDocument/2006/relationships/image" Target="media/image79.jpeg"/><Relationship Id="rId86" Type="http://schemas.openxmlformats.org/officeDocument/2006/relationships/image" Target="media/image78.jpeg"/><Relationship Id="rId85" Type="http://schemas.openxmlformats.org/officeDocument/2006/relationships/image" Target="media/image77.jpeg"/><Relationship Id="rId84" Type="http://schemas.openxmlformats.org/officeDocument/2006/relationships/image" Target="media/image76.jpeg"/><Relationship Id="rId83" Type="http://schemas.openxmlformats.org/officeDocument/2006/relationships/image" Target="media/image75.jpeg"/><Relationship Id="rId82" Type="http://schemas.openxmlformats.org/officeDocument/2006/relationships/image" Target="media/image74.jpeg"/><Relationship Id="rId81" Type="http://schemas.openxmlformats.org/officeDocument/2006/relationships/image" Target="media/image73.jpeg"/><Relationship Id="rId80" Type="http://schemas.openxmlformats.org/officeDocument/2006/relationships/image" Target="media/image72.jpeg"/><Relationship Id="rId8" Type="http://schemas.openxmlformats.org/officeDocument/2006/relationships/theme" Target="theme/theme1.xml"/><Relationship Id="rId79" Type="http://schemas.openxmlformats.org/officeDocument/2006/relationships/image" Target="media/image71.jpeg"/><Relationship Id="rId78" Type="http://schemas.openxmlformats.org/officeDocument/2006/relationships/image" Target="media/image70.jpeg"/><Relationship Id="rId77" Type="http://schemas.openxmlformats.org/officeDocument/2006/relationships/image" Target="media/image69.jpeg"/><Relationship Id="rId76" Type="http://schemas.openxmlformats.org/officeDocument/2006/relationships/image" Target="media/image68.jpeg"/><Relationship Id="rId75" Type="http://schemas.openxmlformats.org/officeDocument/2006/relationships/image" Target="media/image67.png"/><Relationship Id="rId74" Type="http://schemas.openxmlformats.org/officeDocument/2006/relationships/image" Target="media/image66.png"/><Relationship Id="rId73" Type="http://schemas.openxmlformats.org/officeDocument/2006/relationships/image" Target="media/image65.png"/><Relationship Id="rId72" Type="http://schemas.openxmlformats.org/officeDocument/2006/relationships/image" Target="media/image64.png"/><Relationship Id="rId71" Type="http://schemas.openxmlformats.org/officeDocument/2006/relationships/image" Target="media/image63.png"/><Relationship Id="rId70" Type="http://schemas.openxmlformats.org/officeDocument/2006/relationships/image" Target="media/image62.png"/><Relationship Id="rId7" Type="http://schemas.openxmlformats.org/officeDocument/2006/relationships/footer" Target="footer3.xml"/><Relationship Id="rId69" Type="http://schemas.openxmlformats.org/officeDocument/2006/relationships/image" Target="media/image61.png"/><Relationship Id="rId68" Type="http://schemas.openxmlformats.org/officeDocument/2006/relationships/image" Target="media/image60.png"/><Relationship Id="rId67" Type="http://schemas.openxmlformats.org/officeDocument/2006/relationships/image" Target="media/image59.png"/><Relationship Id="rId66" Type="http://schemas.openxmlformats.org/officeDocument/2006/relationships/image" Target="media/image58.png"/><Relationship Id="rId65" Type="http://schemas.openxmlformats.org/officeDocument/2006/relationships/image" Target="media/image57.png"/><Relationship Id="rId64" Type="http://schemas.openxmlformats.org/officeDocument/2006/relationships/image" Target="media/image56.png"/><Relationship Id="rId63" Type="http://schemas.openxmlformats.org/officeDocument/2006/relationships/image" Target="media/image55.png"/><Relationship Id="rId62" Type="http://schemas.openxmlformats.org/officeDocument/2006/relationships/image" Target="media/image54.pn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footer" Target="footer2.xml"/><Relationship Id="rId59" Type="http://schemas.openxmlformats.org/officeDocument/2006/relationships/image" Target="media/image51.png"/><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footer" Target="footer1.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header" Target="header1.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notes" Target="footnotes.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57</Pages>
  <Words>4031</Words>
  <Characters>22980</Characters>
  <Lines>191</Lines>
  <Paragraphs>53</Paragraphs>
  <TotalTime>1662</TotalTime>
  <ScaleCrop>false</ScaleCrop>
  <LinksUpToDate>false</LinksUpToDate>
  <CharactersWithSpaces>26958</CharactersWithSpaces>
  <Application>WPS Office_11.8.2.12009_F1E327BC-269C-435d-A152-05C5408002CA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2023-08-26T05:40:00Z</dcterms:created>
  <dc:creator>沈洋</dc:creator>
  <cp:lastModifiedBy>lfj</cp:lastModifiedBy>
  <cp:lastPrinted>2023-07-04T10:04:00Z</cp:lastPrinted>
  <dcterms:modified xsi:type="dcterms:W3CDTF">2023-11-16T16:40:45Z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43EBF7C5331B4F1DB2C2A9F813FD852B_12</vt:lpwstr>
  </property>
</Properties>
</file>