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adjustRightInd/>
        <w:snapToGrid/>
        <w:spacing w:beforeLines="0" w:afterLines="0" w:line="56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市应急管理局关于公布化工医药及危险化学品安全生产标准化三级达标企业名单（2023年第7批次）的通知</w:t>
      </w:r>
    </w:p>
    <w:p>
      <w:pPr>
        <w:keepNext w:val="0"/>
        <w:keepLines w:val="0"/>
        <w:pageBreakBefore w:val="0"/>
        <w:widowControl w:val="0"/>
        <w:kinsoku/>
        <w:wordWrap/>
        <w:overflowPunct/>
        <w:topLinePunct w:val="0"/>
        <w:autoSpaceDE/>
        <w:autoSpaceDN/>
        <w:adjustRightInd/>
        <w:snapToGrid/>
        <w:spacing w:beforeLines="0" w:afterLines="0" w:line="560" w:lineRule="exact"/>
        <w:jc w:val="left"/>
        <w:textAlignment w:val="auto"/>
        <w:rPr>
          <w:rFonts w:hint="eastAsia" w:ascii="FangSong_GB2312" w:hAnsi="FangSong_GB2312" w:eastAsia="FangSong_GB2312"/>
          <w:sz w:val="32"/>
        </w:rPr>
      </w:pPr>
    </w:p>
    <w:p>
      <w:pPr>
        <w:keepNext w:val="0"/>
        <w:keepLines w:val="0"/>
        <w:pageBreakBefore w:val="0"/>
        <w:widowControl w:val="0"/>
        <w:kinsoku/>
        <w:wordWrap/>
        <w:overflowPunct/>
        <w:topLinePunct w:val="0"/>
        <w:autoSpaceDE/>
        <w:autoSpaceDN/>
        <w:adjustRightInd/>
        <w:snapToGrid/>
        <w:spacing w:beforeLines="0" w:afterLines="0" w:line="560" w:lineRule="exact"/>
        <w:jc w:val="left"/>
        <w:textAlignment w:val="auto"/>
        <w:rPr>
          <w:rFonts w:hint="eastAsia" w:ascii="FangSong_GB2312" w:hAnsi="FangSong_GB2312" w:eastAsia="FangSong_GB2312"/>
          <w:sz w:val="32"/>
        </w:rPr>
      </w:pPr>
      <w:r>
        <w:rPr>
          <w:rFonts w:hint="eastAsia" w:ascii="FangSong_GB2312" w:hAnsi="FangSong_GB2312" w:eastAsia="FangSong_GB2312"/>
          <w:sz w:val="32"/>
        </w:rPr>
        <w:t>各区（含新区、深汕特别合作区，下同）应急管理局，相关企业:</w:t>
      </w:r>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rPr>
      </w:pPr>
      <w:r>
        <w:rPr>
          <w:rFonts w:hint="eastAsia" w:ascii="FangSong_GB2312" w:hAnsi="FangSong_GB2312" w:eastAsia="FangSong_GB2312"/>
          <w:sz w:val="32"/>
        </w:rPr>
        <w:t>根据《深圳市应急管理局关于调整优化化工医药及危险化学品企业安全生产标准化三级达标工作的通知》（深应急规〔2020〕4号）等规定，经企业申请、区应急管理局审查，我局核准深圳市同方电子新材料有限公司等10家企业为危险化学品安全生产标准化三级达标企业,现予以公告，有效期自公告之日起3年。</w:t>
      </w:r>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rPr>
      </w:pPr>
      <w:r>
        <w:rPr>
          <w:rFonts w:hint="eastAsia" w:ascii="FangSong_GB2312" w:hAnsi="FangSong_GB2312" w:eastAsia="FangSong_GB2312"/>
          <w:sz w:val="32"/>
        </w:rPr>
        <w:t>特此通知。</w:t>
      </w:r>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rPr>
      </w:pPr>
      <w:r>
        <w:rPr>
          <w:rFonts w:hint="eastAsia" w:ascii="FangSong_GB2312" w:hAnsi="FangSong_GB2312" w:eastAsia="FangSong_GB2312"/>
          <w:sz w:val="32"/>
        </w:rPr>
        <w:t>附件：深圳市化工医药及危险化学品安全生产标准化三级达标企业名单（2023年第7批次）</w:t>
      </w:r>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rPr>
      </w:pPr>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rPr>
      </w:pPr>
    </w:p>
    <w:p>
      <w:pPr>
        <w:keepNext w:val="0"/>
        <w:keepLines w:val="0"/>
        <w:pageBreakBefore w:val="0"/>
        <w:widowControl w:val="0"/>
        <w:kinsoku/>
        <w:wordWrap/>
        <w:overflowPunct/>
        <w:topLinePunct w:val="0"/>
        <w:autoSpaceDE/>
        <w:autoSpaceDN/>
        <w:adjustRightInd/>
        <w:snapToGrid/>
        <w:spacing w:beforeLines="0" w:afterLines="0" w:line="560" w:lineRule="exact"/>
        <w:jc w:val="right"/>
        <w:textAlignment w:val="auto"/>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深圳市应急管理局</w:t>
      </w:r>
    </w:p>
    <w:p>
      <w:pPr>
        <w:keepNext w:val="0"/>
        <w:keepLines w:val="0"/>
        <w:pageBreakBefore w:val="0"/>
        <w:widowControl w:val="0"/>
        <w:kinsoku/>
        <w:wordWrap/>
        <w:overflowPunct/>
        <w:topLinePunct w:val="0"/>
        <w:autoSpaceDE/>
        <w:autoSpaceDN/>
        <w:adjustRightInd/>
        <w:snapToGrid/>
        <w:spacing w:beforeLines="0" w:afterLines="0" w:line="560" w:lineRule="exact"/>
        <w:jc w:val="right"/>
        <w:textAlignment w:val="auto"/>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2023年11月09日</w:t>
      </w:r>
    </w:p>
    <w:p>
      <w:pPr>
        <w:keepNext w:val="0"/>
        <w:keepLines w:val="0"/>
        <w:pageBreakBefore w:val="0"/>
        <w:widowControl w:val="0"/>
        <w:kinsoku/>
        <w:wordWrap/>
        <w:overflowPunct/>
        <w:topLinePunct w:val="0"/>
        <w:autoSpaceDE/>
        <w:autoSpaceDN/>
        <w:adjustRightInd/>
        <w:snapToGrid/>
        <w:spacing w:beforeLines="0" w:afterLines="0" w:line="560" w:lineRule="exact"/>
        <w:jc w:val="left"/>
        <w:textAlignment w:val="auto"/>
        <w:rPr>
          <w:rFonts w:hint="eastAsia" w:ascii="FangSong_GB2312" w:hAnsi="FangSong_GB2312" w:eastAsia="FangSong_GB2312"/>
          <w:sz w:val="32"/>
          <w:lang w:val="en-US" w:eastAsia="zh-CN"/>
        </w:rPr>
      </w:pPr>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lang w:val="en-US" w:eastAsia="zh-CN"/>
        </w:rPr>
      </w:pPr>
      <w:bookmarkStart w:id="0" w:name="_GoBack"/>
      <w:bookmarkEnd w:id="0"/>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lang w:val="en-US" w:eastAsia="zh-CN"/>
        </w:rPr>
      </w:pPr>
    </w:p>
    <w:p>
      <w:pPr>
        <w:keepNext w:val="0"/>
        <w:keepLines w:val="0"/>
        <w:pageBreakBefore w:val="0"/>
        <w:widowControl w:val="0"/>
        <w:kinsoku/>
        <w:wordWrap/>
        <w:overflowPunct/>
        <w:topLinePunct w:val="0"/>
        <w:autoSpaceDE/>
        <w:autoSpaceDN/>
        <w:adjustRightInd/>
        <w:snapToGrid/>
        <w:spacing w:beforeLines="0" w:afterLines="0" w:line="560" w:lineRule="exact"/>
        <w:ind w:firstLine="640" w:firstLineChars="200"/>
        <w:jc w:val="left"/>
        <w:textAlignment w:val="auto"/>
        <w:rPr>
          <w:rFonts w:hint="eastAsia" w:ascii="FangSong_GB2312" w:hAnsi="FangSong_GB2312" w:eastAsia="FangSong_GB2312"/>
          <w:sz w:val="32"/>
          <w:lang w:val="en-US" w:eastAsia="zh-CN"/>
        </w:rPr>
      </w:pPr>
    </w:p>
    <w:p>
      <w:pPr>
        <w:keepNext w:val="0"/>
        <w:keepLines w:val="0"/>
        <w:pageBreakBefore w:val="0"/>
        <w:widowControl w:val="0"/>
        <w:kinsoku/>
        <w:wordWrap/>
        <w:overflowPunct/>
        <w:topLinePunct w:val="0"/>
        <w:autoSpaceDE/>
        <w:autoSpaceDN/>
        <w:adjustRightInd/>
        <w:snapToGrid/>
        <w:spacing w:beforeLines="0" w:afterLines="0"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深圳市化工医药及危险化学品安全生产标准化三级达标企业名单（2023年第7批次）</w:t>
      </w:r>
    </w:p>
    <w:p>
      <w:pPr>
        <w:keepNext w:val="0"/>
        <w:keepLines w:val="0"/>
        <w:pageBreakBefore w:val="0"/>
        <w:widowControl w:val="0"/>
        <w:kinsoku/>
        <w:wordWrap/>
        <w:overflowPunct/>
        <w:topLinePunct w:val="0"/>
        <w:autoSpaceDE/>
        <w:autoSpaceDN/>
        <w:adjustRightInd/>
        <w:snapToGrid/>
        <w:spacing w:line="560" w:lineRule="exact"/>
        <w:textAlignment w:val="auto"/>
        <w:rPr>
          <w:rFonts w:hint="eastAsia" w:ascii="方正小标宋简体" w:hAnsi="方正小标宋简体" w:eastAsia="方正小标宋简体" w:cs="方正小标宋简体"/>
          <w:sz w:val="44"/>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690"/>
        <w:gridCol w:w="1455"/>
        <w:gridCol w:w="15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01" w:type="dxa"/>
            <w:shd w:val="clear" w:color="auto" w:fill="auto"/>
            <w:noWrap w:val="0"/>
            <w:vAlign w:val="center"/>
          </w:tcPr>
          <w:p>
            <w:pPr>
              <w:widowControl w:val="0"/>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3690" w:type="dxa"/>
            <w:shd w:val="clear" w:color="auto" w:fill="auto"/>
            <w:noWrap w:val="0"/>
            <w:vAlign w:val="center"/>
          </w:tcPr>
          <w:p>
            <w:pPr>
              <w:widowControl w:val="0"/>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企业名称</w:t>
            </w:r>
          </w:p>
        </w:tc>
        <w:tc>
          <w:tcPr>
            <w:tcW w:w="1455" w:type="dxa"/>
            <w:shd w:val="clear" w:color="auto" w:fill="auto"/>
            <w:noWrap w:val="0"/>
            <w:vAlign w:val="center"/>
          </w:tcPr>
          <w:p>
            <w:pPr>
              <w:widowControl w:val="0"/>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企业类别</w:t>
            </w:r>
          </w:p>
        </w:tc>
        <w:tc>
          <w:tcPr>
            <w:tcW w:w="1560" w:type="dxa"/>
            <w:shd w:val="clear" w:color="auto" w:fill="auto"/>
            <w:noWrap w:val="0"/>
            <w:vAlign w:val="center"/>
          </w:tcPr>
          <w:p>
            <w:pPr>
              <w:widowControl w:val="0"/>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所属区域</w:t>
            </w:r>
          </w:p>
        </w:tc>
        <w:tc>
          <w:tcPr>
            <w:tcW w:w="1080" w:type="dxa"/>
            <w:shd w:val="clear" w:color="auto" w:fill="auto"/>
            <w:noWrap w:val="0"/>
            <w:vAlign w:val="center"/>
          </w:tcPr>
          <w:p>
            <w:pPr>
              <w:widowControl w:val="0"/>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b/>
                <w:color w:val="auto"/>
                <w:sz w:val="24"/>
                <w:szCs w:val="24"/>
                <w:vertAlign w:val="baseline"/>
                <w:lang w:val="en-US" w:eastAsia="zh-CN"/>
              </w:rPr>
            </w:pPr>
            <w:r>
              <w:rPr>
                <w:rFonts w:hint="eastAsia" w:ascii="仿宋_GB2312" w:eastAsia="仿宋_GB2312"/>
                <w:b/>
                <w:color w:val="auto"/>
                <w:sz w:val="24"/>
                <w:szCs w:val="24"/>
                <w:vertAlign w:val="baseline"/>
                <w:lang w:val="en-US" w:eastAsia="zh-CN"/>
              </w:rPr>
              <w:t>一</w:t>
            </w:r>
          </w:p>
        </w:tc>
        <w:tc>
          <w:tcPr>
            <w:tcW w:w="7785" w:type="dxa"/>
            <w:gridSpan w:val="4"/>
            <w:shd w:val="clear" w:color="auto" w:fill="auto"/>
            <w:noWrap w:val="0"/>
            <w:vAlign w:val="center"/>
          </w:tcPr>
          <w:p>
            <w:pPr>
              <w:widowControl w:val="0"/>
              <w:jc w:val="left"/>
              <w:rPr>
                <w:rFonts w:hint="eastAsia" w:ascii="仿宋_GB2312" w:eastAsia="仿宋_GB2312"/>
                <w:b/>
                <w:color w:val="auto"/>
                <w:sz w:val="24"/>
                <w:szCs w:val="24"/>
                <w:vertAlign w:val="baseline"/>
                <w:lang w:eastAsia="zh-CN"/>
              </w:rPr>
            </w:pPr>
            <w:r>
              <w:rPr>
                <w:rFonts w:hint="eastAsia" w:ascii="仿宋_GB2312" w:eastAsia="仿宋_GB2312"/>
                <w:b/>
                <w:color w:val="auto"/>
                <w:sz w:val="24"/>
                <w:szCs w:val="24"/>
                <w:vertAlign w:val="baseline"/>
                <w:lang w:val="en-US" w:eastAsia="zh-CN"/>
              </w:rPr>
              <w:t>化工</w:t>
            </w:r>
            <w:r>
              <w:rPr>
                <w:rFonts w:hint="eastAsia" w:ascii="仿宋_GB2312" w:eastAsia="仿宋_GB2312"/>
                <w:b/>
                <w:color w:val="auto"/>
                <w:sz w:val="24"/>
                <w:szCs w:val="24"/>
                <w:vertAlign w:val="baseline"/>
                <w:lang w:eastAsia="zh-CN"/>
              </w:rPr>
              <w:t>行业安全生产标准化三级达标企业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b/>
                <w:color w:val="auto"/>
                <w:sz w:val="24"/>
                <w:szCs w:val="24"/>
                <w:vertAlign w:val="baseline"/>
                <w:lang w:val="en-US" w:eastAsia="zh-CN"/>
              </w:rPr>
            </w:pPr>
            <w:r>
              <w:rPr>
                <w:rFonts w:hint="eastAsia" w:ascii="仿宋_GB2312" w:eastAsia="仿宋_GB2312"/>
                <w:b/>
                <w:color w:val="auto"/>
                <w:sz w:val="24"/>
                <w:szCs w:val="24"/>
                <w:vertAlign w:val="baseline"/>
                <w:lang w:val="en-US" w:eastAsia="zh-CN"/>
              </w:rPr>
              <w:t>二</w:t>
            </w:r>
          </w:p>
        </w:tc>
        <w:tc>
          <w:tcPr>
            <w:tcW w:w="7785" w:type="dxa"/>
            <w:gridSpan w:val="4"/>
            <w:shd w:val="clear" w:color="auto" w:fill="auto"/>
            <w:noWrap w:val="0"/>
            <w:vAlign w:val="center"/>
          </w:tcPr>
          <w:p>
            <w:pPr>
              <w:widowControl w:val="0"/>
              <w:jc w:val="left"/>
              <w:rPr>
                <w:rFonts w:hint="eastAsia" w:ascii="仿宋_GB2312" w:eastAsia="仿宋_GB2312"/>
                <w:b/>
                <w:color w:val="auto"/>
                <w:sz w:val="24"/>
                <w:szCs w:val="24"/>
                <w:vertAlign w:val="baseline"/>
                <w:lang w:eastAsia="zh-CN"/>
              </w:rPr>
            </w:pPr>
            <w:r>
              <w:rPr>
                <w:rFonts w:hint="eastAsia" w:ascii="仿宋_GB2312" w:eastAsia="仿宋_GB2312"/>
                <w:b/>
                <w:color w:val="auto"/>
                <w:sz w:val="24"/>
                <w:szCs w:val="24"/>
                <w:vertAlign w:val="baseline"/>
                <w:lang w:eastAsia="zh-CN"/>
              </w:rPr>
              <w:t>医药行业安全生产标准化三级达标企业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b/>
                <w:color w:val="auto"/>
                <w:sz w:val="24"/>
                <w:szCs w:val="24"/>
                <w:vertAlign w:val="baseline"/>
                <w:lang w:val="en-US" w:eastAsia="zh-CN"/>
              </w:rPr>
            </w:pPr>
            <w:r>
              <w:rPr>
                <w:rFonts w:hint="eastAsia" w:ascii="仿宋_GB2312" w:eastAsia="仿宋_GB2312"/>
                <w:b/>
                <w:color w:val="auto"/>
                <w:sz w:val="24"/>
                <w:szCs w:val="24"/>
                <w:vertAlign w:val="baseline"/>
                <w:lang w:val="en-US" w:eastAsia="zh-CN"/>
              </w:rPr>
              <w:t>三</w:t>
            </w:r>
          </w:p>
        </w:tc>
        <w:tc>
          <w:tcPr>
            <w:tcW w:w="7785" w:type="dxa"/>
            <w:gridSpan w:val="4"/>
            <w:shd w:val="clear" w:color="auto" w:fill="auto"/>
            <w:noWrap w:val="0"/>
            <w:vAlign w:val="center"/>
          </w:tcPr>
          <w:p>
            <w:pPr>
              <w:widowControl w:val="0"/>
              <w:jc w:val="left"/>
              <w:rPr>
                <w:rFonts w:hint="eastAsia" w:ascii="仿宋_GB2312" w:eastAsia="仿宋_GB2312"/>
                <w:b/>
                <w:color w:val="auto"/>
                <w:sz w:val="24"/>
                <w:szCs w:val="24"/>
                <w:vertAlign w:val="baseline"/>
                <w:lang w:eastAsia="zh-CN"/>
              </w:rPr>
            </w:pPr>
            <w:r>
              <w:rPr>
                <w:rFonts w:hint="eastAsia" w:ascii="仿宋_GB2312" w:eastAsia="仿宋_GB2312"/>
                <w:b/>
                <w:color w:val="auto"/>
                <w:sz w:val="24"/>
                <w:szCs w:val="24"/>
                <w:vertAlign w:val="baseline"/>
                <w:lang w:eastAsia="zh-CN"/>
              </w:rPr>
              <w:t>危险化学品安全生产标准化三级达标企业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1</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深圳市普滨实业有限公司第一加油站</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2</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深圳市普滨实业有限公司龙华加油站</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3</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深圳市金龙安加油站有限公司</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4</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深圳市宝安区龙华供销社加油站</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5</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深圳市油松加油站有限公司</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6</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深圳市同方电子新材料有限公司</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生产企业</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7</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深圳市中油宏锦能源石油有限公司新劲源加油站</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8</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深圳雅联新材料有限公司</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生产企业</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9</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中国石化销售股份有限公司广东深圳观澜加油站</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1"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10</w:t>
            </w:r>
          </w:p>
        </w:tc>
        <w:tc>
          <w:tcPr>
            <w:tcW w:w="369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eastAsia="zh-CN"/>
              </w:rPr>
              <w:t>深圳市贺浩加油站有限公司龙环分公司</w:t>
            </w:r>
          </w:p>
        </w:tc>
        <w:tc>
          <w:tcPr>
            <w:tcW w:w="1455" w:type="dxa"/>
            <w:shd w:val="clear" w:color="auto" w:fill="auto"/>
            <w:noWrap w:val="0"/>
            <w:vAlign w:val="center"/>
          </w:tcPr>
          <w:p>
            <w:pPr>
              <w:widowControl w:val="0"/>
              <w:jc w:val="center"/>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加油站</w:t>
            </w:r>
          </w:p>
        </w:tc>
        <w:tc>
          <w:tcPr>
            <w:tcW w:w="156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r>
              <w:rPr>
                <w:rFonts w:hint="eastAsia" w:ascii="仿宋_GB2312" w:eastAsia="仿宋_GB2312"/>
                <w:color w:val="auto"/>
                <w:sz w:val="24"/>
                <w:szCs w:val="24"/>
                <w:vertAlign w:val="baseline"/>
                <w:lang w:val="en-US" w:eastAsia="zh-CN"/>
              </w:rPr>
              <w:t>龙华区</w:t>
            </w:r>
          </w:p>
        </w:tc>
        <w:tc>
          <w:tcPr>
            <w:tcW w:w="1080" w:type="dxa"/>
            <w:shd w:val="clear" w:color="auto" w:fill="auto"/>
            <w:noWrap w:val="0"/>
            <w:vAlign w:val="center"/>
          </w:tcPr>
          <w:p>
            <w:pPr>
              <w:widowControl w:val="0"/>
              <w:jc w:val="center"/>
              <w:rPr>
                <w:rFonts w:hint="eastAsia" w:ascii="仿宋_GB2312" w:eastAsia="仿宋_GB2312"/>
                <w:color w:val="auto"/>
                <w:sz w:val="24"/>
                <w:szCs w:val="24"/>
                <w:vertAlign w:val="baseline"/>
                <w:lang w:eastAsia="zh-CN"/>
              </w:rPr>
            </w:pPr>
          </w:p>
        </w:tc>
      </w:tr>
    </w:tbl>
    <w:p>
      <w:pPr>
        <w:keepNext w:val="0"/>
        <w:keepLines w:val="0"/>
        <w:pageBreakBefore w:val="0"/>
        <w:widowControl w:val="0"/>
        <w:kinsoku/>
        <w:wordWrap/>
        <w:overflowPunct/>
        <w:topLinePunct w:val="0"/>
        <w:autoSpaceDE/>
        <w:autoSpaceDN/>
        <w:adjustRightInd/>
        <w:snapToGrid/>
        <w:spacing w:line="560" w:lineRule="exact"/>
        <w:textAlignment w:val="auto"/>
        <w:rPr>
          <w:rFonts w:hint="eastAsia" w:ascii="方正小标宋简体" w:hAnsi="方正小标宋简体" w:eastAsia="方正小标宋简体" w:cs="方正小标宋简体"/>
          <w:sz w:val="44"/>
          <w:szCs w:val="44"/>
        </w:rPr>
      </w:pPr>
    </w:p>
    <w:p>
      <w:pPr>
        <w:spacing w:beforeLines="0" w:afterLines="0"/>
        <w:jc w:val="left"/>
        <w:rPr>
          <w:rFonts w:hint="default" w:ascii="FangSong_GB2312" w:hAnsi="FangSong_GB2312" w:eastAsia="FangSong_GB2312"/>
          <w:sz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B735A"/>
    <w:rsid w:val="6FFD0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lang w:val="en-US" w:eastAsia="zh-CN"/>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2</TotalTime>
  <ScaleCrop>false</ScaleCrop>
  <LinksUpToDate>false</LinksUpToDate>
  <CharactersWithSpaces>0</CharactersWithSpaces>
  <Application>WPS Office_11.8.2.10458_F1E327BC-269C-435d-A152-05C5408002CA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2015-04-20T17:04:00Z</dcterms:created>
  <dc:creator>Administrator</dc:creator>
  <cp:lastModifiedBy>liuxinwu</cp:lastModifiedBy>
  <dcterms:modified xsi:type="dcterms:W3CDTF">2023-11-10T15:50:05Z</dcterms:modified>
  <dc:title>关于路南区工贸行业小微企业安全生产标 准化达标准企业的公示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