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9264" behindDoc="0" locked="0" layoutInCell="1" allowOverlap="1">
                <wp:simplePos x="0" y="0"/>
                <wp:positionH relativeFrom="column">
                  <wp:posOffset>-779145</wp:posOffset>
                </wp:positionH>
                <wp:positionV relativeFrom="paragraph">
                  <wp:posOffset>-681355</wp:posOffset>
                </wp:positionV>
                <wp:extent cx="846455" cy="422910"/>
                <wp:effectExtent l="0" t="0" r="0" b="0"/>
                <wp:wrapNone/>
                <wp:docPr id="3" name="文本框 3"/>
                <wp:cNvGraphicFramePr/>
                <a:graphic xmlns:a="http://schemas.openxmlformats.org/drawingml/2006/main">
                  <a:graphicData uri="http://schemas.microsoft.com/office/word/2010/wordprocessingShape">
                    <wps:wsp>
                      <wps:cNvSpPr txBox="1"/>
                      <wps:spPr>
                        <a:xfrm>
                          <a:off x="707390" y="391795"/>
                          <a:ext cx="846455" cy="422910"/>
                        </a:xfrm>
                        <a:prstGeom prst="rect">
                          <a:avLst/>
                        </a:prstGeom>
                        <a:noFill/>
                        <a:ln w="6350">
                          <a:noFill/>
                        </a:ln>
                        <a:effectLst/>
                      </wps:spPr>
                      <wps:txbx>
                        <w:txbxContent>
                          <w:p>
                            <w:pPr>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35pt;margin-top:-53.65pt;height:33.3pt;width:66.65pt;z-index:251659264;mso-width-relative:page;mso-height-relative:page;" filled="f" stroked="f" coordsize="21600,21600" o:gfxdata="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fHZpNsAAAAMAQAADwAA&#10;AAAAAAABACAAAAAiAAAAZHJzL2Rvd25yZXYueG1sUEsBAhQAFAAAAAgAh07iQOeXcaBMAgAAfQQA&#10;AA4AAAAAAAAAAQAgAAAAKgEAAGRycy9lMm9Eb2MueG1sUEsFBgAAAAAGAAYAWQEAAOgFAAAAAA==&#10;">
                <v:fill on="f"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txbxContent>
                </v:textbox>
              </v:shape>
            </w:pict>
          </mc:Fallback>
        </mc:AlternateContent>
      </w:r>
      <w:r>
        <w:rPr>
          <w:rFonts w:hint="eastAsia" w:ascii="方正小标宋简体" w:hAnsi="方正小标宋简体" w:eastAsia="方正小标宋简体" w:cs="方正小标宋简体"/>
          <w:sz w:val="44"/>
          <w:szCs w:val="44"/>
        </w:rPr>
        <w:t>龙华区2021年重点工作任务分解表（</w:t>
      </w:r>
      <w:r>
        <w:rPr>
          <w:rFonts w:hint="eastAsia" w:ascii="方正小标宋简体" w:hAnsi="方正小标宋简体" w:eastAsia="方正小标宋简体" w:cs="方正小标宋简体"/>
          <w:sz w:val="44"/>
          <w:szCs w:val="44"/>
          <w:lang w:eastAsia="zh-CN"/>
        </w:rPr>
        <w:t>主办</w:t>
      </w:r>
      <w:r>
        <w:rPr>
          <w:rFonts w:hint="eastAsia" w:ascii="方正小标宋简体" w:hAnsi="方正小标宋简体" w:eastAsia="方正小标宋简体" w:cs="方正小标宋简体"/>
          <w:sz w:val="44"/>
          <w:szCs w:val="44"/>
        </w:rPr>
        <w:t>9项）</w:t>
      </w:r>
    </w:p>
    <w:p/>
    <w:tbl>
      <w:tblPr>
        <w:tblStyle w:val="7"/>
        <w:tblW w:w="20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400"/>
        <w:gridCol w:w="5379"/>
        <w:gridCol w:w="5185"/>
        <w:gridCol w:w="1650"/>
        <w:gridCol w:w="2743"/>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blHeader/>
        </w:trPr>
        <w:tc>
          <w:tcPr>
            <w:tcW w:w="1414" w:type="dxa"/>
            <w:vAlign w:val="center"/>
          </w:tcPr>
          <w:p>
            <w:pPr>
              <w:tabs>
                <w:tab w:val="left" w:pos="2730"/>
              </w:tabs>
              <w:jc w:val="center"/>
              <w:rPr>
                <w:vertAlign w:val="baseline"/>
              </w:rPr>
            </w:pPr>
            <w:r>
              <w:rPr>
                <w:rFonts w:hint="eastAsia" w:ascii="黑体" w:hAnsi="黑体" w:eastAsia="黑体"/>
                <w:sz w:val="28"/>
                <w:szCs w:val="28"/>
              </w:rPr>
              <w:t>序号</w:t>
            </w:r>
          </w:p>
        </w:tc>
        <w:tc>
          <w:tcPr>
            <w:tcW w:w="2400" w:type="dxa"/>
            <w:vAlign w:val="center"/>
          </w:tcPr>
          <w:p>
            <w:pPr>
              <w:tabs>
                <w:tab w:val="left" w:pos="2730"/>
              </w:tabs>
              <w:jc w:val="center"/>
              <w:rPr>
                <w:vertAlign w:val="baseline"/>
              </w:rPr>
            </w:pPr>
            <w:r>
              <w:rPr>
                <w:rFonts w:hint="eastAsia" w:ascii="黑体" w:hAnsi="黑体" w:eastAsia="黑体"/>
                <w:sz w:val="28"/>
                <w:szCs w:val="28"/>
              </w:rPr>
              <w:t>具体工作事项</w:t>
            </w:r>
          </w:p>
        </w:tc>
        <w:tc>
          <w:tcPr>
            <w:tcW w:w="5379" w:type="dxa"/>
            <w:vAlign w:val="center"/>
          </w:tcPr>
          <w:p>
            <w:pPr>
              <w:tabs>
                <w:tab w:val="left" w:pos="2730"/>
              </w:tabs>
              <w:jc w:val="center"/>
              <w:rPr>
                <w:vertAlign w:val="baseline"/>
              </w:rPr>
            </w:pPr>
            <w:r>
              <w:rPr>
                <w:rFonts w:hint="eastAsia" w:ascii="黑体" w:hAnsi="黑体" w:eastAsia="黑体"/>
                <w:sz w:val="28"/>
                <w:szCs w:val="28"/>
              </w:rPr>
              <w:t>第</w:t>
            </w:r>
            <w:r>
              <w:rPr>
                <w:rFonts w:hint="eastAsia" w:ascii="黑体" w:hAnsi="黑体" w:eastAsia="黑体"/>
                <w:sz w:val="28"/>
                <w:szCs w:val="28"/>
                <w:lang w:eastAsia="zh-CN"/>
              </w:rPr>
              <w:t>三</w:t>
            </w:r>
            <w:r>
              <w:rPr>
                <w:rFonts w:hint="eastAsia" w:ascii="黑体" w:hAnsi="黑体" w:eastAsia="黑体"/>
                <w:sz w:val="28"/>
                <w:szCs w:val="28"/>
              </w:rPr>
              <w:t>季度目标</w:t>
            </w:r>
          </w:p>
        </w:tc>
        <w:tc>
          <w:tcPr>
            <w:tcW w:w="5185" w:type="dxa"/>
            <w:vAlign w:val="center"/>
          </w:tcPr>
          <w:p>
            <w:pPr>
              <w:tabs>
                <w:tab w:val="left" w:pos="2730"/>
              </w:tabs>
              <w:jc w:val="center"/>
              <w:rPr>
                <w:vertAlign w:val="baseline"/>
              </w:rPr>
            </w:pPr>
            <w:r>
              <w:rPr>
                <w:rFonts w:hint="eastAsia" w:ascii="黑体" w:hAnsi="黑体" w:eastAsia="黑体"/>
                <w:sz w:val="28"/>
                <w:szCs w:val="28"/>
                <w:lang w:val="en-US" w:eastAsia="zh-CN"/>
              </w:rPr>
              <w:t>第三季度完成情况</w:t>
            </w:r>
          </w:p>
        </w:tc>
        <w:tc>
          <w:tcPr>
            <w:tcW w:w="1650" w:type="dxa"/>
            <w:vAlign w:val="center"/>
          </w:tcPr>
          <w:p>
            <w:pPr>
              <w:keepNext w:val="0"/>
              <w:keepLines w:val="0"/>
              <w:pageBreakBefore w:val="0"/>
              <w:widowControl w:val="0"/>
              <w:tabs>
                <w:tab w:val="left" w:pos="2730"/>
              </w:tabs>
              <w:kinsoku/>
              <w:wordWrap/>
              <w:overflowPunct/>
              <w:topLinePunct w:val="0"/>
              <w:autoSpaceDE/>
              <w:autoSpaceDN/>
              <w:bidi w:val="0"/>
              <w:adjustRightInd/>
              <w:snapToGrid/>
              <w:spacing w:line="300" w:lineRule="exact"/>
              <w:jc w:val="center"/>
              <w:textAlignment w:val="auto"/>
              <w:rPr>
                <w:vertAlign w:val="baseline"/>
              </w:rPr>
            </w:pPr>
            <w:r>
              <w:rPr>
                <w:rFonts w:hint="eastAsia" w:ascii="黑体" w:hAnsi="黑体" w:eastAsia="黑体"/>
                <w:color w:val="auto"/>
                <w:sz w:val="28"/>
                <w:szCs w:val="28"/>
                <w:lang w:val="en-US" w:eastAsia="zh-CN"/>
              </w:rPr>
              <w:t>是否完成</w:t>
            </w:r>
          </w:p>
        </w:tc>
        <w:tc>
          <w:tcPr>
            <w:tcW w:w="2743" w:type="dxa"/>
            <w:vAlign w:val="center"/>
          </w:tcPr>
          <w:p>
            <w:pPr>
              <w:tabs>
                <w:tab w:val="left" w:pos="2730"/>
              </w:tabs>
              <w:jc w:val="center"/>
              <w:rPr>
                <w:vertAlign w:val="baseline"/>
              </w:rPr>
            </w:pPr>
            <w:r>
              <w:rPr>
                <w:rFonts w:hint="eastAsia" w:ascii="黑体" w:hAnsi="黑体" w:eastAsia="黑体"/>
                <w:color w:val="auto"/>
                <w:sz w:val="28"/>
                <w:szCs w:val="28"/>
              </w:rPr>
              <w:t>主办单位</w:t>
            </w:r>
          </w:p>
        </w:tc>
        <w:tc>
          <w:tcPr>
            <w:tcW w:w="2186" w:type="dxa"/>
            <w:vAlign w:val="center"/>
          </w:tcPr>
          <w:p>
            <w:pPr>
              <w:tabs>
                <w:tab w:val="left" w:pos="2730"/>
              </w:tabs>
              <w:jc w:val="center"/>
              <w:rPr>
                <w:vertAlign w:val="baseline"/>
              </w:rPr>
            </w:pPr>
            <w:r>
              <w:rPr>
                <w:rFonts w:hint="eastAsia" w:ascii="黑体" w:hAnsi="黑体" w:eastAsia="黑体"/>
                <w:sz w:val="28"/>
                <w:szCs w:val="2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25</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打造地铁4号线商业活力带。</w:t>
            </w:r>
          </w:p>
        </w:tc>
        <w:tc>
          <w:tcPr>
            <w:tcW w:w="5379" w:type="dxa"/>
            <w:vAlign w:val="center"/>
          </w:tcPr>
          <w:p>
            <w:pPr>
              <w:spacing w:line="300" w:lineRule="exact"/>
              <w:jc w:val="both"/>
              <w:rPr>
                <w:vertAlign w:val="baseline"/>
              </w:rPr>
            </w:pPr>
            <w:r>
              <w:rPr>
                <w:rFonts w:hint="eastAsia" w:ascii="仿宋_GB2312" w:hAnsi="仿宋_GB2312" w:eastAsia="仿宋_GB2312" w:cs="仿宋_GB2312"/>
                <w:sz w:val="24"/>
                <w:lang w:eastAsia="zh-CN"/>
              </w:rPr>
              <w:t>鼓励地铁</w:t>
            </w:r>
            <w:r>
              <w:rPr>
                <w:rFonts w:hint="eastAsia" w:ascii="仿宋_GB2312" w:hAnsi="仿宋_GB2312" w:eastAsia="仿宋_GB2312" w:cs="仿宋_GB2312"/>
                <w:sz w:val="24"/>
                <w:lang w:val="en-US" w:eastAsia="zh-CN"/>
              </w:rPr>
              <w:t>4号线沿线大型综合体及商超根据实际情况，每季度至少举办1场大型促销活动，促进消费，吸引更多的人流。</w:t>
            </w:r>
          </w:p>
        </w:tc>
        <w:tc>
          <w:tcPr>
            <w:tcW w:w="5185" w:type="dxa"/>
            <w:vAlign w:val="center"/>
          </w:tcPr>
          <w:p>
            <w:pPr>
              <w:spacing w:line="300" w:lineRule="exact"/>
              <w:jc w:val="both"/>
              <w:rPr>
                <w:rFonts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lang w:val="en-US" w:eastAsia="zh-CN"/>
              </w:rPr>
              <w:t>鼓励地铁4号线沿线商业综合体（龙华天虹购物中心、红山6979、上河坊欢乐小镇、上塘荟、玖珑荟）根据实际情况多举办促销活动。经发动，龙华购物节期间上述商业综合体举办了27场活动,促进消费，吸引更多的人流。</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lang w:val="en-US"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工业和信息化局、</w:t>
            </w:r>
            <w:r>
              <w:rPr>
                <w:rFonts w:hint="eastAsia" w:ascii="仿宋_GB2312" w:hAnsi="仿宋_GB2312" w:eastAsia="仿宋_GB2312" w:cs="仿宋_GB2312"/>
                <w:color w:val="FF0000"/>
                <w:sz w:val="24"/>
              </w:rPr>
              <w:t>民治街道(经济服务办）</w:t>
            </w:r>
            <w:r>
              <w:rPr>
                <w:rFonts w:hint="eastAsia" w:ascii="仿宋_GB2312" w:hAnsi="仿宋_GB2312" w:eastAsia="仿宋_GB2312" w:cs="仿宋_GB2312"/>
                <w:color w:val="auto"/>
                <w:sz w:val="24"/>
              </w:rPr>
              <w:t>、龙华街道、福城街道、观澜街道</w:t>
            </w:r>
          </w:p>
        </w:tc>
        <w:tc>
          <w:tcPr>
            <w:tcW w:w="2186" w:type="dxa"/>
            <w:vAlign w:val="center"/>
          </w:tcPr>
          <w:p>
            <w:pPr>
              <w:spacing w:line="3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26</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构建以市级综合商圈、区级特色商圈、夜间经济示范街为主体的龙华商圈体系。</w:t>
            </w:r>
          </w:p>
        </w:tc>
        <w:tc>
          <w:tcPr>
            <w:tcW w:w="5379" w:type="dxa"/>
            <w:vAlign w:val="center"/>
          </w:tcPr>
          <w:p>
            <w:pPr>
              <w:spacing w:line="300" w:lineRule="exact"/>
              <w:jc w:val="both"/>
              <w:rPr>
                <w:vertAlign w:val="baseline"/>
              </w:rPr>
            </w:pPr>
            <w:r>
              <w:rPr>
                <w:rFonts w:hint="eastAsia" w:ascii="仿宋_GB2312" w:hAnsi="仿宋_GB2312" w:eastAsia="仿宋_GB2312" w:cs="仿宋_GB2312"/>
                <w:color w:val="auto"/>
                <w:sz w:val="24"/>
                <w:highlight w:val="none"/>
                <w:lang w:val="en-US" w:eastAsia="zh-CN"/>
              </w:rPr>
              <w:t>积极组织</w:t>
            </w:r>
            <w:r>
              <w:rPr>
                <w:rFonts w:hint="default" w:ascii="仿宋_GB2312" w:hAnsi="仿宋_GB2312" w:eastAsia="仿宋_GB2312" w:cs="仿宋_GB2312"/>
                <w:color w:val="auto"/>
                <w:sz w:val="24"/>
                <w:highlight w:val="none"/>
                <w:lang w:val="en-US" w:eastAsia="zh-CN"/>
              </w:rPr>
              <w:t>辖区</w:t>
            </w:r>
            <w:r>
              <w:rPr>
                <w:rFonts w:hint="eastAsia" w:ascii="仿宋_GB2312" w:hAnsi="仿宋_GB2312" w:eastAsia="仿宋_GB2312" w:cs="仿宋_GB2312"/>
                <w:color w:val="auto"/>
                <w:sz w:val="24"/>
                <w:highlight w:val="none"/>
                <w:lang w:val="en-US" w:eastAsia="zh-CN"/>
              </w:rPr>
              <w:t>大型</w:t>
            </w:r>
            <w:r>
              <w:rPr>
                <w:rFonts w:hint="default" w:ascii="仿宋_GB2312" w:hAnsi="仿宋_GB2312" w:eastAsia="仿宋_GB2312" w:cs="仿宋_GB2312"/>
                <w:color w:val="auto"/>
                <w:sz w:val="24"/>
                <w:highlight w:val="none"/>
                <w:lang w:val="en-US" w:eastAsia="zh-CN"/>
              </w:rPr>
              <w:t>综合体、大型商超和汽车销售等商贸领域重点经营场所开展形式多样、氛围浓厚的促消费活动,</w:t>
            </w:r>
            <w:r>
              <w:rPr>
                <w:rFonts w:hint="eastAsia" w:ascii="仿宋_GB2312" w:hAnsi="仿宋_GB2312" w:eastAsia="仿宋_GB2312" w:cs="仿宋_GB2312"/>
                <w:color w:val="auto"/>
                <w:sz w:val="24"/>
                <w:highlight w:val="none"/>
                <w:lang w:val="en-US" w:eastAsia="zh-CN"/>
              </w:rPr>
              <w:t>每季度至少举办1场，</w:t>
            </w:r>
            <w:r>
              <w:rPr>
                <w:rFonts w:hint="default" w:ascii="仿宋_GB2312" w:hAnsi="仿宋_GB2312" w:eastAsia="仿宋_GB2312" w:cs="仿宋_GB2312"/>
                <w:color w:val="auto"/>
                <w:sz w:val="24"/>
                <w:highlight w:val="none"/>
                <w:lang w:val="en-US" w:eastAsia="zh-CN"/>
              </w:rPr>
              <w:t>助推</w:t>
            </w:r>
            <w:r>
              <w:rPr>
                <w:rFonts w:hint="eastAsia" w:ascii="仿宋_GB2312" w:hAnsi="仿宋_GB2312" w:eastAsia="仿宋_GB2312" w:cs="仿宋_GB2312"/>
                <w:color w:val="auto"/>
                <w:sz w:val="24"/>
                <w:highlight w:val="none"/>
                <w:lang w:val="en-US" w:eastAsia="zh-CN"/>
              </w:rPr>
              <w:t>辖区商圈</w:t>
            </w:r>
            <w:r>
              <w:rPr>
                <w:rFonts w:hint="default" w:ascii="仿宋_GB2312" w:hAnsi="仿宋_GB2312" w:eastAsia="仿宋_GB2312" w:cs="仿宋_GB2312"/>
                <w:color w:val="auto"/>
                <w:sz w:val="24"/>
                <w:highlight w:val="none"/>
                <w:lang w:val="en-US" w:eastAsia="zh-CN"/>
              </w:rPr>
              <w:t>高质量</w:t>
            </w:r>
            <w:r>
              <w:rPr>
                <w:rFonts w:hint="eastAsia" w:ascii="仿宋_GB2312" w:hAnsi="仿宋_GB2312" w:eastAsia="仿宋_GB2312" w:cs="仿宋_GB2312"/>
                <w:color w:val="auto"/>
                <w:sz w:val="24"/>
                <w:highlight w:val="none"/>
                <w:lang w:val="en-US" w:eastAsia="zh-CN"/>
              </w:rPr>
              <w:t>发展。民塘路(金龙路以南)道路整治工程及上河坊酒吧街景观提升工程进场施工，并完成80%工程量。</w:t>
            </w:r>
          </w:p>
        </w:tc>
        <w:tc>
          <w:tcPr>
            <w:tcW w:w="51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z w:val="24"/>
                <w:szCs w:val="24"/>
                <w:lang w:val="en-US" w:eastAsia="zh-CN"/>
              </w:rPr>
              <w:t>积极组织</w:t>
            </w:r>
            <w:r>
              <w:rPr>
                <w:rFonts w:hint="default" w:ascii="仿宋_GB2312" w:hAnsi="仿宋_GB2312" w:eastAsia="仿宋_GB2312" w:cs="仿宋_GB2312"/>
                <w:sz w:val="24"/>
                <w:szCs w:val="24"/>
                <w:lang w:val="en-US" w:eastAsia="zh-CN"/>
              </w:rPr>
              <w:t>辖区</w:t>
            </w:r>
            <w:r>
              <w:rPr>
                <w:rFonts w:hint="eastAsia" w:ascii="仿宋_GB2312" w:hAnsi="仿宋_GB2312" w:eastAsia="仿宋_GB2312" w:cs="仿宋_GB2312"/>
                <w:sz w:val="24"/>
                <w:szCs w:val="24"/>
                <w:lang w:val="en-US" w:eastAsia="zh-CN"/>
              </w:rPr>
              <w:t>大型</w:t>
            </w:r>
            <w:r>
              <w:rPr>
                <w:rFonts w:hint="default" w:ascii="仿宋_GB2312" w:hAnsi="仿宋_GB2312" w:eastAsia="仿宋_GB2312" w:cs="仿宋_GB2312"/>
                <w:sz w:val="24"/>
                <w:szCs w:val="24"/>
                <w:lang w:val="en-US" w:eastAsia="zh-CN"/>
              </w:rPr>
              <w:t>综合体、大型商超和汽车销售等商贸领域重点经营场所开展形式多样、氛围浓厚的促消费活动</w:t>
            </w:r>
            <w:r>
              <w:rPr>
                <w:rFonts w:hint="eastAsia" w:ascii="仿宋_GB2312" w:hAnsi="仿宋_GB2312" w:eastAsia="仿宋_GB2312" w:cs="仿宋_GB2312"/>
                <w:sz w:val="24"/>
                <w:szCs w:val="24"/>
                <w:lang w:val="en-US" w:eastAsia="zh-CN"/>
              </w:rPr>
              <w:t>。龙华购物节期间，辖区大型商业综合体举办了折扣促销活动52场，</w:t>
            </w:r>
            <w:r>
              <w:rPr>
                <w:rFonts w:hint="default" w:ascii="仿宋_GB2312" w:hAnsi="仿宋_GB2312" w:eastAsia="仿宋_GB2312" w:cs="仿宋_GB2312"/>
                <w:sz w:val="24"/>
                <w:szCs w:val="24"/>
                <w:lang w:val="en-US" w:eastAsia="zh-CN"/>
              </w:rPr>
              <w:t>助推</w:t>
            </w:r>
            <w:r>
              <w:rPr>
                <w:rFonts w:hint="eastAsia" w:ascii="仿宋_GB2312" w:hAnsi="仿宋_GB2312" w:eastAsia="仿宋_GB2312" w:cs="仿宋_GB2312"/>
                <w:sz w:val="24"/>
                <w:szCs w:val="24"/>
                <w:lang w:val="en-US" w:eastAsia="zh-CN"/>
              </w:rPr>
              <w:t>辖区商圈</w:t>
            </w:r>
            <w:r>
              <w:rPr>
                <w:rFonts w:hint="default" w:ascii="仿宋_GB2312" w:hAnsi="仿宋_GB2312" w:eastAsia="仿宋_GB2312" w:cs="仿宋_GB2312"/>
                <w:sz w:val="24"/>
                <w:szCs w:val="24"/>
                <w:lang w:val="en-US" w:eastAsia="zh-CN"/>
              </w:rPr>
              <w:t>高质量</w:t>
            </w:r>
            <w:r>
              <w:rPr>
                <w:rFonts w:hint="eastAsia" w:ascii="仿宋_GB2312" w:hAnsi="仿宋_GB2312" w:eastAsia="仿宋_GB2312" w:cs="仿宋_GB2312"/>
                <w:sz w:val="24"/>
                <w:szCs w:val="24"/>
                <w:lang w:val="en-US" w:eastAsia="zh-CN"/>
              </w:rPr>
              <w:t>发展。</w:t>
            </w:r>
          </w:p>
          <w:p>
            <w:pPr>
              <w:numPr>
                <w:ilvl w:val="0"/>
                <w:numId w:val="0"/>
              </w:numPr>
              <w:spacing w:line="300" w:lineRule="exact"/>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截至9月15日，上河坊酒吧街景观提升工程已完成工程量85%，预计十月底完工。</w:t>
            </w:r>
          </w:p>
          <w:p>
            <w:pPr>
              <w:numPr>
                <w:ilvl w:val="0"/>
                <w:numId w:val="0"/>
              </w:numPr>
              <w:spacing w:line="300" w:lineRule="exact"/>
              <w:ind w:left="0" w:leftChars="0" w:firstLine="0" w:firstLineChars="0"/>
              <w:jc w:val="both"/>
              <w:rPr>
                <w:rFonts w:ascii="Calibri" w:hAnsi="Calibri" w:eastAsia="宋体" w:cs="Times New Roman"/>
                <w:kern w:val="2"/>
                <w:sz w:val="21"/>
                <w:szCs w:val="24"/>
                <w:lang w:val="en-US" w:eastAsia="zh-CN" w:bidi="ar-SA"/>
              </w:rPr>
            </w:pPr>
            <w:r>
              <w:rPr>
                <w:rFonts w:hint="eastAsia" w:ascii="仿宋_GB2312" w:hAnsi="仿宋_GB2312" w:eastAsia="仿宋_GB2312" w:cs="仿宋_GB2312"/>
                <w:color w:val="auto"/>
                <w:sz w:val="24"/>
                <w:highlight w:val="none"/>
                <w:lang w:val="en-US" w:eastAsia="zh-CN"/>
              </w:rPr>
              <w:t>截至9月15日，民塘路(金龙路以南)道路整治工程已完成工程量89%。</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lang w:val="en-US"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工业和信息化局、观湖街道、</w:t>
            </w:r>
            <w:r>
              <w:rPr>
                <w:rFonts w:hint="eastAsia" w:ascii="仿宋_GB2312" w:hAnsi="仿宋_GB2312" w:eastAsia="仿宋_GB2312" w:cs="仿宋_GB2312"/>
                <w:color w:val="FF0000"/>
                <w:sz w:val="24"/>
              </w:rPr>
              <w:t>民治</w:t>
            </w:r>
            <w:r>
              <w:rPr>
                <w:rFonts w:hint="eastAsia" w:ascii="仿宋_GB2312" w:hAnsi="仿宋_GB2312" w:eastAsia="仿宋_GB2312" w:cs="仿宋_GB2312"/>
                <w:color w:val="FF0000"/>
                <w:sz w:val="24"/>
                <w:lang w:eastAsia="zh-CN"/>
              </w:rPr>
              <w:t>街道</w:t>
            </w:r>
            <w:r>
              <w:rPr>
                <w:rFonts w:hint="eastAsia" w:ascii="仿宋_GB2312" w:hAnsi="仿宋_GB2312" w:eastAsia="仿宋_GB2312" w:cs="仿宋_GB2312"/>
                <w:color w:val="FF0000"/>
                <w:sz w:val="24"/>
              </w:rPr>
              <w:t>(经济服务办</w:t>
            </w:r>
            <w:r>
              <w:rPr>
                <w:rFonts w:hint="eastAsia" w:ascii="仿宋_GB2312" w:hAnsi="仿宋_GB2312" w:eastAsia="仿宋_GB2312" w:cs="仿宋_GB2312"/>
                <w:color w:val="FF0000"/>
                <w:sz w:val="24"/>
                <w:lang w:eastAsia="zh-CN"/>
              </w:rPr>
              <w:t>、城市管理科</w:t>
            </w:r>
            <w:r>
              <w:rPr>
                <w:rFonts w:hint="eastAsia" w:ascii="仿宋_GB2312" w:hAnsi="仿宋_GB2312" w:eastAsia="仿宋_GB2312" w:cs="仿宋_GB2312"/>
                <w:color w:val="FF0000"/>
                <w:sz w:val="24"/>
              </w:rPr>
              <w:t>）</w:t>
            </w:r>
            <w:r>
              <w:rPr>
                <w:rFonts w:hint="eastAsia" w:ascii="仿宋_GB2312" w:hAnsi="仿宋_GB2312" w:eastAsia="仿宋_GB2312" w:cs="仿宋_GB2312"/>
                <w:color w:val="auto"/>
                <w:sz w:val="24"/>
              </w:rPr>
              <w:t>、龙华街道、大浪街道、福城街道、观澜街道</w:t>
            </w:r>
          </w:p>
        </w:tc>
        <w:tc>
          <w:tcPr>
            <w:tcW w:w="2186" w:type="dxa"/>
            <w:vAlign w:val="center"/>
          </w:tcPr>
          <w:p>
            <w:pPr>
              <w:spacing w:line="300" w:lineRule="exact"/>
              <w:jc w:val="center"/>
              <w:rPr>
                <w:vertAlign w:val="baseline"/>
              </w:rPr>
            </w:pPr>
            <w:r>
              <w:rPr>
                <w:rFonts w:hint="eastAsia" w:ascii="仿宋_GB2312" w:hAnsi="仿宋_GB2312" w:eastAsia="仿宋_GB2312" w:cs="仿宋_GB2312"/>
                <w:sz w:val="24"/>
              </w:rPr>
              <w:t>城市管理和综合执法局、城市更新和土地整备局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60</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建设涉外管理服务综合平台。</w:t>
            </w:r>
          </w:p>
        </w:tc>
        <w:tc>
          <w:tcPr>
            <w:tcW w:w="5379" w:type="dxa"/>
            <w:vAlign w:val="center"/>
          </w:tcPr>
          <w:p>
            <w:pPr>
              <w:spacing w:line="300" w:lineRule="exact"/>
              <w:jc w:val="both"/>
              <w:rPr>
                <w:vertAlign w:val="baseline"/>
              </w:rPr>
            </w:pPr>
            <w:r>
              <w:rPr>
                <w:rFonts w:hint="eastAsia" w:ascii="仿宋_GB2312" w:hAnsi="仿宋_GB2312" w:eastAsia="仿宋_GB2312" w:cs="仿宋_GB2312"/>
                <w:sz w:val="24"/>
              </w:rPr>
              <w:t>联合相关部门设立国际化街区双语服务专窗，兼顾中英文双语要素，打造双语宣传阵地，渲染国际化街区氛围。</w:t>
            </w:r>
          </w:p>
        </w:tc>
        <w:tc>
          <w:tcPr>
            <w:tcW w:w="5185" w:type="dxa"/>
            <w:vAlign w:val="center"/>
          </w:tcPr>
          <w:p>
            <w:pPr>
              <w:numPr>
                <w:ilvl w:val="0"/>
                <w:numId w:val="0"/>
              </w:numPr>
              <w:spacing w:line="3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民治街道公共服务办（政务服务）积极与区政务服务数据管理局沟通，区政数局同意派出一名精通英语的窗口人员来到民治街道行政服务大厅担任“国际政务双语窗口”前台人员。同时街道行政服务大厅和红山国际服务中心实行资源共享，红山国际服务中心一名精通英语和俄语的来华工作许可专员也将定期来到街道行服务大厅“国际政务双语窗口”给前来办事的外籍人士提供办理来华工作许可证等方面业务咨询。同时经过协调，街道行政服务大厅配置了一名具备基本英语和日语沟通能力的男士担任大厅保安，确保外籍人士进入大厅时能第一时间提供简单的国际双语服务。</w:t>
            </w:r>
          </w:p>
          <w:p>
            <w:pPr>
              <w:numPr>
                <w:ilvl w:val="0"/>
                <w:numId w:val="0"/>
              </w:numPr>
              <w:spacing w:line="300" w:lineRule="exact"/>
              <w:jc w:val="both"/>
              <w:rPr>
                <w:rFonts w:ascii="Calibri" w:hAnsi="Calibri" w:eastAsia="宋体" w:cs="Times New Roman"/>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2、成立多语种服务团队。除了开设“国际政务服务双语”示范窗口外，民治街道行政服务大厅还储备了懂俄语、日语以及越南语等语种的专业窗口人员，如有需求窗口人员会第一时间向后台提出外语服务需求，请对应工作人员前来窗口支援。除了提供英语等外语服务外，针对本地老年人普通话不熟练、不会操作电脑、难以理解业务办理等情况，民治街道行政服务大厅会安排专人提供粤语、客家语、闽南语、潮汕语服务，畅通诉求渠道，方便群众办事，进一步拉近了政府与群众的距离。</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lang w:val="en-US"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区委外办、</w:t>
            </w:r>
            <w:r>
              <w:rPr>
                <w:rFonts w:hint="eastAsia" w:ascii="仿宋_GB2312" w:hAnsi="仿宋_GB2312" w:eastAsia="仿宋_GB2312" w:cs="仿宋_GB2312"/>
                <w:color w:val="FF0000"/>
                <w:sz w:val="24"/>
              </w:rPr>
              <w:t>民治街道（党政综合办</w:t>
            </w:r>
            <w:r>
              <w:rPr>
                <w:rFonts w:hint="eastAsia" w:ascii="仿宋_GB2312" w:hAnsi="仿宋_GB2312" w:eastAsia="仿宋_GB2312" w:cs="仿宋_GB2312"/>
                <w:color w:val="FF0000"/>
                <w:sz w:val="24"/>
                <w:lang w:eastAsia="zh-CN"/>
              </w:rPr>
              <w:t>牵头，会同公共服务办（政务服务）</w:t>
            </w:r>
            <w:r>
              <w:rPr>
                <w:rFonts w:hint="eastAsia" w:ascii="仿宋_GB2312" w:hAnsi="仿宋_GB2312" w:eastAsia="仿宋_GB2312" w:cs="仿宋_GB2312"/>
                <w:color w:val="FF0000"/>
                <w:sz w:val="24"/>
              </w:rPr>
              <w:t>）</w:t>
            </w:r>
            <w:r>
              <w:rPr>
                <w:rFonts w:hint="eastAsia" w:ascii="仿宋_GB2312" w:hAnsi="仿宋_GB2312" w:eastAsia="仿宋_GB2312" w:cs="仿宋_GB2312"/>
                <w:color w:val="auto"/>
                <w:sz w:val="24"/>
              </w:rPr>
              <w:t>、观澜街道</w:t>
            </w:r>
          </w:p>
        </w:tc>
        <w:tc>
          <w:tcPr>
            <w:tcW w:w="2186" w:type="dxa"/>
            <w:vAlign w:val="center"/>
          </w:tcPr>
          <w:p>
            <w:pPr>
              <w:spacing w:line="300" w:lineRule="exact"/>
              <w:jc w:val="center"/>
              <w:rPr>
                <w:vertAlign w:val="baseline"/>
              </w:rPr>
            </w:pPr>
            <w:r>
              <w:rPr>
                <w:rFonts w:hint="eastAsia" w:ascii="仿宋_GB2312" w:hAnsi="仿宋_GB2312" w:eastAsia="仿宋_GB2312" w:cs="仿宋_GB2312"/>
                <w:sz w:val="24"/>
              </w:rPr>
              <w:t>区委组织部（区人才工作局）、区委宣传部、区委统战部（台港澳事务局），科技创新局、民政局、文化广电旅游体育局、政务服务数据管理局、龙华公安分局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64</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开展“深入社区稳企业保就业”金融支持专项行动。</w:t>
            </w:r>
          </w:p>
        </w:tc>
        <w:tc>
          <w:tcPr>
            <w:tcW w:w="5379" w:type="dxa"/>
            <w:vAlign w:val="center"/>
          </w:tcPr>
          <w:p>
            <w:pPr>
              <w:pStyle w:val="3"/>
              <w:rPr>
                <w:vertAlign w:val="baseline"/>
              </w:rPr>
            </w:pPr>
            <w:r>
              <w:rPr>
                <w:rFonts w:hint="eastAsia" w:ascii="仿宋_GB2312" w:hAnsi="仿宋_GB2312" w:eastAsia="仿宋_GB2312" w:cs="仿宋_GB2312"/>
                <w:sz w:val="24"/>
                <w:lang w:val="en-US" w:eastAsia="zh-CN"/>
              </w:rPr>
              <w:t>走访3个社区写字楼、园区和分散在居民区的企业。继续宣传“深入社区稳企业保就业”专项行动，解答企业参与使用过程中的疑问。组织银行、金融机构和辖区企业，举办交流活动一次。</w:t>
            </w:r>
          </w:p>
        </w:tc>
        <w:tc>
          <w:tcPr>
            <w:tcW w:w="5185" w:type="dxa"/>
            <w:vAlign w:val="center"/>
          </w:tcPr>
          <w:p>
            <w:pPr>
              <w:numPr>
                <w:ilvl w:val="0"/>
                <w:numId w:val="0"/>
              </w:numPr>
              <w:spacing w:line="300" w:lineRule="exact"/>
              <w:ind w:left="0" w:leftChars="0" w:firstLine="0" w:firstLineChars="0"/>
              <w:jc w:val="both"/>
              <w:rPr>
                <w:rFonts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highlight w:val="none"/>
                <w:lang w:val="en-US" w:eastAsia="zh-CN"/>
              </w:rPr>
              <w:t>联合民治、民新、民强三个社区工作站及网格中心走访辖区万众城家居、华南物流、七星商业广场等10个写字楼和2个产业园区。宣传“深入社区稳企业保就业”专项活动，解答企业问题，帮助对接相应金融机构。举办交通银行光浩国际中心银企对接活动和安宏基天曜《金融助力数字龙华消费互联网政策宣讲（银企对接专场）》活动。</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highlight w:val="none"/>
                <w:lang w:val="en-US"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工业和信息化局、观湖街道、</w:t>
            </w:r>
            <w:r>
              <w:rPr>
                <w:rFonts w:hint="eastAsia" w:ascii="仿宋_GB2312" w:hAnsi="仿宋_GB2312" w:eastAsia="仿宋_GB2312" w:cs="仿宋_GB2312"/>
                <w:color w:val="FF0000"/>
                <w:sz w:val="24"/>
              </w:rPr>
              <w:t>民治街道（经济服务办）</w:t>
            </w:r>
            <w:r>
              <w:rPr>
                <w:rFonts w:hint="eastAsia" w:ascii="仿宋_GB2312" w:hAnsi="仿宋_GB2312" w:eastAsia="仿宋_GB2312" w:cs="仿宋_GB2312"/>
                <w:color w:val="auto"/>
                <w:sz w:val="24"/>
              </w:rPr>
              <w:t>、龙华街道、大浪街道、福城街道、观澜街道</w:t>
            </w:r>
          </w:p>
        </w:tc>
        <w:tc>
          <w:tcPr>
            <w:tcW w:w="2186" w:type="dxa"/>
            <w:vAlign w:val="center"/>
          </w:tcPr>
          <w:p>
            <w:pPr>
              <w:spacing w:line="300" w:lineRule="exact"/>
              <w:jc w:val="center"/>
              <w:rPr>
                <w:vertAlign w:val="baseline"/>
              </w:rPr>
            </w:pPr>
            <w:r>
              <w:rPr>
                <w:rFonts w:hint="eastAsia" w:ascii="仿宋_GB2312" w:hAnsi="仿宋_GB2312" w:eastAsia="仿宋_GB2312" w:cs="仿宋_GB2312"/>
                <w:sz w:val="24"/>
              </w:rPr>
              <w:t>社区网格管理中心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134</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完成143个城中村燃气改造，实现符合条件的城中村燃气改造全覆盖。</w:t>
            </w:r>
          </w:p>
        </w:tc>
        <w:tc>
          <w:tcPr>
            <w:tcW w:w="537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vertAlign w:val="baseline"/>
              </w:rPr>
            </w:pPr>
            <w:r>
              <w:rPr>
                <w:rFonts w:hint="eastAsia" w:ascii="仿宋_GB2312" w:hAnsi="仿宋_GB2312" w:eastAsia="仿宋_GB2312" w:cs="仿宋_GB2312"/>
                <w:color w:val="000000"/>
                <w:sz w:val="24"/>
                <w:szCs w:val="24"/>
                <w:highlight w:val="none"/>
                <w:u w:val="none" w:color="auto"/>
                <w:lang w:val="en-US" w:eastAsia="zh-CN"/>
              </w:rPr>
              <w:t>收费率达到75%，安装率达到100%，点火率60%。</w:t>
            </w:r>
          </w:p>
        </w:tc>
        <w:tc>
          <w:tcPr>
            <w:tcW w:w="5185" w:type="dxa"/>
            <w:vAlign w:val="center"/>
          </w:tcPr>
          <w:p>
            <w:pPr>
              <w:numPr>
                <w:ilvl w:val="0"/>
                <w:numId w:val="0"/>
              </w:numPr>
              <w:spacing w:line="300" w:lineRule="exact"/>
              <w:jc w:val="both"/>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截至9月26日，完成入户收费共计64612户，入户收费率约82.7%；安装户数69820户，安装率达到89.3%；点火户数38242户，点火率60%，（调整后户数66620户）。</w:t>
            </w:r>
          </w:p>
          <w:p>
            <w:pPr>
              <w:numPr>
                <w:ilvl w:val="0"/>
                <w:numId w:val="0"/>
              </w:numPr>
              <w:spacing w:line="300" w:lineRule="exact"/>
              <w:jc w:val="both"/>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存在问题：城中村部分楼房因房屋结构等问题无法安装管道天然气，但任务数未进行核减。目前已做到能装尽装。</w:t>
            </w:r>
          </w:p>
          <w:p>
            <w:pPr>
              <w:numPr>
                <w:ilvl w:val="0"/>
                <w:numId w:val="0"/>
              </w:numPr>
              <w:spacing w:line="300" w:lineRule="exact"/>
              <w:jc w:val="both"/>
              <w:rPr>
                <w:vertAlign w:val="baseline"/>
              </w:rPr>
            </w:pPr>
            <w:r>
              <w:rPr>
                <w:rFonts w:hint="eastAsia" w:ascii="仿宋_GB2312" w:hAnsi="仿宋_GB2312" w:eastAsia="仿宋_GB2312" w:cs="仿宋_GB2312"/>
                <w:color w:val="auto"/>
                <w:sz w:val="24"/>
                <w:lang w:val="en-US" w:eastAsia="zh-CN"/>
              </w:rPr>
              <w:t>解决措施：积极沟通区住建局燃管科核减任务户数，实现安装率100%。</w:t>
            </w:r>
          </w:p>
        </w:tc>
        <w:tc>
          <w:tcPr>
            <w:tcW w:w="1650" w:type="dxa"/>
            <w:vAlign w:val="center"/>
          </w:tcPr>
          <w:p>
            <w:pPr>
              <w:spacing w:line="300" w:lineRule="exact"/>
              <w:jc w:val="center"/>
              <w:rPr>
                <w:rFonts w:hint="eastAsia" w:eastAsia="宋体"/>
                <w:vertAlign w:val="baseline"/>
                <w:lang w:val="en-US" w:eastAsia="zh-CN"/>
              </w:rPr>
            </w:pPr>
            <w:r>
              <w:rPr>
                <w:rFonts w:hint="eastAsia" w:ascii="仿宋_GB2312" w:hAnsi="仿宋_GB2312" w:eastAsia="仿宋_GB2312" w:cs="仿宋_GB2312"/>
                <w:sz w:val="24"/>
                <w:highlight w:val="none"/>
                <w:lang w:val="en-US" w:eastAsia="zh-CN"/>
              </w:rPr>
              <w:t>否</w:t>
            </w:r>
          </w:p>
        </w:tc>
        <w:tc>
          <w:tcPr>
            <w:tcW w:w="2743" w:type="dxa"/>
            <w:vAlign w:val="center"/>
          </w:tcPr>
          <w:p>
            <w:pPr>
              <w:spacing w:line="300" w:lineRule="exact"/>
              <w:jc w:val="both"/>
              <w:rPr>
                <w:vertAlign w:val="baseline"/>
              </w:rPr>
            </w:pPr>
            <w:r>
              <w:rPr>
                <w:rFonts w:hint="eastAsia" w:ascii="仿宋_GB2312" w:hAnsi="仿宋_GB2312" w:eastAsia="仿宋_GB2312" w:cs="仿宋_GB2312"/>
                <w:color w:val="auto"/>
                <w:sz w:val="24"/>
              </w:rPr>
              <w:t>住房和建设局、观湖街道、</w:t>
            </w:r>
            <w:r>
              <w:rPr>
                <w:rFonts w:hint="eastAsia" w:ascii="仿宋_GB2312" w:hAnsi="仿宋_GB2312" w:eastAsia="仿宋_GB2312" w:cs="仿宋_GB2312"/>
                <w:color w:val="FF0000"/>
                <w:sz w:val="24"/>
              </w:rPr>
              <w:t>民治街道（城市建设办）</w:t>
            </w:r>
            <w:r>
              <w:rPr>
                <w:rFonts w:hint="eastAsia" w:ascii="仿宋_GB2312" w:hAnsi="仿宋_GB2312" w:eastAsia="仿宋_GB2312" w:cs="仿宋_GB2312"/>
                <w:color w:val="auto"/>
                <w:sz w:val="24"/>
              </w:rPr>
              <w:t>、龙华街道、大浪街道、福城街道、观澜街道</w:t>
            </w:r>
          </w:p>
        </w:tc>
        <w:tc>
          <w:tcPr>
            <w:tcW w:w="2186" w:type="dxa"/>
            <w:vAlign w:val="center"/>
          </w:tcPr>
          <w:p>
            <w:pPr>
              <w:spacing w:line="300" w:lineRule="exact"/>
              <w:jc w:val="center"/>
              <w:rPr>
                <w:vertAlign w:val="baseline"/>
              </w:rPr>
            </w:pPr>
            <w:r>
              <w:rPr>
                <w:rFonts w:hint="eastAsia" w:ascii="仿宋_GB2312" w:hAnsi="仿宋_GB2312" w:eastAsia="仿宋_GB2312" w:cs="仿宋_GB2312"/>
                <w:sz w:val="24"/>
              </w:rPr>
              <w:t>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152</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系统整治户外广告、城市立面、横幅标语、交通护栏、人行天桥等各方面市容问题，确保环卫水平跃居全市前列。</w:t>
            </w:r>
          </w:p>
        </w:tc>
        <w:tc>
          <w:tcPr>
            <w:tcW w:w="5379" w:type="dxa"/>
            <w:vAlign w:val="center"/>
          </w:tcPr>
          <w:p>
            <w:pPr>
              <w:spacing w:line="300" w:lineRule="exact"/>
              <w:jc w:val="left"/>
              <w:rPr>
                <w:vertAlign w:val="baseline"/>
              </w:rPr>
            </w:pPr>
            <w:r>
              <w:rPr>
                <w:rFonts w:hint="eastAsia" w:ascii="仿宋_GB2312" w:hAnsi="仿宋_GB2312" w:eastAsia="仿宋_GB2312" w:cs="仿宋_GB2312"/>
                <w:sz w:val="24"/>
              </w:rPr>
              <w:t>对</w:t>
            </w:r>
            <w:r>
              <w:rPr>
                <w:rFonts w:hint="eastAsia" w:ascii="仿宋_GB2312" w:hAnsi="仿宋_GB2312" w:eastAsia="仿宋_GB2312" w:cs="仿宋_GB2312"/>
                <w:sz w:val="24"/>
                <w:lang w:eastAsia="zh-CN"/>
              </w:rPr>
              <w:t>辖区</w:t>
            </w:r>
            <w:r>
              <w:rPr>
                <w:rFonts w:hint="eastAsia" w:ascii="仿宋_GB2312" w:hAnsi="仿宋_GB2312" w:eastAsia="仿宋_GB2312" w:cs="仿宋_GB2312"/>
                <w:sz w:val="24"/>
              </w:rPr>
              <w:t>户外广告、城市立面、横幅标语、交通护栏、人行天桥等各方面市容情况进行“回头看”，开展查漏补缺工作。</w:t>
            </w:r>
          </w:p>
        </w:tc>
        <w:tc>
          <w:tcPr>
            <w:tcW w:w="5185" w:type="dxa"/>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1、7月-9月9日累计拆除广告牌56块、横幅标语41条、广告指引牌23块，发放安全告知书15份。</w:t>
            </w:r>
          </w:p>
          <w:p>
            <w:pPr>
              <w:spacing w:line="300" w:lineRule="exact"/>
              <w:jc w:val="left"/>
              <w:rPr>
                <w:rFonts w:ascii="Calibri" w:hAnsi="Calibri" w:eastAsia="宋体" w:cs="Times New Roman"/>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共排查护栏缺失、损坏等隐患34处，已全部报龙华交通运输局处理，其中已修复8处，其余26处未达到交通局增设护栏标准暂未修复。</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kern w:val="2"/>
                <w:sz w:val="24"/>
                <w:szCs w:val="24"/>
                <w:lang w:val="en-US" w:eastAsia="zh-CN" w:bidi="ar-SA"/>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城市管理和综合执法局、市交通运输局龙华管理局、观湖街道、</w:t>
            </w:r>
            <w:r>
              <w:rPr>
                <w:rFonts w:hint="eastAsia" w:ascii="仿宋_GB2312" w:hAnsi="仿宋_GB2312" w:eastAsia="仿宋_GB2312" w:cs="仿宋_GB2312"/>
                <w:color w:val="FF0000"/>
                <w:sz w:val="24"/>
              </w:rPr>
              <w:t>民治街道（综合行政执法办（执法一中队）牵头，会同城市管理科、市政管理服务中心</w:t>
            </w:r>
            <w:r>
              <w:rPr>
                <w:rFonts w:hint="eastAsia" w:ascii="仿宋_GB2312" w:hAnsi="仿宋_GB2312" w:eastAsia="仿宋_GB2312" w:cs="仿宋_GB2312"/>
                <w:color w:val="FF0000"/>
                <w:sz w:val="24"/>
                <w:lang w:eastAsia="zh-CN"/>
              </w:rPr>
              <w:t>、</w:t>
            </w:r>
            <w:r>
              <w:rPr>
                <w:rFonts w:hint="eastAsia" w:ascii="仿宋_GB2312" w:hAnsi="仿宋_GB2312" w:eastAsia="仿宋_GB2312" w:cs="仿宋_GB2312"/>
                <w:color w:val="FF0000"/>
                <w:sz w:val="24"/>
              </w:rPr>
              <w:t>应急管理办（交通安全））</w:t>
            </w:r>
            <w:r>
              <w:rPr>
                <w:rFonts w:hint="eastAsia" w:ascii="仿宋_GB2312" w:hAnsi="仿宋_GB2312" w:eastAsia="仿宋_GB2312" w:cs="仿宋_GB2312"/>
                <w:color w:val="auto"/>
                <w:sz w:val="24"/>
              </w:rPr>
              <w:t>、龙华街道、大浪街道、福城街道、观澜街道</w:t>
            </w:r>
          </w:p>
        </w:tc>
        <w:tc>
          <w:tcPr>
            <w:tcW w:w="2186" w:type="dxa"/>
            <w:vAlign w:val="center"/>
          </w:tcPr>
          <w:p>
            <w:pPr>
              <w:spacing w:line="3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154</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深化“三化四有”建设，统筹治理反复开挖、随意占道、乱设围挡、噪音扰民等乱象。</w:t>
            </w:r>
          </w:p>
        </w:tc>
        <w:tc>
          <w:tcPr>
            <w:tcW w:w="5379" w:type="dxa"/>
            <w:vAlign w:val="center"/>
          </w:tcPr>
          <w:p>
            <w:pPr>
              <w:spacing w:line="300" w:lineRule="exact"/>
              <w:jc w:val="both"/>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每周</w:t>
            </w:r>
            <w:r>
              <w:rPr>
                <w:rFonts w:hint="eastAsia" w:ascii="仿宋_GB2312" w:hAnsi="仿宋_GB2312" w:eastAsia="仿宋_GB2312" w:cs="仿宋_GB2312"/>
                <w:color w:val="000000" w:themeColor="text1"/>
                <w:sz w:val="24"/>
                <w:lang w:eastAsia="zh-CN"/>
                <w14:textFill>
                  <w14:solidFill>
                    <w14:schemeClr w14:val="tx1"/>
                  </w14:solidFill>
                </w14:textFill>
              </w:rPr>
              <w:t>至少组织一次业务素质培训</w:t>
            </w:r>
            <w:r>
              <w:rPr>
                <w:rFonts w:hint="eastAsia" w:ascii="仿宋_GB2312" w:hAnsi="仿宋_GB2312" w:eastAsia="仿宋_GB2312" w:cs="仿宋_GB2312"/>
                <w:color w:val="000000" w:themeColor="text1"/>
                <w:sz w:val="24"/>
                <w14:textFill>
                  <w14:solidFill>
                    <w14:schemeClr w14:val="tx1"/>
                  </w14:solidFill>
                </w14:textFill>
              </w:rPr>
              <w:t>，加强法律应用和业务</w:t>
            </w:r>
            <w:r>
              <w:rPr>
                <w:rFonts w:hint="eastAsia" w:ascii="仿宋_GB2312" w:hAnsi="仿宋_GB2312" w:eastAsia="仿宋_GB2312" w:cs="仿宋_GB2312"/>
                <w:color w:val="000000" w:themeColor="text1"/>
                <w:sz w:val="24"/>
                <w:lang w:eastAsia="zh-CN"/>
                <w14:textFill>
                  <w14:solidFill>
                    <w14:schemeClr w14:val="tx1"/>
                  </w14:solidFill>
                </w14:textFill>
              </w:rPr>
              <w:t>知识培训。</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p>
          <w:p>
            <w:pPr>
              <w:spacing w:line="300" w:lineRule="exact"/>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力度不降、标准不减</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加强整治力度</w:t>
            </w:r>
            <w:r>
              <w:rPr>
                <w:rFonts w:hint="eastAsia" w:ascii="仿宋_GB2312" w:hAnsi="仿宋_GB2312" w:eastAsia="仿宋_GB2312" w:cs="仿宋_GB2312"/>
                <w:color w:val="000000" w:themeColor="text1"/>
                <w:sz w:val="24"/>
                <w:lang w:eastAsia="zh-CN"/>
                <w14:textFill>
                  <w14:solidFill>
                    <w14:schemeClr w14:val="tx1"/>
                  </w14:solidFill>
                </w14:textFill>
              </w:rPr>
              <w:t>。持续开展</w:t>
            </w:r>
            <w:r>
              <w:rPr>
                <w:rFonts w:hint="eastAsia" w:ascii="仿宋_GB2312" w:hAnsi="仿宋_GB2312" w:eastAsia="仿宋_GB2312" w:cs="仿宋_GB2312"/>
                <w:color w:val="000000" w:themeColor="text1"/>
                <w:sz w:val="24"/>
                <w14:textFill>
                  <w14:solidFill>
                    <w14:schemeClr w14:val="tx1"/>
                  </w14:solidFill>
                </w14:textFill>
              </w:rPr>
              <w:t>反复开挖、随意占道、乱设围挡、噪音扰民整治行动</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spacing w:line="300" w:lineRule="exact"/>
              <w:jc w:val="both"/>
              <w:rPr>
                <w:vertAlign w:val="baseline"/>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针对交通护栏管理问题，安排工作人员对辖区市政道路护栏进行巡查，梳理统计护栏破损、护栏缺失等隐患，统一报相关责任单位进行修复，针对各单位平时发现的市政道路护栏缺失、损坏等问题第一时间报相关部门处理。</w:t>
            </w:r>
          </w:p>
        </w:tc>
        <w:tc>
          <w:tcPr>
            <w:tcW w:w="5185" w:type="dxa"/>
            <w:vAlign w:val="center"/>
          </w:tcPr>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坚持每周开展两次大练兵活动。分别于7月29日和8月2日组织执法一、二中队案件组及综合科案审组共计28人开展“双系统”培训（深圳市行政执法系统和行政执法监督系统），教导办案人员学习如何操作“双系统”，为下一步网络办案的全面展开打下坚实基础；8月13日综合行政执法办公务员和各业务组长等共30余人参加区司法局组织的“送法下街道”活动，活动以讲座形式对行政执法重点程序相关内容进行分析讲解，增强了执法人员程序意识，有力促进公正文明执法。</w:t>
            </w:r>
          </w:p>
          <w:p>
            <w:pPr>
              <w:pStyle w:val="4"/>
              <w:keepNext w:val="0"/>
              <w:keepLines w:val="0"/>
              <w:pageBreakBefore w:val="0"/>
              <w:widowControl w:val="0"/>
              <w:kinsoku/>
              <w:wordWrap/>
              <w:overflowPunct/>
              <w:topLinePunct w:val="0"/>
              <w:autoSpaceDE/>
              <w:autoSpaceDN/>
              <w:bidi w:val="0"/>
              <w:adjustRightInd/>
              <w:snapToGrid/>
              <w:spacing w:before="0" w:after="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持续加大整治力度，着力改善市容环境。第三季度严查违法占道施工行为，共巡查辖区占道施工现场156次；重点整治围挡脏污破损和乱设围挡等问题，督促责任单位整改破损围挡34次；及时回应并解决群众反映强烈的噪音扰民问题，共处理投诉25宗。</w:t>
            </w:r>
          </w:p>
          <w:p>
            <w:pPr>
              <w:pStyle w:val="3"/>
              <w:rPr>
                <w:rFonts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3、安排人员排查交通护栏缺失、损坏等隐患共34处，已全部报龙华交通运输局处理，其中已修复8处，其余26处未达到交通局增设护栏标准，暂未修复。</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kern w:val="2"/>
                <w:sz w:val="24"/>
                <w:szCs w:val="24"/>
                <w:lang w:val="en-US" w:eastAsia="zh-CN" w:bidi="ar-SA"/>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城市管理和综合执法局、市交通运输局龙华管理局、住房和建设局、市生态环境局龙华管理局、观湖街道、</w:t>
            </w:r>
            <w:r>
              <w:rPr>
                <w:rFonts w:hint="eastAsia" w:ascii="仿宋_GB2312" w:hAnsi="仿宋_GB2312" w:eastAsia="仿宋_GB2312" w:cs="仿宋_GB2312"/>
                <w:color w:val="FF0000"/>
                <w:sz w:val="24"/>
              </w:rPr>
              <w:t>民治街道（</w:t>
            </w:r>
            <w:r>
              <w:rPr>
                <w:rFonts w:hint="eastAsia" w:ascii="仿宋_GB2312" w:hAnsi="仿宋_GB2312" w:eastAsia="仿宋_GB2312" w:cs="仿宋_GB2312"/>
                <w:color w:val="FF0000"/>
                <w:sz w:val="24"/>
                <w:lang w:eastAsia="zh-CN"/>
              </w:rPr>
              <w:t>综合行政执法办（</w:t>
            </w:r>
            <w:r>
              <w:rPr>
                <w:rFonts w:hint="eastAsia" w:ascii="仿宋_GB2312" w:hAnsi="仿宋_GB2312" w:eastAsia="仿宋_GB2312" w:cs="仿宋_GB2312"/>
                <w:color w:val="FF0000"/>
                <w:sz w:val="24"/>
              </w:rPr>
              <w:t>执法一中队</w:t>
            </w:r>
            <w:r>
              <w:rPr>
                <w:rFonts w:hint="eastAsia" w:ascii="仿宋_GB2312" w:hAnsi="仿宋_GB2312" w:eastAsia="仿宋_GB2312" w:cs="仿宋_GB2312"/>
                <w:color w:val="FF0000"/>
                <w:sz w:val="24"/>
                <w:lang w:eastAsia="zh-CN"/>
              </w:rPr>
              <w:t>、综合科）</w:t>
            </w:r>
            <w:r>
              <w:rPr>
                <w:rFonts w:hint="eastAsia" w:ascii="仿宋_GB2312" w:hAnsi="仿宋_GB2312" w:eastAsia="仿宋_GB2312" w:cs="仿宋_GB2312"/>
                <w:color w:val="FF0000"/>
                <w:sz w:val="24"/>
              </w:rPr>
              <w:t>牵头，会同城市管理科、应急管理办（交通安全）</w:t>
            </w:r>
            <w:r>
              <w:rPr>
                <w:rFonts w:hint="eastAsia" w:ascii="仿宋_GB2312" w:hAnsi="仿宋_GB2312" w:eastAsia="仿宋_GB2312" w:cs="仿宋_GB2312"/>
                <w:color w:val="FF0000"/>
                <w:sz w:val="24"/>
                <w:lang w:eastAsia="zh-CN"/>
              </w:rPr>
              <w:t>、</w:t>
            </w:r>
            <w:r>
              <w:rPr>
                <w:rFonts w:hint="eastAsia" w:ascii="仿宋_GB2312" w:hAnsi="仿宋_GB2312" w:eastAsia="仿宋_GB2312" w:cs="仿宋_GB2312"/>
                <w:color w:val="FF0000"/>
                <w:sz w:val="24"/>
              </w:rPr>
              <w:t>城市建设办、建设工程事务中心）</w:t>
            </w:r>
            <w:r>
              <w:rPr>
                <w:rFonts w:hint="eastAsia" w:ascii="仿宋_GB2312" w:hAnsi="仿宋_GB2312" w:eastAsia="仿宋_GB2312" w:cs="仿宋_GB2312"/>
                <w:color w:val="auto"/>
                <w:sz w:val="24"/>
              </w:rPr>
              <w:t>、龙华街道、大浪街道、福城街道、观澜街道</w:t>
            </w:r>
          </w:p>
        </w:tc>
        <w:tc>
          <w:tcPr>
            <w:tcW w:w="2186" w:type="dxa"/>
            <w:vAlign w:val="center"/>
          </w:tcPr>
          <w:p>
            <w:pPr>
              <w:spacing w:line="3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200</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加快“8所1中心”、章阁基地和56个警务室规范化建设。</w:t>
            </w:r>
          </w:p>
        </w:tc>
        <w:tc>
          <w:tcPr>
            <w:tcW w:w="5379" w:type="dxa"/>
            <w:vAlign w:val="center"/>
          </w:tcPr>
          <w:p>
            <w:pPr>
              <w:spacing w:line="300" w:lineRule="exact"/>
              <w:jc w:val="both"/>
              <w:rPr>
                <w:vertAlign w:val="baseline"/>
              </w:rPr>
            </w:pPr>
            <w:r>
              <w:rPr>
                <w:rFonts w:hint="eastAsia" w:ascii="仿宋_GB2312" w:hAnsi="仿宋_GB2312" w:eastAsia="仿宋_GB2312" w:cs="仿宋_GB2312"/>
                <w:sz w:val="24"/>
              </w:rPr>
              <w:t>按照公安分局、区建筑工务署计划积极配合推进。</w:t>
            </w:r>
          </w:p>
        </w:tc>
        <w:tc>
          <w:tcPr>
            <w:tcW w:w="518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lang w:val="en-US" w:eastAsia="zh-CN"/>
              </w:rPr>
              <w:t>民新所和上塘所办公场所建设正常施工中，上塘所完成形象进度约35%，民新所完成形象进度约65%。樟坑、民泰、民强警区警务室已完成设计，拟进行招投标工作。已按照公安分局、区建筑工务署计划积极配合推进。</w:t>
            </w:r>
          </w:p>
        </w:tc>
        <w:tc>
          <w:tcPr>
            <w:tcW w:w="1650" w:type="dxa"/>
            <w:vAlign w:val="center"/>
          </w:tcPr>
          <w:p>
            <w:pPr>
              <w:spacing w:line="300" w:lineRule="exact"/>
              <w:jc w:val="center"/>
              <w:rPr>
                <w:rFonts w:hint="eastAsia"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sz w:val="24"/>
                <w:lang w:val="en-US"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龙华公安分局、区前期中心（轨道中心）、建筑工务署、</w:t>
            </w:r>
            <w:r>
              <w:rPr>
                <w:rFonts w:hint="eastAsia" w:ascii="仿宋_GB2312" w:hAnsi="仿宋_GB2312" w:eastAsia="仿宋_GB2312" w:cs="仿宋_GB2312"/>
                <w:color w:val="FF0000"/>
                <w:sz w:val="24"/>
              </w:rPr>
              <w:t>民治街道（综合治理办）</w:t>
            </w:r>
          </w:p>
        </w:tc>
        <w:tc>
          <w:tcPr>
            <w:tcW w:w="2186" w:type="dxa"/>
            <w:vAlign w:val="center"/>
          </w:tcPr>
          <w:p>
            <w:pPr>
              <w:spacing w:line="300" w:lineRule="exact"/>
              <w:jc w:val="center"/>
              <w:rPr>
                <w:vertAlign w:val="baseline"/>
              </w:rPr>
            </w:pPr>
            <w:r>
              <w:rPr>
                <w:rFonts w:hint="eastAsia" w:ascii="仿宋_GB2312" w:hAnsi="仿宋_GB2312" w:eastAsia="仿宋_GB2312" w:cs="仿宋_GB2312"/>
                <w:sz w:val="24"/>
              </w:rPr>
              <w:t>发展和改革局、财政局、市规划和自然资源局龙华管理局、福城街道、龙华街道、大浪街道和观澜街道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3" w:hRule="atLeast"/>
        </w:trPr>
        <w:tc>
          <w:tcPr>
            <w:tcW w:w="1414" w:type="dxa"/>
            <w:vAlign w:val="center"/>
          </w:tcPr>
          <w:p>
            <w:pPr>
              <w:spacing w:line="300" w:lineRule="exact"/>
              <w:jc w:val="center"/>
              <w:rPr>
                <w:vertAlign w:val="baseline"/>
              </w:rPr>
            </w:pPr>
            <w:r>
              <w:rPr>
                <w:rFonts w:hint="eastAsia" w:ascii="仿宋_GB2312" w:hAnsi="仿宋_GB2312" w:eastAsia="仿宋_GB2312" w:cs="仿宋_GB2312"/>
                <w:sz w:val="24"/>
              </w:rPr>
              <w:t>210</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加强建筑领域安全监管。</w:t>
            </w:r>
          </w:p>
        </w:tc>
        <w:tc>
          <w:tcPr>
            <w:tcW w:w="5379" w:type="dxa"/>
            <w:vAlign w:val="center"/>
          </w:tcPr>
          <w:p>
            <w:pPr>
              <w:spacing w:line="300" w:lineRule="exact"/>
              <w:jc w:val="both"/>
              <w:rPr>
                <w:vertAlign w:val="baseline"/>
              </w:rPr>
            </w:pPr>
            <w:r>
              <w:rPr>
                <w:rFonts w:hint="eastAsia" w:ascii="仿宋_GB2312" w:hAnsi="仿宋_GB2312" w:eastAsia="仿宋_GB2312" w:cs="仿宋_GB2312"/>
                <w:color w:val="000000" w:themeColor="text1"/>
                <w:sz w:val="24"/>
                <w14:textFill>
                  <w14:solidFill>
                    <w14:schemeClr w14:val="tx1"/>
                  </w14:solidFill>
                </w14:textFill>
              </w:rPr>
              <w:t>采取重点检查、突击检查、暗查暗访、回头检查等多种方式，</w:t>
            </w:r>
            <w:r>
              <w:rPr>
                <w:rFonts w:hint="eastAsia" w:ascii="仿宋_GB2312" w:hAnsi="仿宋_GB2312" w:eastAsia="仿宋_GB2312" w:cs="仿宋_GB2312"/>
                <w:color w:val="000000" w:themeColor="text1"/>
                <w:sz w:val="24"/>
                <w:lang w:eastAsia="zh-CN"/>
                <w14:textFill>
                  <w14:solidFill>
                    <w14:schemeClr w14:val="tx1"/>
                  </w14:solidFill>
                </w14:textFill>
              </w:rPr>
              <w:t>加大</w:t>
            </w:r>
            <w:r>
              <w:rPr>
                <w:rFonts w:hint="eastAsia" w:ascii="仿宋_GB2312" w:hAnsi="仿宋_GB2312" w:eastAsia="仿宋_GB2312" w:cs="仿宋_GB2312"/>
                <w:color w:val="000000" w:themeColor="text1"/>
                <w:sz w:val="24"/>
                <w14:textFill>
                  <w14:solidFill>
                    <w14:schemeClr w14:val="tx1"/>
                  </w14:solidFill>
                </w14:textFill>
              </w:rPr>
              <w:t>对建筑施工领域的执法检查力度和频次，严厉打击和查处建设施工领域安全生产违法建设行为，推动企业落实隐患排查治理主体责任</w:t>
            </w:r>
            <w:r>
              <w:rPr>
                <w:rFonts w:hint="eastAsia" w:ascii="仿宋_GB2312" w:hAnsi="仿宋_GB2312" w:eastAsia="仿宋_GB2312" w:cs="仿宋_GB2312"/>
                <w:color w:val="000000" w:themeColor="text1"/>
                <w:sz w:val="24"/>
                <w:lang w:val="en-US" w:eastAsia="zh-CN"/>
                <w14:textFill>
                  <w14:solidFill>
                    <w14:schemeClr w14:val="tx1"/>
                  </w14:solidFill>
                </w14:textFill>
              </w:rPr>
              <w:t>。</w:t>
            </w:r>
          </w:p>
        </w:tc>
        <w:tc>
          <w:tcPr>
            <w:tcW w:w="5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在建工地和小散工程的安全生产监管工作：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1、在建工地：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一是建立民治辖区市、区报建工地台帐。目前市、区报建工地共计46个，已建档立册，完善项目安全生产资料。二是开展日常安全排查，截至</w:t>
            </w:r>
            <w:bookmarkStart w:id="0" w:name="_GoBack"/>
            <w:bookmarkEnd w:id="0"/>
            <w:r>
              <w:rPr>
                <w:rFonts w:hint="eastAsia" w:ascii="仿宋_GB2312" w:hAnsi="仿宋_GB2312" w:eastAsia="仿宋_GB2312" w:cs="仿宋_GB2312"/>
                <w:color w:val="auto"/>
                <w:sz w:val="24"/>
                <w:szCs w:val="24"/>
                <w:u w:val="none" w:color="auto"/>
                <w:lang w:val="en-US" w:eastAsia="zh-CN"/>
              </w:rPr>
              <w:t>9月9日，共出动人员196人次，排查46家市、区报建工地。发现安全隐患多83处，发出《责令整改通知书》20份，均已完成整改，闭环率达100%。</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2、小散工程：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color w:val="auto"/>
                <w:sz w:val="24"/>
                <w:szCs w:val="24"/>
                <w:u w:val="none" w:color="auto"/>
                <w:lang w:val="en-US" w:eastAsia="zh-CN"/>
              </w:rPr>
              <w:t>截至9月9日，小散工程完成备案登记共1121项，目前已完工934项，在建273项，共出动225人次进行现场排查，检查工程310项次，发现隐患418处，下发《安全生产检查责令整改通知书》19份，截至目前已完成整改409处，闭环率达98%。</w:t>
            </w:r>
          </w:p>
        </w:tc>
        <w:tc>
          <w:tcPr>
            <w:tcW w:w="1650" w:type="dxa"/>
            <w:vAlign w:val="center"/>
          </w:tcPr>
          <w:p>
            <w:pPr>
              <w:spacing w:line="300" w:lineRule="exact"/>
              <w:jc w:val="center"/>
              <w:rPr>
                <w:rFonts w:ascii="Calibri" w:hAnsi="Calibri" w:eastAsia="宋体" w:cs="Times New Roman"/>
                <w:kern w:val="2"/>
                <w:sz w:val="21"/>
                <w:szCs w:val="24"/>
                <w:vertAlign w:val="baseline"/>
                <w:lang w:val="en-US" w:eastAsia="zh-CN" w:bidi="ar-SA"/>
              </w:rPr>
            </w:pPr>
            <w:r>
              <w:rPr>
                <w:rFonts w:hint="eastAsia" w:ascii="仿宋_GB2312" w:hAnsi="仿宋_GB2312" w:eastAsia="仿宋_GB2312" w:cs="仿宋_GB2312"/>
                <w:color w:val="auto"/>
                <w:sz w:val="24"/>
                <w:szCs w:val="24"/>
                <w:u w:val="none" w:color="auto"/>
                <w:lang w:val="en-US" w:eastAsia="zh-CN"/>
              </w:rPr>
              <w:t>是</w:t>
            </w:r>
          </w:p>
        </w:tc>
        <w:tc>
          <w:tcPr>
            <w:tcW w:w="2743" w:type="dxa"/>
            <w:vAlign w:val="center"/>
          </w:tcPr>
          <w:p>
            <w:pPr>
              <w:spacing w:line="300" w:lineRule="exact"/>
              <w:jc w:val="both"/>
              <w:rPr>
                <w:vertAlign w:val="baseline"/>
              </w:rPr>
            </w:pPr>
            <w:r>
              <w:rPr>
                <w:rFonts w:hint="eastAsia" w:ascii="仿宋_GB2312" w:hAnsi="仿宋_GB2312" w:eastAsia="仿宋_GB2312" w:cs="仿宋_GB2312"/>
                <w:color w:val="auto"/>
                <w:sz w:val="24"/>
              </w:rPr>
              <w:t>住房和建设局、观湖街道、</w:t>
            </w:r>
            <w:r>
              <w:rPr>
                <w:rFonts w:hint="eastAsia" w:ascii="仿宋_GB2312" w:hAnsi="仿宋_GB2312" w:eastAsia="仿宋_GB2312" w:cs="仿宋_GB2312"/>
                <w:color w:val="FF0000"/>
                <w:sz w:val="24"/>
              </w:rPr>
              <w:t>民治街道（城市建设办）</w:t>
            </w:r>
            <w:r>
              <w:rPr>
                <w:rFonts w:hint="eastAsia" w:ascii="仿宋_GB2312" w:hAnsi="仿宋_GB2312" w:eastAsia="仿宋_GB2312" w:cs="仿宋_GB2312"/>
                <w:color w:val="auto"/>
                <w:sz w:val="24"/>
              </w:rPr>
              <w:t>、龙华街道、大浪街道、福城街道、观澜街道</w:t>
            </w:r>
          </w:p>
        </w:tc>
        <w:tc>
          <w:tcPr>
            <w:tcW w:w="2186" w:type="dxa"/>
            <w:vAlign w:val="center"/>
          </w:tcPr>
          <w:p>
            <w:pPr>
              <w:spacing w:line="300" w:lineRule="exact"/>
              <w:jc w:val="center"/>
              <w:rPr>
                <w:vertAlign w:val="baseline"/>
              </w:rPr>
            </w:pPr>
          </w:p>
        </w:tc>
      </w:tr>
    </w:tbl>
    <w:p>
      <w:pPr>
        <w:pStyle w:val="2"/>
        <w:ind w:left="0" w:leftChars="0" w:firstLine="0" w:firstLineChars="0"/>
      </w:pPr>
    </w:p>
    <w:sectPr>
      <w:pgSz w:w="23811" w:h="16838" w:orient="landscape"/>
      <w:pgMar w:top="1701" w:right="1440" w:bottom="1701"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D35F4"/>
    <w:rsid w:val="0AF94B45"/>
    <w:rsid w:val="18A3648E"/>
    <w:rsid w:val="18DC7782"/>
    <w:rsid w:val="252E6F0B"/>
    <w:rsid w:val="3538599A"/>
    <w:rsid w:val="3B5E6D54"/>
    <w:rsid w:val="4B381EAD"/>
    <w:rsid w:val="4D0011ED"/>
    <w:rsid w:val="671D35F4"/>
    <w:rsid w:val="6B7E1CC7"/>
    <w:rsid w:val="7242164E"/>
    <w:rsid w:val="729C4C88"/>
    <w:rsid w:val="78C5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szCs w:val="20"/>
    </w:r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ourier New" w:cs="Courier New"/>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2021-06-29T01:19:00Z</dcterms:created>
  <dc:creator>大浪组织部</dc:creator>
  <cp:lastModifiedBy>水星奥特曼</cp:lastModifiedBy>
  <dcterms:modified xsi:type="dcterms:W3CDTF">2023-06-12T08:13:15Z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0B50B0418DE74535A415F83F514E76C5</vt:lpwstr>
  </property>
</Properties>
</file>