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none" w:color="auto" w:sz="0" w:space="0"/>
          <w:left w:val="none" w:color="auto" w:sz="0" w:space="0"/>
          <w:bottom w:val="none" w:color="auto" w:sz="0" w:space="0"/>
          <w:right w:val="none" w:color="auto" w:sz="0" w:space="0"/>
        </w:pBdr>
        <w:spacing w:beforeLines="0" w:line="560" w:lineRule="exact"/>
        <w:jc w:val="center"/>
        <w:rPr>
          <w:rFonts w:hint="eastAsia" w:ascii="方正小标宋简体" w:hAnsi="方正小标宋简体" w:eastAsia="方正小标宋简体" w:cs="方正小标宋简体"/>
          <w:b w:val="0"/>
          <w:bCs/>
          <w:color w:val="000000" w:themeColor="text1"/>
          <w:spacing w:val="-4"/>
          <w:kern w:val="0"/>
          <w:sz w:val="44"/>
          <w:szCs w:val="44"/>
          <w:highlight w:val="none"/>
          <w:u w:val="none"/>
          <w14:textFill>
            <w14:solidFill>
              <w14:schemeClr w14:val="tx1"/>
            </w14:solidFill>
          </w14:textFill>
        </w:rPr>
      </w:pPr>
      <w:bookmarkStart w:id="0" w:name="RANGE!A1:E17"/>
      <w:bookmarkStart w:id="1" w:name="_GoBack"/>
      <w:bookmarkEnd w:id="1"/>
      <w:r>
        <w:rPr>
          <w:rFonts w:hint="eastAsia" w:ascii="方正小标宋简体" w:hAnsi="方正小标宋简体" w:eastAsia="方正小标宋简体" w:cs="方正小标宋简体"/>
          <w:b w:val="0"/>
          <w:bCs/>
          <w:color w:val="000000" w:themeColor="text1"/>
          <w:sz w:val="44"/>
          <w:szCs w:val="44"/>
          <w:highlight w:val="none"/>
          <w:u w:val="none"/>
          <w14:textFill>
            <w14:solidFill>
              <w14:schemeClr w14:val="tx1"/>
            </w14:solidFill>
          </w14:textFill>
        </w:rPr>
        <w:t>深圳市龙华区加快发展总部经济</w:t>
      </w:r>
      <w:r>
        <w:rPr>
          <w:rFonts w:hint="eastAsia" w:ascii="方正小标宋简体" w:hAnsi="方正小标宋简体" w:eastAsia="方正小标宋简体" w:cs="方正小标宋简体"/>
          <w:b w:val="0"/>
          <w:bCs/>
          <w:color w:val="000000" w:themeColor="text1"/>
          <w:spacing w:val="-4"/>
          <w:kern w:val="0"/>
          <w:sz w:val="44"/>
          <w:szCs w:val="44"/>
          <w:highlight w:val="none"/>
          <w:u w:val="none"/>
          <w14:textFill>
            <w14:solidFill>
              <w14:schemeClr w14:val="tx1"/>
            </w14:solidFill>
          </w14:textFill>
        </w:rPr>
        <w:t>实施办法</w:t>
      </w:r>
    </w:p>
    <w:p>
      <w:pPr>
        <w:adjustRightInd w:val="0"/>
        <w:snapToGrid w:val="0"/>
        <w:spacing w:before="0" w:beforeLines="0" w:line="560" w:lineRule="exact"/>
        <w:jc w:val="center"/>
        <w:rPr>
          <w:rFonts w:ascii="黑体" w:eastAsia="黑体"/>
          <w:b/>
          <w:color w:val="000000" w:themeColor="text1"/>
          <w:spacing w:val="-4"/>
          <w:kern w:val="0"/>
          <w:sz w:val="32"/>
          <w:szCs w:val="32"/>
          <w:highlight w:val="none"/>
          <w:u w:val="none"/>
          <w14:textFill>
            <w14:solidFill>
              <w14:schemeClr w14:val="tx1"/>
            </w14:solidFill>
          </w14:textFill>
        </w:rPr>
      </w:pPr>
    </w:p>
    <w:p>
      <w:pPr>
        <w:numPr>
          <w:ilvl w:val="0"/>
          <w:numId w:val="1"/>
        </w:numPr>
        <w:adjustRightInd w:val="0"/>
        <w:snapToGrid w:val="0"/>
        <w:spacing w:before="0" w:beforeLines="0" w:line="560" w:lineRule="exact"/>
        <w:jc w:val="center"/>
        <w:rPr>
          <w:rFonts w:hint="eastAsia" w:ascii="黑体" w:eastAsia="黑体"/>
          <w:b w:val="0"/>
          <w:bCs/>
          <w:color w:val="000000" w:themeColor="text1"/>
          <w:spacing w:val="-4"/>
          <w:kern w:val="0"/>
          <w:sz w:val="32"/>
          <w:szCs w:val="32"/>
          <w:highlight w:val="none"/>
          <w:u w:val="none"/>
          <w14:textFill>
            <w14:solidFill>
              <w14:schemeClr w14:val="tx1"/>
            </w14:solidFill>
          </w14:textFill>
        </w:rPr>
      </w:pPr>
      <w:r>
        <w:rPr>
          <w:rFonts w:hint="eastAsia" w:ascii="黑体" w:eastAsia="黑体"/>
          <w:b w:val="0"/>
          <w:bCs/>
          <w:color w:val="000000" w:themeColor="text1"/>
          <w:spacing w:val="-4"/>
          <w:kern w:val="0"/>
          <w:sz w:val="32"/>
          <w:szCs w:val="32"/>
          <w:highlight w:val="none"/>
          <w:u w:val="none"/>
          <w:lang w:val="en-US" w:eastAsia="zh-CN"/>
          <w14:textFill>
            <w14:solidFill>
              <w14:schemeClr w14:val="tx1"/>
            </w14:solidFill>
          </w14:textFill>
        </w:rPr>
        <w:t xml:space="preserve"> </w:t>
      </w:r>
      <w:r>
        <w:rPr>
          <w:rFonts w:hint="eastAsia" w:ascii="黑体" w:eastAsia="黑体"/>
          <w:b w:val="0"/>
          <w:bCs/>
          <w:color w:val="000000" w:themeColor="text1"/>
          <w:spacing w:val="-4"/>
          <w:kern w:val="0"/>
          <w:sz w:val="32"/>
          <w:szCs w:val="32"/>
          <w:highlight w:val="none"/>
          <w:u w:val="none"/>
          <w14:textFill>
            <w14:solidFill>
              <w14:schemeClr w14:val="tx1"/>
            </w14:solidFill>
          </w14:textFill>
        </w:rPr>
        <w:t>总  则</w:t>
      </w:r>
    </w:p>
    <w:p>
      <w:pPr>
        <w:numPr>
          <w:ilvl w:val="-1"/>
          <w:numId w:val="0"/>
        </w:numPr>
        <w:adjustRightInd w:val="0"/>
        <w:snapToGrid w:val="0"/>
        <w:spacing w:before="0" w:beforeLines="0" w:line="560" w:lineRule="exact"/>
        <w:jc w:val="both"/>
        <w:rPr>
          <w:rFonts w:hint="eastAsia" w:ascii="黑体" w:eastAsia="黑体"/>
          <w:b/>
          <w:color w:val="000000" w:themeColor="text1"/>
          <w:spacing w:val="-4"/>
          <w:kern w:val="0"/>
          <w:sz w:val="32"/>
          <w:szCs w:val="32"/>
          <w:highlight w:val="none"/>
          <w:u w:val="none"/>
          <w14:textFill>
            <w14:solidFill>
              <w14:schemeClr w14:val="tx1"/>
            </w14:solidFill>
          </w14:textFill>
        </w:rPr>
      </w:pPr>
    </w:p>
    <w:p>
      <w:pPr>
        <w:adjustRightInd w:val="0"/>
        <w:snapToGrid w:val="0"/>
        <w:spacing w:before="0" w:beforeLines="0" w:line="560" w:lineRule="exact"/>
        <w:ind w:firstLine="624" w:firstLineChars="200"/>
        <w:rPr>
          <w:rFonts w:ascii="宋体" w:hAnsi="宋体"/>
          <w:b/>
          <w:color w:val="000000" w:themeColor="text1"/>
          <w:sz w:val="44"/>
          <w:szCs w:val="44"/>
          <w:highlight w:val="none"/>
          <w:u w:val="none"/>
          <w14:textFill>
            <w14:solidFill>
              <w14:schemeClr w14:val="tx1"/>
            </w14:solidFill>
          </w14:textFill>
        </w:rPr>
      </w:pPr>
      <w:r>
        <w:rPr>
          <w:rFonts w:hint="eastAsia" w:ascii="黑体" w:eastAsia="黑体"/>
          <w:color w:val="000000" w:themeColor="text1"/>
          <w:spacing w:val="-4"/>
          <w:kern w:val="0"/>
          <w:sz w:val="32"/>
          <w:szCs w:val="32"/>
          <w:highlight w:val="none"/>
          <w:u w:val="none"/>
          <w14:textFill>
            <w14:solidFill>
              <w14:schemeClr w14:val="tx1"/>
            </w14:solidFill>
          </w14:textFill>
        </w:rPr>
        <w:t>第一条</w:t>
      </w:r>
      <w:r>
        <w:rPr>
          <w:rFonts w:eastAsia="仿宋_GB2312"/>
          <w:color w:val="000000" w:themeColor="text1"/>
          <w:spacing w:val="-4"/>
          <w:kern w:val="0"/>
          <w:sz w:val="32"/>
          <w:szCs w:val="32"/>
          <w:highlight w:val="none"/>
          <w:u w:val="none"/>
          <w14:textFill>
            <w14:solidFill>
              <w14:schemeClr w14:val="tx1"/>
            </w14:solidFill>
          </w14:textFill>
        </w:rPr>
        <w:t xml:space="preserve">  </w:t>
      </w:r>
      <w:r>
        <w:rPr>
          <w:rFonts w:hint="eastAsia" w:eastAsia="仿宋_GB2312"/>
          <w:color w:val="000000" w:themeColor="text1"/>
          <w:spacing w:val="-4"/>
          <w:kern w:val="0"/>
          <w:sz w:val="32"/>
          <w:szCs w:val="32"/>
          <w:highlight w:val="none"/>
          <w:u w:val="none"/>
          <w14:textFill>
            <w14:solidFill>
              <w14:schemeClr w14:val="tx1"/>
            </w14:solidFill>
          </w14:textFill>
        </w:rPr>
        <w:t>为鼓励和促进龙华区总部经济</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高质量</w:t>
      </w:r>
      <w:r>
        <w:rPr>
          <w:rFonts w:hint="eastAsia" w:eastAsia="仿宋_GB2312"/>
          <w:color w:val="000000" w:themeColor="text1"/>
          <w:spacing w:val="-4"/>
          <w:kern w:val="0"/>
          <w:sz w:val="32"/>
          <w:szCs w:val="32"/>
          <w:highlight w:val="none"/>
          <w:u w:val="none"/>
          <w14:textFill>
            <w14:solidFill>
              <w14:schemeClr w14:val="tx1"/>
            </w14:solidFill>
          </w14:textFill>
        </w:rPr>
        <w:t>发展，根据《深圳市鼓励总部企业</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高质量</w:t>
      </w:r>
      <w:r>
        <w:rPr>
          <w:rFonts w:hint="eastAsia" w:eastAsia="仿宋_GB2312"/>
          <w:color w:val="000000" w:themeColor="text1"/>
          <w:spacing w:val="-4"/>
          <w:kern w:val="0"/>
          <w:sz w:val="32"/>
          <w:szCs w:val="32"/>
          <w:highlight w:val="none"/>
          <w:u w:val="none"/>
          <w14:textFill>
            <w14:solidFill>
              <w14:schemeClr w14:val="tx1"/>
            </w14:solidFill>
          </w14:textFill>
        </w:rPr>
        <w:t>发展实施办法》等文件要求，特制定本办法。</w:t>
      </w:r>
    </w:p>
    <w:p>
      <w:pPr>
        <w:adjustRightInd/>
        <w:snapToGrid/>
        <w:spacing w:before="0" w:beforeLines="0" w:line="560" w:lineRule="exact"/>
        <w:ind w:firstLine="624" w:firstLineChars="200"/>
        <w:jc w:val="both"/>
        <w:rPr>
          <w:rFonts w:hint="default" w:ascii="仿宋_GB2312" w:eastAsia="仿宋_GB2312"/>
          <w:b/>
          <w:color w:val="000000" w:themeColor="text1"/>
          <w:sz w:val="32"/>
          <w:szCs w:val="32"/>
          <w:highlight w:val="none"/>
          <w:u w:val="none"/>
          <w:lang w:val="en-US" w:eastAsia="zh-CN"/>
          <w14:textFill>
            <w14:solidFill>
              <w14:schemeClr w14:val="tx1"/>
            </w14:solidFill>
          </w14:textFill>
        </w:rPr>
      </w:pPr>
      <w:r>
        <w:rPr>
          <w:rFonts w:hint="eastAsia" w:ascii="黑体" w:eastAsia="黑体"/>
          <w:color w:val="000000" w:themeColor="text1"/>
          <w:spacing w:val="-4"/>
          <w:kern w:val="0"/>
          <w:sz w:val="32"/>
          <w:szCs w:val="32"/>
          <w:highlight w:val="none"/>
          <w:u w:val="none"/>
          <w14:textFill>
            <w14:solidFill>
              <w14:schemeClr w14:val="tx1"/>
            </w14:solidFill>
          </w14:textFill>
        </w:rPr>
        <w:t>第二条</w:t>
      </w:r>
      <w:r>
        <w:rPr>
          <w:rFonts w:eastAsia="仿宋_GB2312"/>
          <w:color w:val="000000" w:themeColor="text1"/>
          <w:spacing w:val="-4"/>
          <w:kern w:val="0"/>
          <w:sz w:val="32"/>
          <w:szCs w:val="32"/>
          <w:highlight w:val="none"/>
          <w:u w:val="none"/>
          <w14:textFill>
            <w14:solidFill>
              <w14:schemeClr w14:val="tx1"/>
            </w14:solidFill>
          </w14:textFill>
        </w:rPr>
        <w:t xml:space="preserve">  </w:t>
      </w:r>
      <w:r>
        <w:rPr>
          <w:rFonts w:hint="eastAsia" w:eastAsia="仿宋_GB2312"/>
          <w:color w:val="000000" w:themeColor="text1"/>
          <w:spacing w:val="-4"/>
          <w:kern w:val="0"/>
          <w:sz w:val="32"/>
          <w:szCs w:val="32"/>
          <w:highlight w:val="none"/>
          <w:u w:val="none"/>
          <w14:textFill>
            <w14:solidFill>
              <w14:schemeClr w14:val="tx1"/>
            </w14:solidFill>
          </w14:textFill>
        </w:rPr>
        <w:t>本办法所称总部企业是指经规定程序认定的，</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符合市、区产业发展导向</w:t>
      </w:r>
      <w:r>
        <w:rPr>
          <w:rFonts w:hint="eastAsia" w:ascii="仿宋_GB2312" w:eastAsia="仿宋_GB2312"/>
          <w:color w:val="000000" w:themeColor="text1"/>
          <w:sz w:val="32"/>
          <w:szCs w:val="32"/>
          <w:highlight w:val="none"/>
          <w:u w:val="none"/>
          <w:lang w:eastAsia="zh-CN"/>
          <w14:textFill>
            <w14:solidFill>
              <w14:schemeClr w14:val="tx1"/>
            </w14:solidFill>
          </w14:textFill>
        </w:rPr>
        <w:t>（</w:t>
      </w:r>
      <w:r>
        <w:rPr>
          <w:rFonts w:hint="eastAsia" w:ascii="仿宋_GB2312" w:eastAsia="仿宋_GB2312"/>
          <w:color w:val="000000" w:themeColor="text1"/>
          <w:sz w:val="32"/>
          <w:szCs w:val="32"/>
          <w:highlight w:val="none"/>
          <w:u w:val="none"/>
          <w:lang w:val="en-US" w:eastAsia="zh-CN"/>
          <w14:textFill>
            <w14:solidFill>
              <w14:schemeClr w14:val="tx1"/>
            </w14:solidFill>
          </w14:textFill>
        </w:rPr>
        <w:t>市、区产业结构调整优化目录限制发展类、禁止发展类除外），</w:t>
      </w:r>
      <w:r>
        <w:rPr>
          <w:rFonts w:hint="eastAsia" w:eastAsia="仿宋_GB2312"/>
          <w:color w:val="000000" w:themeColor="text1"/>
          <w:spacing w:val="-4"/>
          <w:kern w:val="0"/>
          <w:sz w:val="32"/>
          <w:szCs w:val="32"/>
          <w:highlight w:val="none"/>
          <w:u w:val="none"/>
          <w14:textFill>
            <w14:solidFill>
              <w14:schemeClr w14:val="tx1"/>
            </w14:solidFill>
          </w14:textFill>
        </w:rPr>
        <w:t>工商、税务登记</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及实际经营地（对第五条第（二）款总部企业认定当年的实际经营地不作限制）在龙华区</w:t>
      </w:r>
      <w:r>
        <w:rPr>
          <w:rFonts w:hint="eastAsia" w:eastAsia="仿宋_GB2312"/>
          <w:color w:val="000000" w:themeColor="text1"/>
          <w:spacing w:val="-4"/>
          <w:kern w:val="0"/>
          <w:sz w:val="32"/>
          <w:szCs w:val="32"/>
          <w:highlight w:val="none"/>
          <w:u w:val="none"/>
          <w14:textFill>
            <w14:solidFill>
              <w14:schemeClr w14:val="tx1"/>
            </w14:solidFill>
          </w14:textFill>
        </w:rPr>
        <w:t>且具有独立法人资格，对一定区域内的企业行使投资控股、运营决策、</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研究开发、</w:t>
      </w:r>
      <w:r>
        <w:rPr>
          <w:rFonts w:hint="eastAsia" w:eastAsia="仿宋_GB2312"/>
          <w:color w:val="000000" w:themeColor="text1"/>
          <w:spacing w:val="-4"/>
          <w:kern w:val="0"/>
          <w:sz w:val="32"/>
          <w:szCs w:val="32"/>
          <w:highlight w:val="none"/>
          <w:u w:val="none"/>
          <w14:textFill>
            <w14:solidFill>
              <w14:schemeClr w14:val="tx1"/>
            </w14:solidFill>
          </w14:textFill>
        </w:rPr>
        <w:t>集中销售、财务结算等管理服务职能的总机构</w:t>
      </w:r>
      <w:r>
        <w:rPr>
          <w:rFonts w:hint="eastAsia" w:ascii="仿宋_GB2312" w:eastAsia="仿宋_GB2312"/>
          <w:color w:val="000000" w:themeColor="text1"/>
          <w:sz w:val="32"/>
          <w:szCs w:val="32"/>
          <w:highlight w:val="none"/>
          <w:u w:val="none"/>
          <w14:textFill>
            <w14:solidFill>
              <w14:schemeClr w14:val="tx1"/>
            </w14:solidFill>
          </w14:textFill>
        </w:rPr>
        <w:t>。</w:t>
      </w:r>
    </w:p>
    <w:p>
      <w:pPr>
        <w:widowControl/>
        <w:adjustRightInd w:val="0"/>
        <w:snapToGrid w:val="0"/>
        <w:spacing w:before="0" w:beforeLines="0" w:line="560" w:lineRule="exact"/>
        <w:ind w:firstLine="624" w:firstLineChars="200"/>
        <w:jc w:val="both"/>
        <w:rPr>
          <w:rFonts w:hint="eastAsia" w:eastAsia="仿宋_GB2312"/>
          <w:color w:val="000000" w:themeColor="text1"/>
          <w:spacing w:val="-4"/>
          <w:kern w:val="0"/>
          <w:sz w:val="32"/>
          <w:szCs w:val="32"/>
          <w:highlight w:val="none"/>
          <w:u w:val="none"/>
          <w14:textFill>
            <w14:solidFill>
              <w14:schemeClr w14:val="tx1"/>
            </w14:solidFill>
          </w14:textFill>
        </w:rPr>
      </w:pPr>
      <w:r>
        <w:rPr>
          <w:rFonts w:hint="eastAsia" w:ascii="黑体" w:eastAsia="黑体"/>
          <w:color w:val="000000" w:themeColor="text1"/>
          <w:spacing w:val="-4"/>
          <w:kern w:val="0"/>
          <w:sz w:val="32"/>
          <w:szCs w:val="32"/>
          <w:highlight w:val="none"/>
          <w:u w:val="none"/>
          <w14:textFill>
            <w14:solidFill>
              <w14:schemeClr w14:val="tx1"/>
            </w14:solidFill>
          </w14:textFill>
        </w:rPr>
        <w:t>第三条</w:t>
      </w:r>
      <w:r>
        <w:rPr>
          <w:rFonts w:eastAsia="仿宋_GB2312"/>
          <w:color w:val="000000" w:themeColor="text1"/>
          <w:spacing w:val="-4"/>
          <w:kern w:val="0"/>
          <w:sz w:val="32"/>
          <w:szCs w:val="32"/>
          <w:highlight w:val="none"/>
          <w:u w:val="none"/>
          <w14:textFill>
            <w14:solidFill>
              <w14:schemeClr w14:val="tx1"/>
            </w14:solidFill>
          </w14:textFill>
        </w:rPr>
        <w:t xml:space="preserve">  </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龙华区总部经济发展工作领导小组（以下简称“领导小组”）是区政府负责全区总部经济发展的领导机构。领导小组主要职责是负责指导、管理、监督全区总部经济发展工作，协调处理总部经济发展重大问题，负责全区总部企业资格认定。领导小组办公室</w:t>
      </w:r>
      <w:r>
        <w:rPr>
          <w:rFonts w:hint="eastAsia" w:eastAsia="仿宋_GB2312"/>
          <w:color w:val="000000" w:themeColor="text1"/>
          <w:spacing w:val="-4"/>
          <w:kern w:val="0"/>
          <w:sz w:val="32"/>
          <w:szCs w:val="32"/>
          <w:highlight w:val="none"/>
          <w:u w:val="none"/>
          <w14:textFill>
            <w14:solidFill>
              <w14:schemeClr w14:val="tx1"/>
            </w14:solidFill>
          </w14:textFill>
        </w:rPr>
        <w:t>（以下简称</w:t>
      </w:r>
      <w:r>
        <w:rPr>
          <w:rFonts w:hint="eastAsia" w:eastAsia="仿宋_GB2312"/>
          <w:color w:val="000000" w:themeColor="text1"/>
          <w:spacing w:val="-4"/>
          <w:kern w:val="0"/>
          <w:sz w:val="32"/>
          <w:szCs w:val="32"/>
          <w:highlight w:val="none"/>
          <w:u w:val="none"/>
          <w:lang w:eastAsia="zh-CN"/>
          <w14:textFill>
            <w14:solidFill>
              <w14:schemeClr w14:val="tx1"/>
            </w14:solidFill>
          </w14:textFill>
        </w:rPr>
        <w:t>“</w:t>
      </w:r>
      <w:r>
        <w:rPr>
          <w:rFonts w:hint="eastAsia" w:eastAsia="仿宋_GB2312"/>
          <w:color w:val="000000" w:themeColor="text1"/>
          <w:spacing w:val="-4"/>
          <w:kern w:val="0"/>
          <w:sz w:val="32"/>
          <w:szCs w:val="32"/>
          <w:highlight w:val="none"/>
          <w:u w:val="none"/>
          <w14:textFill>
            <w14:solidFill>
              <w14:schemeClr w14:val="tx1"/>
            </w14:solidFill>
          </w14:textFill>
        </w:rPr>
        <w:t>总部办</w:t>
      </w:r>
      <w:r>
        <w:rPr>
          <w:rFonts w:hint="eastAsia" w:eastAsia="仿宋_GB2312"/>
          <w:color w:val="000000" w:themeColor="text1"/>
          <w:spacing w:val="-4"/>
          <w:kern w:val="0"/>
          <w:sz w:val="32"/>
          <w:szCs w:val="32"/>
          <w:highlight w:val="none"/>
          <w:u w:val="none"/>
          <w:lang w:eastAsia="zh-CN"/>
          <w14:textFill>
            <w14:solidFill>
              <w14:schemeClr w14:val="tx1"/>
            </w14:solidFill>
          </w14:textFill>
        </w:rPr>
        <w:t>”</w:t>
      </w:r>
      <w:r>
        <w:rPr>
          <w:rFonts w:hint="eastAsia" w:eastAsia="仿宋_GB2312"/>
          <w:color w:val="000000" w:themeColor="text1"/>
          <w:spacing w:val="-4"/>
          <w:kern w:val="0"/>
          <w:sz w:val="32"/>
          <w:szCs w:val="32"/>
          <w:highlight w:val="none"/>
          <w:u w:val="none"/>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设在区发展和改革局，</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具体</w:t>
      </w:r>
      <w:r>
        <w:rPr>
          <w:rFonts w:hint="eastAsia" w:eastAsia="仿宋_GB2312"/>
          <w:color w:val="000000" w:themeColor="text1"/>
          <w:spacing w:val="-4"/>
          <w:kern w:val="0"/>
          <w:sz w:val="32"/>
          <w:szCs w:val="32"/>
          <w:highlight w:val="none"/>
          <w:u w:val="none"/>
          <w14:textFill>
            <w14:solidFill>
              <w14:schemeClr w14:val="tx1"/>
            </w14:solidFill>
          </w14:textFill>
        </w:rPr>
        <w:t>负责总部企业认定、资金支持等日常工作。</w:t>
      </w:r>
    </w:p>
    <w:p>
      <w:pPr>
        <w:widowControl/>
        <w:adjustRightInd w:val="0"/>
        <w:snapToGrid w:val="0"/>
        <w:spacing w:before="0" w:beforeLines="0" w:line="560" w:lineRule="exact"/>
        <w:ind w:firstLine="624" w:firstLineChars="200"/>
        <w:jc w:val="left"/>
        <w:rPr>
          <w:rFonts w:hint="eastAsia" w:eastAsia="仿宋_GB2312"/>
          <w:color w:val="000000" w:themeColor="text1"/>
          <w:spacing w:val="-4"/>
          <w:kern w:val="0"/>
          <w:sz w:val="32"/>
          <w:szCs w:val="32"/>
          <w:highlight w:val="none"/>
          <w:u w:val="none"/>
          <w14:textFill>
            <w14:solidFill>
              <w14:schemeClr w14:val="tx1"/>
            </w14:solidFill>
          </w14:textFill>
        </w:rPr>
      </w:pPr>
    </w:p>
    <w:p>
      <w:pPr>
        <w:adjustRightInd w:val="0"/>
        <w:snapToGrid w:val="0"/>
        <w:spacing w:before="0" w:beforeLines="0" w:line="560" w:lineRule="exact"/>
        <w:ind w:firstLine="0" w:firstLineChars="0"/>
        <w:jc w:val="center"/>
        <w:rPr>
          <w:rFonts w:ascii="黑体" w:eastAsia="黑体"/>
          <w:b w:val="0"/>
          <w:bCs/>
          <w:color w:val="000000" w:themeColor="text1"/>
          <w:spacing w:val="-4"/>
          <w:kern w:val="0"/>
          <w:sz w:val="32"/>
          <w:szCs w:val="32"/>
          <w:highlight w:val="none"/>
          <w:u w:val="none"/>
          <w14:textFill>
            <w14:solidFill>
              <w14:schemeClr w14:val="tx1"/>
            </w14:solidFill>
          </w14:textFill>
        </w:rPr>
      </w:pPr>
      <w:r>
        <w:rPr>
          <w:rFonts w:hint="eastAsia" w:ascii="黑体" w:eastAsia="黑体"/>
          <w:b w:val="0"/>
          <w:bCs/>
          <w:color w:val="000000" w:themeColor="text1"/>
          <w:spacing w:val="-4"/>
          <w:kern w:val="0"/>
          <w:sz w:val="32"/>
          <w:szCs w:val="32"/>
          <w:highlight w:val="none"/>
          <w:u w:val="none"/>
          <w14:textFill>
            <w14:solidFill>
              <w14:schemeClr w14:val="tx1"/>
            </w14:solidFill>
          </w14:textFill>
        </w:rPr>
        <w:t>第二章  认定流程与标准</w:t>
      </w:r>
    </w:p>
    <w:p>
      <w:pPr>
        <w:adjustRightInd w:val="0"/>
        <w:snapToGrid w:val="0"/>
        <w:spacing w:before="0" w:beforeLines="0" w:line="560" w:lineRule="exact"/>
        <w:ind w:firstLine="645"/>
        <w:rPr>
          <w:rFonts w:hint="eastAsia" w:ascii="黑体" w:eastAsia="黑体"/>
          <w:color w:val="000000" w:themeColor="text1"/>
          <w:spacing w:val="-4"/>
          <w:kern w:val="0"/>
          <w:sz w:val="32"/>
          <w:szCs w:val="32"/>
          <w:highlight w:val="none"/>
          <w:u w:val="none"/>
          <w14:textFill>
            <w14:solidFill>
              <w14:schemeClr w14:val="tx1"/>
            </w14:solidFill>
          </w14:textFill>
        </w:rPr>
      </w:pPr>
    </w:p>
    <w:p>
      <w:pPr>
        <w:adjustRightInd w:val="0"/>
        <w:snapToGrid w:val="0"/>
        <w:spacing w:before="0" w:beforeLines="0" w:line="560" w:lineRule="exact"/>
        <w:ind w:firstLine="645"/>
        <w:rPr>
          <w:rFonts w:eastAsia="仿宋_GB2312" w:cs="仿宋_GB2312"/>
          <w:b/>
          <w:color w:val="000000" w:themeColor="text1"/>
          <w:kern w:val="0"/>
          <w:sz w:val="32"/>
          <w:szCs w:val="32"/>
          <w:highlight w:val="none"/>
          <w:u w:val="none"/>
          <w14:textFill>
            <w14:solidFill>
              <w14:schemeClr w14:val="tx1"/>
            </w14:solidFill>
          </w14:textFill>
        </w:rPr>
      </w:pPr>
      <w:r>
        <w:rPr>
          <w:rFonts w:hint="eastAsia" w:ascii="黑体" w:eastAsia="黑体"/>
          <w:color w:val="000000" w:themeColor="text1"/>
          <w:spacing w:val="-4"/>
          <w:kern w:val="0"/>
          <w:sz w:val="32"/>
          <w:szCs w:val="32"/>
          <w:highlight w:val="none"/>
          <w:u w:val="none"/>
          <w14:textFill>
            <w14:solidFill>
              <w14:schemeClr w14:val="tx1"/>
            </w14:solidFill>
          </w14:textFill>
        </w:rPr>
        <w:t xml:space="preserve">第四条 </w:t>
      </w:r>
      <w:r>
        <w:rPr>
          <w:rFonts w:hint="eastAsia" w:ascii="黑体" w:eastAsia="黑体"/>
          <w:color w:val="000000" w:themeColor="text1"/>
          <w:spacing w:val="-4"/>
          <w:kern w:val="0"/>
          <w:sz w:val="32"/>
          <w:szCs w:val="32"/>
          <w:highlight w:val="none"/>
          <w:u w:val="none"/>
          <w:lang w:val="en-US" w:eastAsia="zh-CN"/>
          <w14:textFill>
            <w14:solidFill>
              <w14:schemeClr w14:val="tx1"/>
            </w14:solidFill>
          </w14:textFill>
        </w:rPr>
        <w:t xml:space="preserve"> </w:t>
      </w:r>
      <w:r>
        <w:rPr>
          <w:rFonts w:hint="eastAsia" w:ascii="仿宋_GB2312" w:eastAsia="仿宋_GB2312"/>
          <w:color w:val="000000" w:themeColor="text1"/>
          <w:sz w:val="32"/>
          <w:szCs w:val="32"/>
          <w:highlight w:val="none"/>
          <w:u w:val="none"/>
          <w14:textFill>
            <w14:solidFill>
              <w14:schemeClr w14:val="tx1"/>
            </w14:solidFill>
          </w14:textFill>
        </w:rPr>
        <w:t>总部企业认定按照集中分批的原则，总</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部办于每年</w:t>
      </w:r>
      <w:r>
        <w:rPr>
          <w:rFonts w:hint="eastAsia" w:ascii="仿宋_GB2312" w:eastAsia="仿宋_GB2312"/>
          <w:color w:val="000000" w:themeColor="text1"/>
          <w:sz w:val="32"/>
          <w:szCs w:val="32"/>
          <w:highlight w:val="none"/>
          <w:u w:val="none"/>
          <w14:textFill>
            <w14:solidFill>
              <w14:schemeClr w14:val="tx1"/>
            </w14:solidFill>
          </w14:textFill>
        </w:rPr>
        <w:t>3—10月</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受理申报，分批认定</w:t>
      </w:r>
      <w:r>
        <w:rPr>
          <w:rFonts w:hint="eastAsia" w:eastAsia="仿宋_GB2312" w:cs="仿宋_GB2312"/>
          <w:color w:val="000000" w:themeColor="text1"/>
          <w:kern w:val="0"/>
          <w:sz w:val="32"/>
          <w:szCs w:val="32"/>
          <w:highlight w:val="none"/>
          <w:u w:val="none"/>
          <w14:textFill>
            <w14:solidFill>
              <w14:schemeClr w14:val="tx1"/>
            </w14:solidFill>
          </w14:textFill>
        </w:rPr>
        <w:t>。</w:t>
      </w:r>
    </w:p>
    <w:p>
      <w:pPr>
        <w:adjustRightInd w:val="0"/>
        <w:snapToGrid w:val="0"/>
        <w:spacing w:before="0" w:beforeLines="0" w:line="560" w:lineRule="exact"/>
        <w:ind w:firstLine="645" w:firstLineChars="0"/>
        <w:jc w:val="both"/>
        <w:rPr>
          <w:rFonts w:ascii="黑体" w:eastAsia="黑体"/>
          <w:b/>
          <w:color w:val="000000" w:themeColor="text1"/>
          <w:spacing w:val="-4"/>
          <w:kern w:val="0"/>
          <w:sz w:val="32"/>
          <w:szCs w:val="32"/>
          <w:highlight w:val="none"/>
          <w:u w:val="none"/>
          <w14:textFill>
            <w14:solidFill>
              <w14:schemeClr w14:val="tx1"/>
            </w14:solidFill>
          </w14:textFill>
        </w:rPr>
      </w:pP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认定流程包括</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发布通知</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组织申报</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初审</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征求意见</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、经营情况核查、</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公示</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、审批、</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授证</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等环节</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w:t>
      </w:r>
    </w:p>
    <w:p>
      <w:pPr>
        <w:adjustRightInd w:val="0"/>
        <w:snapToGrid w:val="0"/>
        <w:spacing w:before="0" w:beforeLines="0" w:line="560" w:lineRule="exact"/>
        <w:ind w:firstLine="624" w:firstLineChars="200"/>
        <w:rPr>
          <w:rFonts w:ascii="仿宋_GB2312" w:eastAsia="仿宋_GB2312"/>
          <w:color w:val="000000" w:themeColor="text1"/>
          <w:sz w:val="32"/>
          <w:szCs w:val="32"/>
          <w:highlight w:val="none"/>
          <w:u w:val="none"/>
          <w14:textFill>
            <w14:solidFill>
              <w14:schemeClr w14:val="tx1"/>
            </w14:solidFill>
          </w14:textFill>
        </w:rPr>
      </w:pPr>
      <w:r>
        <w:rPr>
          <w:rFonts w:hint="eastAsia" w:ascii="黑体" w:eastAsia="黑体"/>
          <w:color w:val="000000" w:themeColor="text1"/>
          <w:spacing w:val="-4"/>
          <w:kern w:val="0"/>
          <w:sz w:val="32"/>
          <w:szCs w:val="32"/>
          <w:highlight w:val="none"/>
          <w:u w:val="none"/>
          <w14:textFill>
            <w14:solidFill>
              <w14:schemeClr w14:val="tx1"/>
            </w14:solidFill>
          </w14:textFill>
        </w:rPr>
        <w:t>第</w:t>
      </w:r>
      <w:r>
        <w:rPr>
          <w:rFonts w:hint="eastAsia" w:ascii="黑体" w:eastAsia="黑体"/>
          <w:color w:val="000000" w:themeColor="text1"/>
          <w:spacing w:val="-4"/>
          <w:kern w:val="0"/>
          <w:sz w:val="32"/>
          <w:szCs w:val="32"/>
          <w:highlight w:val="none"/>
          <w:u w:val="none"/>
          <w:lang w:val="en-US" w:eastAsia="zh-CN"/>
          <w14:textFill>
            <w14:solidFill>
              <w14:schemeClr w14:val="tx1"/>
            </w14:solidFill>
          </w14:textFill>
        </w:rPr>
        <w:t>五</w:t>
      </w:r>
      <w:r>
        <w:rPr>
          <w:rFonts w:hint="eastAsia" w:ascii="黑体" w:eastAsia="黑体"/>
          <w:color w:val="000000" w:themeColor="text1"/>
          <w:spacing w:val="-4"/>
          <w:kern w:val="0"/>
          <w:sz w:val="32"/>
          <w:szCs w:val="32"/>
          <w:highlight w:val="none"/>
          <w:u w:val="none"/>
          <w14:textFill>
            <w14:solidFill>
              <w14:schemeClr w14:val="tx1"/>
            </w14:solidFill>
          </w14:textFill>
        </w:rPr>
        <w:t>条</w:t>
      </w:r>
      <w:r>
        <w:rPr>
          <w:rFonts w:hint="eastAsia" w:ascii="仿宋_GB2312" w:eastAsia="仿宋_GB2312"/>
          <w:color w:val="000000" w:themeColor="text1"/>
          <w:sz w:val="32"/>
          <w:szCs w:val="32"/>
          <w:highlight w:val="none"/>
          <w:u w:val="none"/>
          <w14:textFill>
            <w14:solidFill>
              <w14:schemeClr w14:val="tx1"/>
            </w14:solidFill>
          </w14:textFill>
        </w:rPr>
        <w:t xml:space="preserve">  符合下列条件之一的可申请认定为区总部企业：</w:t>
      </w:r>
    </w:p>
    <w:p>
      <w:pPr>
        <w:adjustRightInd w:val="0"/>
        <w:snapToGrid w:val="0"/>
        <w:spacing w:before="0" w:beforeLines="0" w:line="560" w:lineRule="exact"/>
        <w:ind w:firstLine="480" w:firstLineChars="150"/>
        <w:rPr>
          <w:rFonts w:hint="eastAsia" w:eastAsia="仿宋_GB2312"/>
          <w:color w:val="000000" w:themeColor="text1"/>
          <w:sz w:val="32"/>
          <w:szCs w:val="32"/>
          <w:highlight w:val="none"/>
          <w:u w:val="none"/>
          <w14:textFill>
            <w14:solidFill>
              <w14:schemeClr w14:val="tx1"/>
            </w14:solidFill>
          </w14:textFill>
        </w:rPr>
      </w:pPr>
      <w:r>
        <w:rPr>
          <w:rFonts w:hint="eastAsia" w:ascii="仿宋_GB2312" w:eastAsia="仿宋_GB2312"/>
          <w:color w:val="000000" w:themeColor="text1"/>
          <w:sz w:val="32"/>
          <w:szCs w:val="32"/>
          <w:highlight w:val="none"/>
          <w:u w:val="none"/>
          <w14:textFill>
            <w14:solidFill>
              <w14:schemeClr w14:val="tx1"/>
            </w14:solidFill>
          </w14:textFill>
        </w:rPr>
        <w:t>（一）在</w:t>
      </w:r>
      <w:r>
        <w:rPr>
          <w:rFonts w:hint="eastAsia" w:ascii="仿宋_GB2312" w:eastAsia="仿宋_GB2312"/>
          <w:color w:val="000000" w:themeColor="text1"/>
          <w:sz w:val="32"/>
          <w:szCs w:val="32"/>
          <w:highlight w:val="none"/>
          <w:u w:val="none"/>
          <w:lang w:eastAsia="zh-CN"/>
          <w14:textFill>
            <w14:solidFill>
              <w14:schemeClr w14:val="tx1"/>
            </w14:solidFill>
          </w14:textFill>
        </w:rPr>
        <w:t>龙华区</w:t>
      </w:r>
      <w:r>
        <w:rPr>
          <w:rFonts w:hint="eastAsia" w:ascii="仿宋_GB2312" w:eastAsia="仿宋_GB2312"/>
          <w:color w:val="000000" w:themeColor="text1"/>
          <w:sz w:val="32"/>
          <w:szCs w:val="32"/>
          <w:highlight w:val="none"/>
          <w:u w:val="none"/>
          <w14:textFill>
            <w14:solidFill>
              <w14:schemeClr w14:val="tx1"/>
            </w14:solidFill>
          </w14:textFill>
        </w:rPr>
        <w:t>注册且在区持续经营一年（含一年）以上，上年度纳入区统计的产值规模（或营业收入）不低于</w:t>
      </w:r>
      <w:r>
        <w:rPr>
          <w:rFonts w:hint="default" w:ascii="仿宋_GB2312" w:eastAsia="仿宋_GB2312"/>
          <w:color w:val="000000" w:themeColor="text1"/>
          <w:sz w:val="32"/>
          <w:szCs w:val="32"/>
          <w:highlight w:val="none"/>
          <w:u w:val="none"/>
          <w:lang w:val="en-US"/>
          <w14:textFill>
            <w14:solidFill>
              <w14:schemeClr w14:val="tx1"/>
            </w14:solidFill>
          </w14:textFill>
        </w:rPr>
        <w:t>4</w:t>
      </w:r>
      <w:r>
        <w:rPr>
          <w:rFonts w:hint="eastAsia" w:ascii="仿宋_GB2312" w:eastAsia="仿宋_GB2312"/>
          <w:color w:val="000000" w:themeColor="text1"/>
          <w:sz w:val="32"/>
          <w:szCs w:val="32"/>
          <w:highlight w:val="none"/>
          <w:u w:val="none"/>
          <w14:textFill>
            <w14:solidFill>
              <w14:schemeClr w14:val="tx1"/>
            </w14:solidFill>
          </w14:textFill>
        </w:rPr>
        <w:t>亿元人民币且形成区地方财力不低于800万元人民币</w:t>
      </w:r>
      <w:r>
        <w:rPr>
          <w:rFonts w:hint="eastAsia" w:eastAsia="仿宋_GB2312"/>
          <w:color w:val="000000" w:themeColor="text1"/>
          <w:sz w:val="32"/>
          <w:szCs w:val="32"/>
          <w:highlight w:val="none"/>
          <w:u w:val="none"/>
          <w14:textFill>
            <w14:solidFill>
              <w14:schemeClr w14:val="tx1"/>
            </w14:solidFill>
          </w14:textFill>
        </w:rPr>
        <w:t>。</w:t>
      </w:r>
    </w:p>
    <w:p>
      <w:pPr>
        <w:tabs>
          <w:tab w:val="left" w:pos="1890"/>
        </w:tabs>
        <w:adjustRightInd w:val="0"/>
        <w:snapToGrid w:val="0"/>
        <w:spacing w:before="0" w:beforeLines="0" w:line="560" w:lineRule="exact"/>
        <w:ind w:firstLine="480" w:firstLineChars="150"/>
        <w:rPr>
          <w:rFonts w:ascii="仿宋_GB2312" w:eastAsia="仿宋_GB2312"/>
          <w:color w:val="000000" w:themeColor="text1"/>
          <w:sz w:val="32"/>
          <w:szCs w:val="32"/>
          <w:highlight w:val="none"/>
          <w:u w:val="none"/>
          <w14:textFill>
            <w14:solidFill>
              <w14:schemeClr w14:val="tx1"/>
            </w14:solidFill>
          </w14:textFill>
        </w:rPr>
      </w:pPr>
      <w:r>
        <w:rPr>
          <w:rFonts w:hint="eastAsia" w:ascii="仿宋_GB2312" w:eastAsia="仿宋_GB2312"/>
          <w:color w:val="000000" w:themeColor="text1"/>
          <w:sz w:val="32"/>
          <w:szCs w:val="32"/>
          <w:highlight w:val="none"/>
          <w:u w:val="none"/>
          <w14:textFill>
            <w14:solidFill>
              <w14:schemeClr w14:val="tx1"/>
            </w14:solidFill>
          </w14:textFill>
        </w:rPr>
        <w:t>（二）在</w:t>
      </w:r>
      <w:r>
        <w:rPr>
          <w:rFonts w:hint="eastAsia" w:ascii="仿宋_GB2312" w:eastAsia="仿宋_GB2312"/>
          <w:color w:val="000000" w:themeColor="text1"/>
          <w:sz w:val="32"/>
          <w:szCs w:val="32"/>
          <w:highlight w:val="none"/>
          <w:u w:val="none"/>
          <w:lang w:eastAsia="zh-CN"/>
          <w14:textFill>
            <w14:solidFill>
              <w14:schemeClr w14:val="tx1"/>
            </w14:solidFill>
          </w14:textFill>
        </w:rPr>
        <w:t>龙华区</w:t>
      </w:r>
      <w:r>
        <w:rPr>
          <w:rFonts w:hint="eastAsia" w:ascii="仿宋_GB2312" w:eastAsia="仿宋_GB2312"/>
          <w:color w:val="000000" w:themeColor="text1"/>
          <w:sz w:val="32"/>
          <w:szCs w:val="32"/>
          <w:highlight w:val="none"/>
          <w:u w:val="none"/>
          <w14:textFill>
            <w14:solidFill>
              <w14:schemeClr w14:val="tx1"/>
            </w14:solidFill>
          </w14:textFill>
        </w:rPr>
        <w:t>注册且经营不满一年，实缴注册资本不低于1亿元人民币</w:t>
      </w:r>
      <w:r>
        <w:rPr>
          <w:rFonts w:hint="eastAsia" w:ascii="仿宋_GB2312" w:eastAsia="仿宋_GB2312"/>
          <w:color w:val="000000" w:themeColor="text1"/>
          <w:sz w:val="32"/>
          <w:szCs w:val="32"/>
          <w:highlight w:val="none"/>
          <w:u w:val="none"/>
          <w:lang w:eastAsia="zh-CN"/>
          <w14:textFill>
            <w14:solidFill>
              <w14:schemeClr w14:val="tx1"/>
            </w14:solidFill>
          </w14:textFill>
        </w:rPr>
        <w:t>，</w:t>
      </w:r>
      <w:r>
        <w:rPr>
          <w:rFonts w:hint="eastAsia" w:ascii="仿宋_GB2312" w:eastAsia="仿宋_GB2312"/>
          <w:color w:val="000000" w:themeColor="text1"/>
          <w:sz w:val="32"/>
          <w:szCs w:val="32"/>
          <w:highlight w:val="none"/>
          <w:u w:val="none"/>
          <w14:textFill>
            <w14:solidFill>
              <w14:schemeClr w14:val="tx1"/>
            </w14:solidFill>
          </w14:textFill>
        </w:rPr>
        <w:t>其</w:t>
      </w:r>
      <w:r>
        <w:rPr>
          <w:rFonts w:hint="eastAsia" w:ascii="仿宋_GB2312" w:eastAsia="仿宋_GB2312"/>
          <w:color w:val="000000" w:themeColor="text1"/>
          <w:sz w:val="32"/>
          <w:szCs w:val="32"/>
          <w:highlight w:val="none"/>
          <w:u w:val="none"/>
          <w:lang w:val="en-US" w:eastAsia="zh-CN"/>
          <w14:textFill>
            <w14:solidFill>
              <w14:schemeClr w14:val="tx1"/>
            </w14:solidFill>
          </w14:textFill>
        </w:rPr>
        <w:t>上年度</w:t>
      </w:r>
      <w:r>
        <w:rPr>
          <w:rFonts w:hint="eastAsia" w:ascii="仿宋_GB2312" w:eastAsia="仿宋_GB2312"/>
          <w:color w:val="000000" w:themeColor="text1"/>
          <w:sz w:val="32"/>
          <w:szCs w:val="32"/>
          <w:highlight w:val="none"/>
          <w:u w:val="none"/>
          <w14:textFill>
            <w14:solidFill>
              <w14:schemeClr w14:val="tx1"/>
            </w14:solidFill>
          </w14:textFill>
        </w:rPr>
        <w:t>产值规模（或营业收入）不低于</w:t>
      </w:r>
      <w:r>
        <w:rPr>
          <w:rFonts w:hint="eastAsia" w:ascii="仿宋_GB2312" w:eastAsia="仿宋_GB2312"/>
          <w:color w:val="000000" w:themeColor="text1"/>
          <w:sz w:val="32"/>
          <w:szCs w:val="32"/>
          <w:highlight w:val="none"/>
          <w:u w:val="none"/>
          <w:lang w:val="en-US" w:eastAsia="zh-CN"/>
          <w14:textFill>
            <w14:solidFill>
              <w14:schemeClr w14:val="tx1"/>
            </w14:solidFill>
          </w14:textFill>
        </w:rPr>
        <w:t>1</w:t>
      </w:r>
      <w:r>
        <w:rPr>
          <w:rFonts w:hint="eastAsia" w:ascii="仿宋_GB2312" w:eastAsia="仿宋_GB2312"/>
          <w:color w:val="000000" w:themeColor="text1"/>
          <w:sz w:val="32"/>
          <w:szCs w:val="32"/>
          <w:highlight w:val="none"/>
          <w:u w:val="none"/>
          <w14:textFill>
            <w14:solidFill>
              <w14:schemeClr w14:val="tx1"/>
            </w14:solidFill>
          </w14:textFill>
        </w:rPr>
        <w:t>0亿元人民币</w:t>
      </w:r>
      <w:r>
        <w:rPr>
          <w:rFonts w:hint="eastAsia" w:ascii="仿宋_GB2312" w:eastAsia="仿宋_GB2312"/>
          <w:color w:val="000000" w:themeColor="text1"/>
          <w:sz w:val="32"/>
          <w:szCs w:val="32"/>
          <w:highlight w:val="none"/>
          <w:u w:val="none"/>
          <w:lang w:eastAsia="zh-CN"/>
          <w14:textFill>
            <w14:solidFill>
              <w14:schemeClr w14:val="tx1"/>
            </w14:solidFill>
          </w14:textFill>
        </w:rPr>
        <w:t>（</w:t>
      </w:r>
      <w:r>
        <w:rPr>
          <w:rFonts w:hint="eastAsia" w:ascii="仿宋_GB2312" w:eastAsia="仿宋_GB2312"/>
          <w:color w:val="000000" w:themeColor="text1"/>
          <w:sz w:val="32"/>
          <w:szCs w:val="32"/>
          <w:highlight w:val="none"/>
          <w:u w:val="none"/>
          <w:lang w:val="en-US" w:eastAsia="zh-CN"/>
          <w14:textFill>
            <w14:solidFill>
              <w14:schemeClr w14:val="tx1"/>
            </w14:solidFill>
          </w14:textFill>
        </w:rPr>
        <w:t>或其</w:t>
      </w:r>
      <w:r>
        <w:rPr>
          <w:rFonts w:hint="eastAsia" w:ascii="仿宋_GB2312" w:eastAsia="仿宋_GB2312"/>
          <w:color w:val="000000" w:themeColor="text1"/>
          <w:sz w:val="32"/>
          <w:szCs w:val="32"/>
          <w:highlight w:val="none"/>
          <w:u w:val="none"/>
          <w14:textFill>
            <w14:solidFill>
              <w14:schemeClr w14:val="tx1"/>
            </w14:solidFill>
          </w14:textFill>
        </w:rPr>
        <w:t>控股母公司</w:t>
      </w:r>
      <w:r>
        <w:rPr>
          <w:rFonts w:hint="eastAsia" w:ascii="仿宋_GB2312" w:eastAsia="仿宋_GB2312"/>
          <w:color w:val="000000" w:themeColor="text1"/>
          <w:sz w:val="32"/>
          <w:szCs w:val="32"/>
          <w:highlight w:val="none"/>
          <w:u w:val="none"/>
          <w:lang w:val="en-US" w:eastAsia="zh-CN"/>
          <w14:textFill>
            <w14:solidFill>
              <w14:schemeClr w14:val="tx1"/>
            </w14:solidFill>
          </w14:textFill>
        </w:rPr>
        <w:t>上年度</w:t>
      </w:r>
      <w:r>
        <w:rPr>
          <w:rFonts w:hint="eastAsia" w:ascii="仿宋_GB2312" w:eastAsia="仿宋_GB2312"/>
          <w:color w:val="000000" w:themeColor="text1"/>
          <w:sz w:val="32"/>
          <w:szCs w:val="32"/>
          <w:highlight w:val="none"/>
          <w:u w:val="none"/>
          <w14:textFill>
            <w14:solidFill>
              <w14:schemeClr w14:val="tx1"/>
            </w14:solidFill>
          </w14:textFill>
        </w:rPr>
        <w:t>产值规模（或营业收入）不低于20亿元人民币</w:t>
      </w:r>
      <w:r>
        <w:rPr>
          <w:rFonts w:hint="eastAsia" w:ascii="仿宋_GB2312" w:eastAsia="仿宋_GB2312"/>
          <w:color w:val="000000" w:themeColor="text1"/>
          <w:sz w:val="32"/>
          <w:szCs w:val="32"/>
          <w:highlight w:val="none"/>
          <w:u w:val="none"/>
          <w:lang w:eastAsia="zh-CN"/>
          <w14:textFill>
            <w14:solidFill>
              <w14:schemeClr w14:val="tx1"/>
            </w14:solidFill>
          </w14:textFill>
        </w:rPr>
        <w:t>），</w:t>
      </w:r>
      <w:r>
        <w:rPr>
          <w:rFonts w:hint="eastAsia" w:ascii="仿宋_GB2312" w:eastAsia="仿宋_GB2312"/>
          <w:color w:val="000000" w:themeColor="text1"/>
          <w:sz w:val="32"/>
          <w:szCs w:val="32"/>
          <w:highlight w:val="none"/>
          <w:u w:val="none"/>
          <w14:textFill>
            <w14:solidFill>
              <w14:schemeClr w14:val="tx1"/>
            </w14:solidFill>
          </w14:textFill>
        </w:rPr>
        <w:t>承诺</w:t>
      </w:r>
      <w:r>
        <w:rPr>
          <w:rFonts w:hint="eastAsia" w:ascii="仿宋_GB2312" w:eastAsia="仿宋_GB2312"/>
          <w:color w:val="000000" w:themeColor="text1"/>
          <w:sz w:val="32"/>
          <w:szCs w:val="32"/>
          <w:highlight w:val="none"/>
          <w:u w:val="none"/>
          <w:lang w:val="en-US" w:eastAsia="zh-CN"/>
          <w14:textFill>
            <w14:solidFill>
              <w14:schemeClr w14:val="tx1"/>
            </w14:solidFill>
          </w14:textFill>
        </w:rPr>
        <w:t>第二</w:t>
      </w:r>
      <w:r>
        <w:rPr>
          <w:rFonts w:hint="eastAsia" w:ascii="仿宋_GB2312" w:eastAsia="仿宋_GB2312"/>
          <w:color w:val="000000" w:themeColor="text1"/>
          <w:sz w:val="32"/>
          <w:szCs w:val="32"/>
          <w:highlight w:val="none"/>
          <w:u w:val="none"/>
          <w14:textFill>
            <w14:solidFill>
              <w14:schemeClr w14:val="tx1"/>
            </w14:solidFill>
          </w14:textFill>
        </w:rPr>
        <w:t>年纳入区统计</w:t>
      </w:r>
      <w:r>
        <w:rPr>
          <w:rFonts w:hint="eastAsia" w:ascii="仿宋_GB2312" w:eastAsia="仿宋_GB2312"/>
          <w:color w:val="000000" w:themeColor="text1"/>
          <w:sz w:val="32"/>
          <w:szCs w:val="32"/>
          <w:highlight w:val="none"/>
          <w:u w:val="none"/>
          <w:lang w:val="en-US" w:eastAsia="zh-CN"/>
          <w14:textFill>
            <w14:solidFill>
              <w14:schemeClr w14:val="tx1"/>
            </w14:solidFill>
          </w14:textFill>
        </w:rPr>
        <w:t>核算</w:t>
      </w:r>
      <w:r>
        <w:rPr>
          <w:rFonts w:hint="eastAsia" w:ascii="仿宋_GB2312" w:eastAsia="仿宋_GB2312"/>
          <w:color w:val="000000" w:themeColor="text1"/>
          <w:sz w:val="32"/>
          <w:szCs w:val="32"/>
          <w:highlight w:val="none"/>
          <w:u w:val="none"/>
          <w14:textFill>
            <w14:solidFill>
              <w14:schemeClr w14:val="tx1"/>
            </w14:solidFill>
          </w14:textFill>
        </w:rPr>
        <w:t>的产值规模（或营业收入）不低于</w:t>
      </w:r>
      <w:r>
        <w:rPr>
          <w:rFonts w:hint="eastAsia" w:ascii="仿宋_GB2312" w:eastAsia="仿宋_GB2312"/>
          <w:color w:val="000000" w:themeColor="text1"/>
          <w:sz w:val="32"/>
          <w:szCs w:val="32"/>
          <w:highlight w:val="none"/>
          <w:u w:val="none"/>
          <w:lang w:val="en-US" w:eastAsia="zh-CN"/>
          <w14:textFill>
            <w14:solidFill>
              <w14:schemeClr w14:val="tx1"/>
            </w14:solidFill>
          </w14:textFill>
        </w:rPr>
        <w:t>4</w:t>
      </w:r>
      <w:r>
        <w:rPr>
          <w:rFonts w:hint="eastAsia" w:ascii="仿宋_GB2312" w:eastAsia="仿宋_GB2312"/>
          <w:color w:val="000000" w:themeColor="text1"/>
          <w:sz w:val="32"/>
          <w:szCs w:val="32"/>
          <w:highlight w:val="none"/>
          <w:u w:val="none"/>
          <w14:textFill>
            <w14:solidFill>
              <w14:schemeClr w14:val="tx1"/>
            </w14:solidFill>
          </w14:textFill>
        </w:rPr>
        <w:t>亿元人民币且形成区地方财力不低于</w:t>
      </w:r>
      <w:r>
        <w:rPr>
          <w:rFonts w:hint="eastAsia" w:ascii="仿宋_GB2312" w:eastAsia="仿宋_GB2312"/>
          <w:color w:val="000000" w:themeColor="text1"/>
          <w:sz w:val="32"/>
          <w:szCs w:val="32"/>
          <w:highlight w:val="none"/>
          <w:u w:val="none"/>
          <w:lang w:val="en-US" w:eastAsia="zh-CN"/>
          <w14:textFill>
            <w14:solidFill>
              <w14:schemeClr w14:val="tx1"/>
            </w14:solidFill>
          </w14:textFill>
        </w:rPr>
        <w:t>800</w:t>
      </w:r>
      <w:r>
        <w:rPr>
          <w:rFonts w:hint="eastAsia" w:ascii="仿宋_GB2312" w:eastAsia="仿宋_GB2312"/>
          <w:color w:val="000000" w:themeColor="text1"/>
          <w:sz w:val="32"/>
          <w:szCs w:val="32"/>
          <w:highlight w:val="none"/>
          <w:u w:val="none"/>
          <w14:textFill>
            <w14:solidFill>
              <w14:schemeClr w14:val="tx1"/>
            </w14:solidFill>
          </w14:textFill>
        </w:rPr>
        <w:t>万元人民币</w:t>
      </w:r>
      <w:r>
        <w:rPr>
          <w:rFonts w:hint="eastAsia" w:ascii="仿宋_GB2312" w:eastAsia="仿宋_GB2312"/>
          <w:color w:val="000000" w:themeColor="text1"/>
          <w:sz w:val="32"/>
          <w:szCs w:val="32"/>
          <w:highlight w:val="none"/>
          <w:u w:val="none"/>
          <w:lang w:eastAsia="zh-CN"/>
          <w14:textFill>
            <w14:solidFill>
              <w14:schemeClr w14:val="tx1"/>
            </w14:solidFill>
          </w14:textFill>
        </w:rPr>
        <w:t>，</w:t>
      </w:r>
      <w:r>
        <w:rPr>
          <w:rFonts w:hint="eastAsia" w:ascii="仿宋_GB2312" w:eastAsia="仿宋_GB2312"/>
          <w:color w:val="000000" w:themeColor="text1"/>
          <w:sz w:val="32"/>
          <w:szCs w:val="32"/>
          <w:highlight w:val="none"/>
          <w:u w:val="none"/>
          <w:lang w:val="en-US" w:eastAsia="zh-CN"/>
          <w14:textFill>
            <w14:solidFill>
              <w14:schemeClr w14:val="tx1"/>
            </w14:solidFill>
          </w14:textFill>
        </w:rPr>
        <w:t>第三年纳入区统计核算的产值规模（或营业收入）不低于10亿元人民币且形成区地方财力不低于1200万元人民币</w:t>
      </w:r>
      <w:r>
        <w:rPr>
          <w:rFonts w:hint="eastAsia" w:ascii="仿宋_GB2312" w:eastAsia="仿宋_GB2312"/>
          <w:color w:val="000000" w:themeColor="text1"/>
          <w:sz w:val="32"/>
          <w:szCs w:val="32"/>
          <w:highlight w:val="none"/>
          <w:u w:val="none"/>
          <w14:textFill>
            <w14:solidFill>
              <w14:schemeClr w14:val="tx1"/>
            </w14:solidFill>
          </w14:textFill>
        </w:rPr>
        <w:t>。</w:t>
      </w:r>
    </w:p>
    <w:p>
      <w:pPr>
        <w:adjustRightInd w:val="0"/>
        <w:snapToGrid w:val="0"/>
        <w:spacing w:before="0" w:beforeLines="0" w:line="560" w:lineRule="exact"/>
        <w:ind w:firstLine="640" w:firstLineChars="200"/>
        <w:jc w:val="left"/>
        <w:rPr>
          <w:rFonts w:ascii="仿宋_GB2312" w:eastAsia="仿宋_GB2312"/>
          <w:b/>
          <w:color w:val="000000" w:themeColor="text1"/>
          <w:sz w:val="32"/>
          <w:szCs w:val="32"/>
          <w:highlight w:val="none"/>
          <w:u w:val="none"/>
          <w14:textFill>
            <w14:solidFill>
              <w14:schemeClr w14:val="tx1"/>
            </w14:solidFill>
          </w14:textFill>
        </w:rPr>
      </w:pPr>
      <w:r>
        <w:rPr>
          <w:rFonts w:hint="eastAsia" w:ascii="仿宋_GB2312" w:eastAsia="仿宋_GB2312"/>
          <w:color w:val="000000" w:themeColor="text1"/>
          <w:sz w:val="32"/>
          <w:szCs w:val="32"/>
          <w:highlight w:val="none"/>
          <w:u w:val="none"/>
          <w14:textFill>
            <w14:solidFill>
              <w14:schemeClr w14:val="tx1"/>
            </w14:solidFill>
          </w14:textFill>
        </w:rPr>
        <w:t>（三）</w:t>
      </w:r>
      <w:r>
        <w:rPr>
          <w:rFonts w:hint="eastAsia" w:ascii="仿宋_GB2312" w:hAnsi="华文仿宋" w:eastAsia="仿宋_GB2312"/>
          <w:color w:val="000000" w:themeColor="text1"/>
          <w:sz w:val="32"/>
          <w:szCs w:val="32"/>
          <w:highlight w:val="none"/>
          <w:u w:val="none"/>
          <w14:textFill>
            <w14:solidFill>
              <w14:schemeClr w14:val="tx1"/>
            </w14:solidFill>
          </w14:textFill>
        </w:rPr>
        <w:t>在境内证券交易所（包括上海证券交易所、深圳证券交易所主板、创业板</w:t>
      </w: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以及科创板</w:t>
      </w:r>
      <w:r>
        <w:rPr>
          <w:rFonts w:hint="eastAsia" w:ascii="仿宋_GB2312" w:hAnsi="华文仿宋" w:eastAsia="仿宋_GB2312"/>
          <w:color w:val="000000" w:themeColor="text1"/>
          <w:sz w:val="32"/>
          <w:szCs w:val="32"/>
          <w:highlight w:val="none"/>
          <w:u w:val="none"/>
          <w14:textFill>
            <w14:solidFill>
              <w14:schemeClr w14:val="tx1"/>
            </w14:solidFill>
          </w14:textFill>
        </w:rPr>
        <w:t>）和境外主要证券交易所（纽约证券交易所、纳斯达克证券交易所、伦敦证券交易所、东京证券交易所、香港证券交易所、法兰克福证券交易所</w:t>
      </w: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等</w:t>
      </w:r>
      <w:r>
        <w:rPr>
          <w:rFonts w:hint="eastAsia" w:ascii="仿宋_GB2312" w:hAnsi="华文仿宋" w:eastAsia="仿宋_GB2312"/>
          <w:color w:val="000000" w:themeColor="text1"/>
          <w:sz w:val="32"/>
          <w:szCs w:val="32"/>
          <w:highlight w:val="none"/>
          <w:u w:val="none"/>
          <w14:textFill>
            <w14:solidFill>
              <w14:schemeClr w14:val="tx1"/>
            </w14:solidFill>
          </w14:textFill>
        </w:rPr>
        <w:t>）上市的公司总部</w:t>
      </w:r>
      <w:r>
        <w:rPr>
          <w:rFonts w:hint="eastAsia" w:ascii="仿宋_GB2312" w:hAnsi="华文仿宋" w:eastAsia="仿宋_GB2312"/>
          <w:color w:val="000000" w:themeColor="text1"/>
          <w:sz w:val="32"/>
          <w:szCs w:val="32"/>
          <w:highlight w:val="none"/>
          <w:u w:val="none"/>
          <w:lang w:eastAsia="zh-CN"/>
          <w14:textFill>
            <w14:solidFill>
              <w14:schemeClr w14:val="tx1"/>
            </w14:solidFill>
          </w14:textFill>
        </w:rPr>
        <w:t>，</w:t>
      </w: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且市值不低于10亿元人民币的，</w:t>
      </w:r>
      <w:r>
        <w:rPr>
          <w:rFonts w:hint="eastAsia" w:ascii="仿宋_GB2312" w:hAnsi="华文仿宋" w:eastAsia="仿宋_GB2312"/>
          <w:color w:val="000000" w:themeColor="text1"/>
          <w:sz w:val="32"/>
          <w:szCs w:val="32"/>
          <w:highlight w:val="none"/>
          <w:u w:val="none"/>
          <w14:textFill>
            <w14:solidFill>
              <w14:schemeClr w14:val="tx1"/>
            </w14:solidFill>
          </w14:textFill>
        </w:rPr>
        <w:t>可直接认定为区总部企业</w:t>
      </w:r>
      <w:r>
        <w:rPr>
          <w:rFonts w:hint="eastAsia" w:ascii="仿宋_GB2312" w:eastAsia="仿宋_GB2312"/>
          <w:color w:val="000000" w:themeColor="text1"/>
          <w:sz w:val="32"/>
          <w:szCs w:val="32"/>
          <w:highlight w:val="none"/>
          <w:u w:val="none"/>
          <w14:textFill>
            <w14:solidFill>
              <w14:schemeClr w14:val="tx1"/>
            </w14:solidFill>
          </w14:textFill>
        </w:rPr>
        <w:t>。</w:t>
      </w:r>
    </w:p>
    <w:p>
      <w:pPr>
        <w:numPr>
          <w:ilvl w:val="0"/>
          <w:numId w:val="2"/>
        </w:numPr>
        <w:adjustRightInd w:val="0"/>
        <w:snapToGrid w:val="0"/>
        <w:spacing w:before="0" w:beforeLines="0" w:line="560" w:lineRule="exact"/>
        <w:ind w:left="-10" w:leftChars="0" w:firstLine="640" w:firstLineChars="0"/>
        <w:rPr>
          <w:rFonts w:hint="eastAsia" w:ascii="仿宋_GB2312" w:eastAsia="仿宋_GB2312"/>
          <w:color w:val="000000" w:themeColor="text1"/>
          <w:sz w:val="32"/>
          <w:szCs w:val="32"/>
          <w:highlight w:val="none"/>
          <w:u w:val="none"/>
          <w14:textFill>
            <w14:solidFill>
              <w14:schemeClr w14:val="tx1"/>
            </w14:solidFill>
          </w14:textFill>
        </w:rPr>
      </w:pPr>
      <w:r>
        <w:rPr>
          <w:rFonts w:hint="eastAsia" w:ascii="仿宋_GB2312" w:eastAsia="仿宋_GB2312"/>
          <w:color w:val="000000" w:themeColor="text1"/>
          <w:sz w:val="32"/>
          <w:szCs w:val="32"/>
          <w:highlight w:val="none"/>
          <w:u w:val="none"/>
          <w14:textFill>
            <w14:solidFill>
              <w14:schemeClr w14:val="tx1"/>
            </w14:solidFill>
          </w14:textFill>
        </w:rPr>
        <w:t>工商</w:t>
      </w:r>
      <w:r>
        <w:rPr>
          <w:rFonts w:hint="eastAsia" w:ascii="仿宋_GB2312" w:eastAsia="仿宋_GB2312"/>
          <w:color w:val="000000" w:themeColor="text1"/>
          <w:sz w:val="32"/>
          <w:szCs w:val="32"/>
          <w:highlight w:val="none"/>
          <w:u w:val="none"/>
          <w:lang w:eastAsia="zh-CN"/>
          <w14:textFill>
            <w14:solidFill>
              <w14:schemeClr w14:val="tx1"/>
            </w14:solidFill>
          </w14:textFill>
        </w:rPr>
        <w:t>、</w:t>
      </w:r>
      <w:r>
        <w:rPr>
          <w:rFonts w:hint="eastAsia" w:ascii="仿宋_GB2312" w:eastAsia="仿宋_GB2312"/>
          <w:color w:val="000000" w:themeColor="text1"/>
          <w:sz w:val="32"/>
          <w:szCs w:val="32"/>
          <w:highlight w:val="none"/>
          <w:u w:val="none"/>
          <w14:textFill>
            <w14:solidFill>
              <w14:schemeClr w14:val="tx1"/>
            </w14:solidFill>
          </w14:textFill>
        </w:rPr>
        <w:t>税务登记</w:t>
      </w:r>
      <w:r>
        <w:rPr>
          <w:rFonts w:hint="eastAsia" w:ascii="仿宋_GB2312" w:eastAsia="仿宋_GB2312"/>
          <w:color w:val="000000" w:themeColor="text1"/>
          <w:sz w:val="32"/>
          <w:szCs w:val="32"/>
          <w:highlight w:val="none"/>
          <w:u w:val="none"/>
          <w:lang w:val="en-US" w:eastAsia="zh-CN"/>
          <w14:textFill>
            <w14:solidFill>
              <w14:schemeClr w14:val="tx1"/>
            </w14:solidFill>
          </w14:textFill>
        </w:rPr>
        <w:t>及实际经营地</w:t>
      </w:r>
      <w:r>
        <w:rPr>
          <w:rFonts w:hint="eastAsia" w:ascii="仿宋_GB2312" w:eastAsia="仿宋_GB2312"/>
          <w:color w:val="000000" w:themeColor="text1"/>
          <w:sz w:val="32"/>
          <w:szCs w:val="32"/>
          <w:highlight w:val="none"/>
          <w:u w:val="none"/>
          <w14:textFill>
            <w14:solidFill>
              <w14:schemeClr w14:val="tx1"/>
            </w14:solidFill>
          </w14:textFill>
        </w:rPr>
        <w:t>在</w:t>
      </w:r>
      <w:r>
        <w:rPr>
          <w:rFonts w:hint="eastAsia" w:ascii="仿宋_GB2312" w:eastAsia="仿宋_GB2312"/>
          <w:color w:val="000000" w:themeColor="text1"/>
          <w:sz w:val="32"/>
          <w:szCs w:val="32"/>
          <w:highlight w:val="none"/>
          <w:u w:val="none"/>
          <w:lang w:val="en-US" w:eastAsia="zh-CN"/>
          <w14:textFill>
            <w14:solidFill>
              <w14:schemeClr w14:val="tx1"/>
            </w14:solidFill>
          </w14:textFill>
        </w:rPr>
        <w:t>龙华区</w:t>
      </w:r>
      <w:r>
        <w:rPr>
          <w:rFonts w:hint="eastAsia" w:ascii="仿宋_GB2312" w:eastAsia="仿宋_GB2312"/>
          <w:color w:val="000000" w:themeColor="text1"/>
          <w:sz w:val="32"/>
          <w:szCs w:val="32"/>
          <w:highlight w:val="none"/>
          <w:u w:val="none"/>
          <w14:textFill>
            <w14:solidFill>
              <w14:schemeClr w14:val="tx1"/>
            </w14:solidFill>
          </w14:textFill>
        </w:rPr>
        <w:t>的市级总部企业可直接认定为</w:t>
      </w:r>
      <w:r>
        <w:rPr>
          <w:rFonts w:hint="eastAsia" w:ascii="仿宋_GB2312" w:eastAsia="仿宋_GB2312"/>
          <w:color w:val="000000" w:themeColor="text1"/>
          <w:sz w:val="32"/>
          <w:szCs w:val="32"/>
          <w:highlight w:val="none"/>
          <w:u w:val="none"/>
          <w:lang w:val="en-US" w:eastAsia="zh-CN"/>
          <w14:textFill>
            <w14:solidFill>
              <w14:schemeClr w14:val="tx1"/>
            </w14:solidFill>
          </w14:textFill>
        </w:rPr>
        <w:t>区</w:t>
      </w:r>
      <w:r>
        <w:rPr>
          <w:rFonts w:hint="eastAsia" w:ascii="仿宋_GB2312" w:eastAsia="仿宋_GB2312"/>
          <w:color w:val="000000" w:themeColor="text1"/>
          <w:sz w:val="32"/>
          <w:szCs w:val="32"/>
          <w:highlight w:val="none"/>
          <w:u w:val="none"/>
          <w14:textFill>
            <w14:solidFill>
              <w14:schemeClr w14:val="tx1"/>
            </w14:solidFill>
          </w14:textFill>
        </w:rPr>
        <w:t>总部企业。</w:t>
      </w:r>
    </w:p>
    <w:p>
      <w:pPr>
        <w:numPr>
          <w:ilvl w:val="0"/>
          <w:numId w:val="2"/>
        </w:numPr>
        <w:adjustRightInd w:val="0"/>
        <w:snapToGrid w:val="0"/>
        <w:spacing w:before="0" w:beforeLines="0" w:line="560" w:lineRule="exact"/>
        <w:ind w:left="-10" w:leftChars="0" w:firstLine="640" w:firstLineChars="0"/>
        <w:rPr>
          <w:rFonts w:ascii="仿宋_GB2312" w:eastAsia="仿宋_GB2312"/>
          <w:color w:val="000000" w:themeColor="text1"/>
          <w:sz w:val="32"/>
          <w:szCs w:val="32"/>
          <w:highlight w:val="none"/>
          <w:u w:val="none"/>
          <w14:textFill>
            <w14:solidFill>
              <w14:schemeClr w14:val="tx1"/>
            </w14:solidFill>
          </w14:textFill>
        </w:rPr>
      </w:pP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成立时间不超过十年，</w:t>
      </w:r>
      <w:r>
        <w:rPr>
          <w:rFonts w:hint="eastAsia" w:ascii="仿宋_GB2312" w:hAnsi="华文仿宋" w:eastAsia="仿宋_GB2312"/>
          <w:color w:val="000000" w:themeColor="text1"/>
          <w:sz w:val="32"/>
          <w:szCs w:val="32"/>
          <w:highlight w:val="none"/>
          <w:u w:val="none"/>
          <w:lang w:eastAsia="zh-CN"/>
          <w14:textFill>
            <w14:solidFill>
              <w14:schemeClr w14:val="tx1"/>
            </w14:solidFill>
          </w14:textFill>
        </w:rPr>
        <w:t>符合</w:t>
      </w: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深圳市、龙华区产业发展导向</w:t>
      </w:r>
      <w:r>
        <w:rPr>
          <w:rFonts w:hint="eastAsia" w:ascii="仿宋_GB2312" w:hAnsi="华文仿宋" w:eastAsia="仿宋_GB2312"/>
          <w:color w:val="000000" w:themeColor="text1"/>
          <w:sz w:val="32"/>
          <w:szCs w:val="32"/>
          <w:highlight w:val="none"/>
          <w:u w:val="none"/>
          <w:lang w:eastAsia="zh-CN"/>
          <w14:textFill>
            <w14:solidFill>
              <w14:schemeClr w14:val="tx1"/>
            </w14:solidFill>
          </w14:textFill>
        </w:rPr>
        <w:t>，经第三方机构评审，</w:t>
      </w: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估值或市值超过10亿美元，并与市（或区）政府签订合作协议或申报前</w:t>
      </w:r>
      <w:r>
        <w:rPr>
          <w:rFonts w:hint="eastAsia" w:ascii="仿宋_GB2312" w:hAnsi="华文仿宋" w:eastAsia="仿宋_GB2312"/>
          <w:color w:val="000000" w:themeColor="text1"/>
          <w:sz w:val="32"/>
          <w:szCs w:val="32"/>
          <w:highlight w:val="none"/>
          <w:u w:val="none"/>
          <w:lang w:eastAsia="zh-CN"/>
          <w14:textFill>
            <w14:solidFill>
              <w14:schemeClr w14:val="tx1"/>
            </w14:solidFill>
          </w14:textFill>
        </w:rPr>
        <w:t>连续3年</w:t>
      </w: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产值规模(或营业收入)</w:t>
      </w:r>
      <w:r>
        <w:rPr>
          <w:rFonts w:hint="eastAsia" w:ascii="仿宋_GB2312" w:hAnsi="华文仿宋" w:eastAsia="仿宋_GB2312"/>
          <w:color w:val="000000" w:themeColor="text1"/>
          <w:sz w:val="32"/>
          <w:szCs w:val="32"/>
          <w:highlight w:val="none"/>
          <w:u w:val="none"/>
          <w:lang w:eastAsia="zh-CN"/>
          <w14:textFill>
            <w14:solidFill>
              <w14:schemeClr w14:val="tx1"/>
            </w14:solidFill>
          </w14:textFill>
        </w:rPr>
        <w:t>增长率不低于50%</w:t>
      </w: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的优质企业</w:t>
      </w:r>
      <w:r>
        <w:rPr>
          <w:rFonts w:hint="eastAsia" w:ascii="仿宋_GB2312" w:hAnsi="华文仿宋" w:eastAsia="仿宋_GB2312"/>
          <w:color w:val="000000" w:themeColor="text1"/>
          <w:sz w:val="32"/>
          <w:szCs w:val="32"/>
          <w:highlight w:val="none"/>
          <w:u w:val="none"/>
          <w:lang w:eastAsia="zh-CN"/>
          <w14:textFill>
            <w14:solidFill>
              <w14:schemeClr w14:val="tx1"/>
            </w14:solidFill>
          </w14:textFill>
        </w:rPr>
        <w:t>，</w:t>
      </w:r>
      <w:r>
        <w:rPr>
          <w:rFonts w:hint="eastAsia" w:ascii="仿宋_GB2312" w:hAnsi="华文仿宋" w:eastAsia="仿宋_GB2312"/>
          <w:color w:val="000000" w:themeColor="text1"/>
          <w:sz w:val="32"/>
          <w:szCs w:val="32"/>
          <w:highlight w:val="none"/>
          <w:u w:val="none"/>
          <w14:textFill>
            <w14:solidFill>
              <w14:schemeClr w14:val="tx1"/>
            </w14:solidFill>
          </w14:textFill>
        </w:rPr>
        <w:t>可申请认定为</w:t>
      </w:r>
      <w:r>
        <w:rPr>
          <w:rFonts w:hint="eastAsia" w:ascii="仿宋_GB2312" w:eastAsia="仿宋_GB2312"/>
          <w:color w:val="000000" w:themeColor="text1"/>
          <w:sz w:val="32"/>
          <w:szCs w:val="32"/>
          <w:highlight w:val="none"/>
          <w:u w:val="none"/>
          <w:lang w:val="en-US" w:eastAsia="zh-CN"/>
          <w14:textFill>
            <w14:solidFill>
              <w14:schemeClr w14:val="tx1"/>
            </w14:solidFill>
          </w14:textFill>
        </w:rPr>
        <w:t>区</w:t>
      </w:r>
      <w:r>
        <w:rPr>
          <w:rFonts w:hint="eastAsia" w:ascii="仿宋_GB2312" w:eastAsia="仿宋_GB2312"/>
          <w:color w:val="000000" w:themeColor="text1"/>
          <w:sz w:val="32"/>
          <w:szCs w:val="32"/>
          <w:highlight w:val="none"/>
          <w:u w:val="none"/>
          <w14:textFill>
            <w14:solidFill>
              <w14:schemeClr w14:val="tx1"/>
            </w14:solidFill>
          </w14:textFill>
        </w:rPr>
        <w:t>总部企业</w:t>
      </w:r>
      <w:r>
        <w:rPr>
          <w:rFonts w:hint="eastAsia" w:ascii="仿宋_GB2312" w:hAnsi="华文仿宋" w:eastAsia="仿宋_GB2312"/>
          <w:color w:val="000000" w:themeColor="text1"/>
          <w:sz w:val="32"/>
          <w:szCs w:val="32"/>
          <w:highlight w:val="none"/>
          <w:u w:val="none"/>
          <w:lang w:eastAsia="zh-CN"/>
          <w14:textFill>
            <w14:solidFill>
              <w14:schemeClr w14:val="tx1"/>
            </w14:solidFill>
          </w14:textFill>
        </w:rPr>
        <w:t>。</w:t>
      </w:r>
    </w:p>
    <w:p>
      <w:pPr>
        <w:numPr>
          <w:ilvl w:val="0"/>
          <w:numId w:val="2"/>
        </w:numPr>
        <w:adjustRightInd w:val="0"/>
        <w:snapToGrid w:val="0"/>
        <w:spacing w:before="0" w:beforeLines="0" w:line="560" w:lineRule="exact"/>
        <w:ind w:left="-10" w:leftChars="0" w:firstLine="640" w:firstLineChars="0"/>
        <w:rPr>
          <w:rFonts w:ascii="仿宋_GB2312" w:eastAsia="仿宋_GB2312"/>
          <w:color w:val="000000" w:themeColor="text1"/>
          <w:sz w:val="32"/>
          <w:szCs w:val="32"/>
          <w:highlight w:val="none"/>
          <w:u w:val="none"/>
          <w14:textFill>
            <w14:solidFill>
              <w14:schemeClr w14:val="tx1"/>
            </w14:solidFill>
          </w14:textFill>
        </w:rPr>
      </w:pP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对于行业</w:t>
      </w:r>
      <w:r>
        <w:rPr>
          <w:rFonts w:hint="eastAsia" w:ascii="仿宋_GB2312" w:hAnsi="华文仿宋" w:eastAsia="仿宋_GB2312"/>
          <w:color w:val="000000" w:themeColor="text1"/>
          <w:sz w:val="32"/>
          <w:szCs w:val="32"/>
          <w:highlight w:val="none"/>
          <w:u w:val="none"/>
          <w14:textFill>
            <w14:solidFill>
              <w14:schemeClr w14:val="tx1"/>
            </w14:solidFill>
          </w14:textFill>
        </w:rPr>
        <w:t>主管部门</w:t>
      </w: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推荐</w:t>
      </w:r>
      <w:r>
        <w:rPr>
          <w:rFonts w:hint="eastAsia" w:ascii="仿宋_GB2312" w:hAnsi="华文仿宋" w:eastAsia="仿宋_GB2312"/>
          <w:color w:val="000000" w:themeColor="text1"/>
          <w:sz w:val="32"/>
          <w:szCs w:val="32"/>
          <w:highlight w:val="none"/>
          <w:u w:val="none"/>
          <w:lang w:eastAsia="zh-CN"/>
          <w14:textFill>
            <w14:solidFill>
              <w14:schemeClr w14:val="tx1"/>
            </w14:solidFill>
          </w14:textFill>
        </w:rPr>
        <w:t>、</w:t>
      </w:r>
      <w:r>
        <w:rPr>
          <w:rFonts w:hint="eastAsia" w:ascii="仿宋_GB2312" w:hAnsi="华文仿宋" w:eastAsia="仿宋_GB2312"/>
          <w:color w:val="000000" w:themeColor="text1"/>
          <w:sz w:val="32"/>
          <w:szCs w:val="32"/>
          <w:highlight w:val="none"/>
          <w:u w:val="none"/>
          <w14:textFill>
            <w14:solidFill>
              <w14:schemeClr w14:val="tx1"/>
            </w14:solidFill>
          </w14:textFill>
        </w:rPr>
        <w:t>对</w:t>
      </w: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龙华区</w:t>
      </w:r>
      <w:r>
        <w:rPr>
          <w:rFonts w:hint="eastAsia" w:ascii="仿宋_GB2312" w:hAnsi="华文仿宋" w:eastAsia="仿宋_GB2312"/>
          <w:color w:val="000000" w:themeColor="text1"/>
          <w:sz w:val="32"/>
          <w:szCs w:val="32"/>
          <w:highlight w:val="none"/>
          <w:u w:val="none"/>
          <w14:textFill>
            <w14:solidFill>
              <w14:schemeClr w14:val="tx1"/>
            </w14:solidFill>
          </w14:textFill>
        </w:rPr>
        <w:t>重点产业发展具有重大支撑作用</w:t>
      </w:r>
      <w:r>
        <w:rPr>
          <w:rFonts w:hint="eastAsia" w:ascii="仿宋_GB2312" w:hAnsi="华文仿宋" w:eastAsia="仿宋_GB2312"/>
          <w:color w:val="000000" w:themeColor="text1"/>
          <w:sz w:val="32"/>
          <w:szCs w:val="32"/>
          <w:highlight w:val="none"/>
          <w:u w:val="none"/>
          <w:lang w:eastAsia="zh-CN"/>
          <w14:textFill>
            <w14:solidFill>
              <w14:schemeClr w14:val="tx1"/>
            </w14:solidFill>
          </w14:textFill>
        </w:rPr>
        <w:t>、</w:t>
      </w:r>
      <w:r>
        <w:rPr>
          <w:rFonts w:hint="eastAsia" w:ascii="仿宋_GB2312" w:hAnsi="华文仿宋" w:eastAsia="仿宋_GB2312"/>
          <w:color w:val="000000" w:themeColor="text1"/>
          <w:sz w:val="32"/>
          <w:szCs w:val="32"/>
          <w:highlight w:val="none"/>
          <w:u w:val="none"/>
          <w14:textFill>
            <w14:solidFill>
              <w14:schemeClr w14:val="tx1"/>
            </w14:solidFill>
          </w14:textFill>
        </w:rPr>
        <w:t>填补空白</w:t>
      </w:r>
      <w:r>
        <w:rPr>
          <w:rFonts w:hint="eastAsia" w:ascii="仿宋_GB2312" w:hAnsi="华文仿宋" w:eastAsia="仿宋_GB2312"/>
          <w:color w:val="000000" w:themeColor="text1"/>
          <w:sz w:val="32"/>
          <w:szCs w:val="32"/>
          <w:highlight w:val="none"/>
          <w:u w:val="none"/>
          <w:lang w:eastAsia="zh-CN"/>
          <w14:textFill>
            <w14:solidFill>
              <w14:schemeClr w14:val="tx1"/>
            </w14:solidFill>
          </w14:textFill>
        </w:rPr>
        <w:t>、</w:t>
      </w:r>
      <w:r>
        <w:rPr>
          <w:rFonts w:hint="eastAsia" w:ascii="仿宋_GB2312" w:hAnsi="华文仿宋" w:eastAsia="仿宋_GB2312"/>
          <w:color w:val="000000" w:themeColor="text1"/>
          <w:sz w:val="32"/>
          <w:szCs w:val="32"/>
          <w:highlight w:val="none"/>
          <w:u w:val="none"/>
          <w14:textFill>
            <w14:solidFill>
              <w14:schemeClr w14:val="tx1"/>
            </w14:solidFill>
          </w14:textFill>
        </w:rPr>
        <w:t>完善产业链作用或者核心技术处于国内外先进地位的企业，</w:t>
      </w: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经领导小组审定通过的，</w:t>
      </w:r>
      <w:r>
        <w:rPr>
          <w:rFonts w:hint="eastAsia" w:ascii="仿宋_GB2312" w:hAnsi="华文仿宋" w:eastAsia="仿宋_GB2312"/>
          <w:color w:val="000000" w:themeColor="text1"/>
          <w:sz w:val="32"/>
          <w:szCs w:val="32"/>
          <w:highlight w:val="none"/>
          <w:u w:val="none"/>
          <w14:textFill>
            <w14:solidFill>
              <w14:schemeClr w14:val="tx1"/>
            </w14:solidFill>
          </w14:textFill>
        </w:rPr>
        <w:t>可认定为</w:t>
      </w: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区</w:t>
      </w:r>
      <w:r>
        <w:rPr>
          <w:rFonts w:hint="eastAsia" w:ascii="仿宋_GB2312" w:hAnsi="华文仿宋" w:eastAsia="仿宋_GB2312"/>
          <w:color w:val="000000" w:themeColor="text1"/>
          <w:sz w:val="32"/>
          <w:szCs w:val="32"/>
          <w:highlight w:val="none"/>
          <w:u w:val="none"/>
          <w14:textFill>
            <w14:solidFill>
              <w14:schemeClr w14:val="tx1"/>
            </w14:solidFill>
          </w14:textFill>
        </w:rPr>
        <w:t>总部企业。</w:t>
      </w:r>
      <w:r>
        <w:rPr>
          <w:rFonts w:hint="eastAsia" w:ascii="仿宋_GB2312" w:hAnsi="华文仿宋" w:eastAsia="仿宋_GB2312"/>
          <w:color w:val="000000" w:themeColor="text1"/>
          <w:sz w:val="32"/>
          <w:szCs w:val="32"/>
          <w:highlight w:val="none"/>
          <w:u w:val="none"/>
          <w:lang w:val="en-US" w:eastAsia="zh-CN"/>
          <w14:textFill>
            <w14:solidFill>
              <w14:schemeClr w14:val="tx1"/>
            </w14:solidFill>
          </w14:textFill>
        </w:rPr>
        <w:t>每年每个行业主管部门最多推荐1家。</w:t>
      </w:r>
    </w:p>
    <w:p>
      <w:pPr>
        <w:adjustRightInd w:val="0"/>
        <w:snapToGrid w:val="0"/>
        <w:spacing w:before="0" w:beforeLines="0" w:line="560" w:lineRule="exact"/>
        <w:ind w:firstLine="640" w:firstLineChars="200"/>
        <w:rPr>
          <w:rFonts w:hint="eastAsia" w:ascii="仿宋_GB2312" w:hAnsi="华文仿宋" w:eastAsia="仿宋_GB2312"/>
          <w:color w:val="000000" w:themeColor="text1"/>
          <w:sz w:val="32"/>
          <w:szCs w:val="32"/>
          <w:highlight w:val="none"/>
          <w:u w:val="none"/>
          <w14:textFill>
            <w14:solidFill>
              <w14:schemeClr w14:val="tx1"/>
            </w14:solidFill>
          </w14:textFill>
        </w:rPr>
      </w:pPr>
    </w:p>
    <w:p>
      <w:pPr>
        <w:adjustRightInd w:val="0"/>
        <w:snapToGrid w:val="0"/>
        <w:spacing w:before="0" w:beforeLines="0" w:line="560" w:lineRule="exact"/>
        <w:jc w:val="center"/>
        <w:rPr>
          <w:rFonts w:hint="eastAsia" w:ascii="黑体" w:eastAsia="黑体"/>
          <w:b w:val="0"/>
          <w:bCs/>
          <w:color w:val="000000" w:themeColor="text1"/>
          <w:spacing w:val="-4"/>
          <w:kern w:val="0"/>
          <w:sz w:val="32"/>
          <w:szCs w:val="32"/>
          <w:highlight w:val="none"/>
          <w:u w:val="none"/>
          <w14:textFill>
            <w14:solidFill>
              <w14:schemeClr w14:val="tx1"/>
            </w14:solidFill>
          </w14:textFill>
        </w:rPr>
      </w:pPr>
      <w:r>
        <w:rPr>
          <w:rFonts w:hint="eastAsia" w:ascii="黑体" w:eastAsia="黑体"/>
          <w:b w:val="0"/>
          <w:bCs/>
          <w:color w:val="000000" w:themeColor="text1"/>
          <w:spacing w:val="-4"/>
          <w:kern w:val="0"/>
          <w:sz w:val="32"/>
          <w:szCs w:val="32"/>
          <w:highlight w:val="none"/>
          <w:u w:val="none"/>
          <w14:textFill>
            <w14:solidFill>
              <w14:schemeClr w14:val="tx1"/>
            </w14:solidFill>
          </w14:textFill>
        </w:rPr>
        <w:t>第三章  支持措施</w:t>
      </w:r>
    </w:p>
    <w:p>
      <w:pPr>
        <w:adjustRightInd w:val="0"/>
        <w:snapToGrid w:val="0"/>
        <w:spacing w:before="0" w:beforeLines="0" w:line="560" w:lineRule="exact"/>
        <w:jc w:val="center"/>
        <w:rPr>
          <w:rFonts w:hint="eastAsia" w:ascii="黑体" w:eastAsia="黑体"/>
          <w:b/>
          <w:color w:val="000000" w:themeColor="text1"/>
          <w:spacing w:val="-4"/>
          <w:kern w:val="0"/>
          <w:sz w:val="32"/>
          <w:szCs w:val="32"/>
          <w:highlight w:val="none"/>
          <w:u w:val="none"/>
          <w14:textFill>
            <w14:solidFill>
              <w14:schemeClr w14:val="tx1"/>
            </w14:solidFill>
          </w14:textFill>
        </w:rPr>
      </w:pPr>
    </w:p>
    <w:p>
      <w:pPr>
        <w:adjustRightInd w:val="0"/>
        <w:snapToGrid w:val="0"/>
        <w:spacing w:before="0" w:beforeLines="0" w:line="560" w:lineRule="exact"/>
        <w:ind w:firstLine="645"/>
        <w:rPr>
          <w:rFonts w:hint="eastAsia" w:ascii="仿宋_GB2312" w:hAnsi="宋体" w:eastAsia="仿宋_GB2312"/>
          <w:color w:val="000000" w:themeColor="text1"/>
          <w:sz w:val="32"/>
          <w:szCs w:val="32"/>
          <w:highlight w:val="none"/>
          <w:u w:val="none"/>
          <w:lang w:eastAsia="zh-CN"/>
          <w14:textFill>
            <w14:solidFill>
              <w14:schemeClr w14:val="tx1"/>
            </w14:solidFill>
          </w14:textFill>
        </w:rPr>
      </w:pPr>
      <w:r>
        <w:rPr>
          <w:rFonts w:hint="eastAsia" w:ascii="黑体" w:eastAsia="黑体"/>
          <w:color w:val="000000" w:themeColor="text1"/>
          <w:spacing w:val="-4"/>
          <w:kern w:val="0"/>
          <w:sz w:val="32"/>
          <w:szCs w:val="32"/>
          <w:highlight w:val="none"/>
          <w:u w:val="none"/>
          <w14:textFill>
            <w14:solidFill>
              <w14:schemeClr w14:val="tx1"/>
            </w14:solidFill>
          </w14:textFill>
        </w:rPr>
        <w:t>第</w:t>
      </w:r>
      <w:r>
        <w:rPr>
          <w:rFonts w:hint="eastAsia" w:ascii="黑体" w:eastAsia="黑体"/>
          <w:color w:val="000000" w:themeColor="text1"/>
          <w:spacing w:val="-4"/>
          <w:kern w:val="0"/>
          <w:sz w:val="32"/>
          <w:szCs w:val="32"/>
          <w:highlight w:val="none"/>
          <w:u w:val="none"/>
          <w:lang w:val="en-US" w:eastAsia="zh-CN"/>
          <w14:textFill>
            <w14:solidFill>
              <w14:schemeClr w14:val="tx1"/>
            </w14:solidFill>
          </w14:textFill>
        </w:rPr>
        <w:t>六</w:t>
      </w:r>
      <w:r>
        <w:rPr>
          <w:rFonts w:hint="eastAsia" w:ascii="黑体" w:eastAsia="黑体"/>
          <w:color w:val="000000" w:themeColor="text1"/>
          <w:spacing w:val="-4"/>
          <w:kern w:val="0"/>
          <w:sz w:val="32"/>
          <w:szCs w:val="32"/>
          <w:highlight w:val="none"/>
          <w:u w:val="none"/>
          <w14:textFill>
            <w14:solidFill>
              <w14:schemeClr w14:val="tx1"/>
            </w14:solidFill>
          </w14:textFill>
        </w:rPr>
        <w:t>条</w:t>
      </w:r>
      <w:r>
        <w:rPr>
          <w:rFonts w:hint="eastAsia" w:eastAsia="仿宋_GB2312"/>
          <w:color w:val="000000" w:themeColor="text1"/>
          <w:spacing w:val="-4"/>
          <w:kern w:val="0"/>
          <w:sz w:val="32"/>
          <w:szCs w:val="32"/>
          <w:highlight w:val="none"/>
          <w:u w:val="none"/>
          <w14:textFill>
            <w14:solidFill>
              <w14:schemeClr w14:val="tx1"/>
            </w14:solidFill>
          </w14:textFill>
        </w:rPr>
        <w:t xml:space="preserve">  区财政预算每年安排适度的总部经济发展专项资金。每年</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2</w:t>
      </w:r>
      <w:r>
        <w:rPr>
          <w:rFonts w:hint="eastAsia" w:ascii="仿宋_GB2312" w:hAnsi="宋体" w:eastAsia="仿宋_GB2312"/>
          <w:color w:val="000000" w:themeColor="text1"/>
          <w:sz w:val="32"/>
          <w:szCs w:val="32"/>
          <w:highlight w:val="none"/>
          <w:u w:val="none"/>
          <w14:textFill>
            <w14:solidFill>
              <w14:schemeClr w14:val="tx1"/>
            </w14:solidFill>
          </w14:textFill>
        </w:rPr>
        <w:t>—6月总部办按程序组织总部企业扶持资金审核发放工作</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p>
    <w:p>
      <w:pPr>
        <w:adjustRightInd w:val="0"/>
        <w:snapToGrid w:val="0"/>
        <w:spacing w:before="0" w:beforeLines="0" w:line="560" w:lineRule="exact"/>
        <w:ind w:firstLine="645"/>
        <w:rPr>
          <w:rFonts w:ascii="仿宋_GB2312" w:hAnsi="宋体" w:eastAsia="仿宋_GB2312" w:cs="仿宋_GB2312"/>
          <w:color w:val="000000" w:themeColor="text1"/>
          <w:kern w:val="0"/>
          <w:sz w:val="32"/>
          <w:szCs w:val="32"/>
          <w:highlight w:val="none"/>
          <w:u w:val="none"/>
          <w:lang w:val="zh-CN"/>
          <w14:textFill>
            <w14:solidFill>
              <w14:schemeClr w14:val="tx1"/>
            </w14:solidFill>
          </w14:textFill>
        </w:rPr>
      </w:pP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资金</w:t>
      </w:r>
      <w:r>
        <w:rPr>
          <w:rFonts w:hint="eastAsia" w:eastAsia="仿宋_GB2312" w:cs="仿宋_GB2312"/>
          <w:color w:val="000000" w:themeColor="text1"/>
          <w:kern w:val="0"/>
          <w:sz w:val="32"/>
          <w:szCs w:val="32"/>
          <w:highlight w:val="none"/>
          <w:u w:val="none"/>
          <w14:textFill>
            <w14:solidFill>
              <w14:schemeClr w14:val="tx1"/>
            </w14:solidFill>
          </w14:textFill>
        </w:rPr>
        <w:t>扶</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持流程</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包括</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发布通知</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组织申报</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初审</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征求意见、提出拟资助方案</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公示</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审批</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下达资助计划</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办理资金拨付</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等环节</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before="0" w:beforeLines="0" w:line="560" w:lineRule="exact"/>
        <w:ind w:firstLine="611" w:firstLineChars="196"/>
        <w:jc w:val="both"/>
        <w:textAlignment w:val="auto"/>
        <w:rPr>
          <w:rFonts w:hint="eastAsia" w:ascii="仿宋_GB2312" w:hAnsi="宋体" w:eastAsia="仿宋_GB2312"/>
          <w:color w:val="000000" w:themeColor="text1"/>
          <w:sz w:val="32"/>
          <w:szCs w:val="32"/>
          <w:highlight w:val="none"/>
          <w:u w:val="none"/>
          <w:lang w:eastAsia="zh-CN"/>
          <w14:textFill>
            <w14:solidFill>
              <w14:schemeClr w14:val="tx1"/>
            </w14:solidFill>
          </w14:textFill>
        </w:rPr>
      </w:pPr>
      <w:r>
        <w:rPr>
          <w:rFonts w:hint="eastAsia" w:ascii="黑体" w:eastAsia="黑体"/>
          <w:color w:val="000000" w:themeColor="text1"/>
          <w:spacing w:val="-4"/>
          <w:kern w:val="0"/>
          <w:sz w:val="32"/>
          <w:szCs w:val="32"/>
          <w:highlight w:val="none"/>
          <w:u w:val="none"/>
          <w14:textFill>
            <w14:solidFill>
              <w14:schemeClr w14:val="tx1"/>
            </w14:solidFill>
          </w14:textFill>
        </w:rPr>
        <w:t>第</w:t>
      </w:r>
      <w:r>
        <w:rPr>
          <w:rFonts w:hint="eastAsia" w:ascii="黑体" w:eastAsia="黑体"/>
          <w:color w:val="000000" w:themeColor="text1"/>
          <w:spacing w:val="-4"/>
          <w:kern w:val="0"/>
          <w:sz w:val="32"/>
          <w:szCs w:val="32"/>
          <w:highlight w:val="none"/>
          <w:u w:val="none"/>
          <w:lang w:val="en-US" w:eastAsia="zh-CN"/>
          <w14:textFill>
            <w14:solidFill>
              <w14:schemeClr w14:val="tx1"/>
            </w14:solidFill>
          </w14:textFill>
        </w:rPr>
        <w:t>七</w:t>
      </w:r>
      <w:r>
        <w:rPr>
          <w:rFonts w:hint="eastAsia" w:ascii="黑体" w:eastAsia="黑体"/>
          <w:color w:val="000000" w:themeColor="text1"/>
          <w:spacing w:val="-4"/>
          <w:kern w:val="0"/>
          <w:sz w:val="32"/>
          <w:szCs w:val="32"/>
          <w:highlight w:val="none"/>
          <w:u w:val="none"/>
          <w14:textFill>
            <w14:solidFill>
              <w14:schemeClr w14:val="tx1"/>
            </w14:solidFill>
          </w14:textFill>
        </w:rPr>
        <w:t>条</w:t>
      </w:r>
      <w:r>
        <w:rPr>
          <w:rFonts w:hint="eastAsia" w:ascii="仿宋_GB2312" w:hAnsi="宋体" w:eastAsia="仿宋_GB2312"/>
          <w:b/>
          <w:color w:val="000000" w:themeColor="text1"/>
          <w:sz w:val="32"/>
          <w:szCs w:val="32"/>
          <w:highlight w:val="none"/>
          <w:u w:val="none"/>
          <w14:textFill>
            <w14:solidFill>
              <w14:schemeClr w14:val="tx1"/>
            </w14:solidFill>
          </w14:textFill>
        </w:rPr>
        <w:t xml:space="preserve">  </w:t>
      </w:r>
      <w:r>
        <w:rPr>
          <w:rFonts w:hint="eastAsia" w:ascii="仿宋_GB2312" w:hAnsi="宋体" w:eastAsia="仿宋_GB2312"/>
          <w:color w:val="000000" w:themeColor="text1"/>
          <w:sz w:val="32"/>
          <w:szCs w:val="32"/>
          <w:highlight w:val="none"/>
          <w:u w:val="none"/>
          <w14:textFill>
            <w14:solidFill>
              <w14:schemeClr w14:val="tx1"/>
            </w14:solidFill>
          </w14:textFill>
        </w:rPr>
        <w:t>符合第</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五</w:t>
      </w:r>
      <w:r>
        <w:rPr>
          <w:rFonts w:hint="eastAsia" w:ascii="仿宋_GB2312" w:hAnsi="宋体" w:eastAsia="仿宋_GB2312"/>
          <w:color w:val="000000" w:themeColor="text1"/>
          <w:sz w:val="32"/>
          <w:szCs w:val="32"/>
          <w:highlight w:val="none"/>
          <w:u w:val="none"/>
          <w14:textFill>
            <w14:solidFill>
              <w14:schemeClr w14:val="tx1"/>
            </w14:solidFill>
          </w14:textFill>
        </w:rPr>
        <w:t>条第（二）款规定条件</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在龙华区经营不满一年认定</w:t>
      </w:r>
      <w:r>
        <w:rPr>
          <w:rFonts w:hint="eastAsia" w:ascii="仿宋_GB2312" w:hAnsi="宋体" w:eastAsia="仿宋_GB2312"/>
          <w:color w:val="000000" w:themeColor="text1"/>
          <w:sz w:val="32"/>
          <w:szCs w:val="32"/>
          <w:highlight w:val="none"/>
          <w:u w:val="none"/>
          <w14:textFill>
            <w14:solidFill>
              <w14:schemeClr w14:val="tx1"/>
            </w14:solidFill>
          </w14:textFill>
        </w:rPr>
        <w:t>的总部企业，</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在其完成第二年、第三年承诺时给予落户奖励。落户奖励按承诺年度形成区地方财力的30%（承诺年度两年即60%），分别给予最高3000万元人民币的支持，累计最高不超过6000万元人民币</w:t>
      </w:r>
      <w:r>
        <w:rPr>
          <w:rFonts w:hint="eastAsia" w:ascii="仿宋_GB2312" w:hAnsi="宋体" w:eastAsia="仿宋_GB2312"/>
          <w:color w:val="000000" w:themeColor="text1"/>
          <w:sz w:val="32"/>
          <w:szCs w:val="32"/>
          <w:highlight w:val="none"/>
          <w:u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before="0" w:beforeLines="0" w:line="560" w:lineRule="exact"/>
        <w:ind w:firstLine="627" w:firstLineChars="196"/>
        <w:jc w:val="both"/>
        <w:textAlignment w:val="auto"/>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pPr>
      <w:r>
        <w:rPr>
          <w:rFonts w:hint="eastAsia" w:ascii="仿宋_GB2312" w:hAnsi="宋体" w:eastAsia="仿宋_GB2312"/>
          <w:color w:val="000000" w:themeColor="text1"/>
          <w:sz w:val="32"/>
          <w:szCs w:val="32"/>
          <w:highlight w:val="none"/>
          <w:u w:val="none"/>
          <w14:textFill>
            <w14:solidFill>
              <w14:schemeClr w14:val="tx1"/>
            </w14:solidFill>
          </w14:textFill>
        </w:rPr>
        <w:t>符合第</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五</w:t>
      </w:r>
      <w:r>
        <w:rPr>
          <w:rFonts w:hint="eastAsia" w:ascii="仿宋_GB2312" w:hAnsi="宋体" w:eastAsia="仿宋_GB2312"/>
          <w:color w:val="000000" w:themeColor="text1"/>
          <w:sz w:val="32"/>
          <w:szCs w:val="32"/>
          <w:highlight w:val="none"/>
          <w:u w:val="none"/>
          <w14:textFill>
            <w14:solidFill>
              <w14:schemeClr w14:val="tx1"/>
            </w14:solidFill>
          </w14:textFill>
        </w:rPr>
        <w:t>条第</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三</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四）</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五</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14:textFill>
            <w14:solidFill>
              <w14:schemeClr w14:val="tx1"/>
            </w14:solidFill>
          </w14:textFill>
        </w:rPr>
        <w:t>（六）款规定条件</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认定</w:t>
      </w:r>
      <w:r>
        <w:rPr>
          <w:rFonts w:hint="eastAsia" w:ascii="仿宋_GB2312" w:hAnsi="宋体" w:eastAsia="仿宋_GB2312"/>
          <w:color w:val="000000" w:themeColor="text1"/>
          <w:sz w:val="32"/>
          <w:szCs w:val="32"/>
          <w:highlight w:val="none"/>
          <w:u w:val="none"/>
          <w14:textFill>
            <w14:solidFill>
              <w14:schemeClr w14:val="tx1"/>
            </w14:solidFill>
          </w14:textFill>
        </w:rPr>
        <w:t>的总部企业，</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在龙华区经营不满一年，且认定次年起产值规模（或营业收入）纳入区统计核算的，按认定次年形成区地方财力的50%，给予一次性最高6000万元人民币的落户奖励，分两年拨付，每年最高3000万元人民币。</w:t>
      </w:r>
    </w:p>
    <w:p>
      <w:pPr>
        <w:keepNext w:val="0"/>
        <w:keepLines w:val="0"/>
        <w:pageBreakBefore w:val="0"/>
        <w:widowControl w:val="0"/>
        <w:tabs>
          <w:tab w:val="left" w:pos="1980"/>
        </w:tabs>
        <w:kinsoku/>
        <w:wordWrap/>
        <w:overflowPunct/>
        <w:topLinePunct w:val="0"/>
        <w:autoSpaceDE/>
        <w:autoSpaceDN/>
        <w:bidi w:val="0"/>
        <w:adjustRightInd w:val="0"/>
        <w:snapToGrid w:val="0"/>
        <w:spacing w:before="0" w:beforeLines="0" w:line="560" w:lineRule="exact"/>
        <w:ind w:firstLine="611" w:firstLineChars="196"/>
        <w:jc w:val="both"/>
        <w:textAlignment w:val="auto"/>
        <w:rPr>
          <w:rFonts w:ascii="仿宋_GB2312" w:hAnsi="宋体" w:eastAsia="仿宋_GB2312"/>
          <w:color w:val="000000" w:themeColor="text1"/>
          <w:sz w:val="32"/>
          <w:szCs w:val="32"/>
          <w:highlight w:val="none"/>
          <w:u w:val="none"/>
          <w14:textFill>
            <w14:solidFill>
              <w14:schemeClr w14:val="tx1"/>
            </w14:solidFill>
          </w14:textFill>
        </w:rPr>
      </w:pPr>
      <w:r>
        <w:rPr>
          <w:rFonts w:hint="eastAsia" w:ascii="黑体" w:eastAsia="黑体"/>
          <w:color w:val="000000" w:themeColor="text1"/>
          <w:spacing w:val="-4"/>
          <w:kern w:val="0"/>
          <w:sz w:val="32"/>
          <w:szCs w:val="32"/>
          <w:highlight w:val="none"/>
          <w:u w:val="none"/>
          <w14:textFill>
            <w14:solidFill>
              <w14:schemeClr w14:val="tx1"/>
            </w14:solidFill>
          </w14:textFill>
        </w:rPr>
        <w:t>第</w:t>
      </w:r>
      <w:r>
        <w:rPr>
          <w:rFonts w:hint="eastAsia" w:ascii="黑体" w:eastAsia="黑体"/>
          <w:color w:val="000000" w:themeColor="text1"/>
          <w:spacing w:val="-4"/>
          <w:kern w:val="0"/>
          <w:sz w:val="32"/>
          <w:szCs w:val="32"/>
          <w:highlight w:val="none"/>
          <w:u w:val="none"/>
          <w:lang w:val="en-US" w:eastAsia="zh-CN"/>
          <w14:textFill>
            <w14:solidFill>
              <w14:schemeClr w14:val="tx1"/>
            </w14:solidFill>
          </w14:textFill>
        </w:rPr>
        <w:t>八</w:t>
      </w:r>
      <w:r>
        <w:rPr>
          <w:rFonts w:hint="eastAsia" w:ascii="黑体" w:eastAsia="黑体"/>
          <w:color w:val="000000" w:themeColor="text1"/>
          <w:spacing w:val="-4"/>
          <w:kern w:val="0"/>
          <w:sz w:val="32"/>
          <w:szCs w:val="32"/>
          <w:highlight w:val="none"/>
          <w:u w:val="none"/>
          <w14:textFill>
            <w14:solidFill>
              <w14:schemeClr w14:val="tx1"/>
            </w14:solidFill>
          </w14:textFill>
        </w:rPr>
        <w:t>条</w:t>
      </w:r>
      <w:r>
        <w:rPr>
          <w:rFonts w:hint="eastAsia" w:ascii="仿宋_GB2312" w:hAnsi="宋体" w:eastAsia="仿宋_GB2312"/>
          <w:b/>
          <w:color w:val="000000" w:themeColor="text1"/>
          <w:sz w:val="32"/>
          <w:szCs w:val="32"/>
          <w:highlight w:val="none"/>
          <w:u w:val="none"/>
          <w14:textFill>
            <w14:solidFill>
              <w14:schemeClr w14:val="tx1"/>
            </w14:solidFill>
          </w14:textFill>
        </w:rPr>
        <w:t xml:space="preserve">  </w:t>
      </w:r>
      <w:r>
        <w:rPr>
          <w:rFonts w:hint="eastAsia" w:ascii="仿宋_GB2312" w:hAnsi="宋体" w:eastAsia="仿宋_GB2312"/>
          <w:color w:val="000000" w:themeColor="text1"/>
          <w:sz w:val="32"/>
          <w:szCs w:val="32"/>
          <w:highlight w:val="none"/>
          <w:u w:val="none"/>
          <w14:textFill>
            <w14:solidFill>
              <w14:schemeClr w14:val="tx1"/>
            </w14:solidFill>
          </w14:textFill>
        </w:rPr>
        <w:t>符合第</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五</w:t>
      </w:r>
      <w:r>
        <w:rPr>
          <w:rFonts w:hint="eastAsia" w:ascii="仿宋_GB2312" w:hAnsi="宋体" w:eastAsia="仿宋_GB2312"/>
          <w:color w:val="000000" w:themeColor="text1"/>
          <w:sz w:val="32"/>
          <w:szCs w:val="32"/>
          <w:highlight w:val="none"/>
          <w:u w:val="none"/>
          <w14:textFill>
            <w14:solidFill>
              <w14:schemeClr w14:val="tx1"/>
            </w14:solidFill>
          </w14:textFill>
        </w:rPr>
        <w:t>条第</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一</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14:textFill>
            <w14:solidFill>
              <w14:schemeClr w14:val="tx1"/>
            </w14:solidFill>
          </w14:textFill>
        </w:rPr>
        <w:t>款规定条件</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在龙华区经营超过一年认定</w:t>
      </w:r>
      <w:r>
        <w:rPr>
          <w:rFonts w:hint="eastAsia" w:ascii="仿宋_GB2312" w:hAnsi="宋体" w:eastAsia="仿宋_GB2312"/>
          <w:color w:val="000000" w:themeColor="text1"/>
          <w:sz w:val="32"/>
          <w:szCs w:val="32"/>
          <w:highlight w:val="none"/>
          <w:u w:val="none"/>
          <w14:textFill>
            <w14:solidFill>
              <w14:schemeClr w14:val="tx1"/>
            </w14:solidFill>
          </w14:textFill>
        </w:rPr>
        <w:t>的总部企业，从认定次年起连续三年给予资金扶持，扶持资金为该企业在区形成地方财力相对于上一年度增量部分的30%，上一年度形成区地方财力</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少于</w:t>
      </w:r>
      <w:r>
        <w:rPr>
          <w:rFonts w:hint="eastAsia" w:ascii="仿宋_GB2312" w:hAnsi="宋体" w:eastAsia="仿宋_GB2312"/>
          <w:color w:val="000000" w:themeColor="text1"/>
          <w:sz w:val="32"/>
          <w:szCs w:val="32"/>
          <w:highlight w:val="none"/>
          <w:u w:val="none"/>
          <w14:textFill>
            <w14:solidFill>
              <w14:schemeClr w14:val="tx1"/>
            </w14:solidFill>
          </w14:textFill>
        </w:rPr>
        <w:t>800万元的，按800万元计算</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每家企业每年</w:t>
      </w:r>
      <w:r>
        <w:rPr>
          <w:rFonts w:hint="eastAsia" w:ascii="仿宋_GB2312" w:hAnsi="宋体" w:eastAsia="仿宋_GB2312"/>
          <w:color w:val="000000" w:themeColor="text1"/>
          <w:sz w:val="32"/>
          <w:szCs w:val="32"/>
          <w:highlight w:val="none"/>
          <w:u w:val="none"/>
          <w14:textFill>
            <w14:solidFill>
              <w14:schemeClr w14:val="tx1"/>
            </w14:solidFill>
          </w14:textFill>
        </w:rPr>
        <w:t>扶持金额最高</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2</w:t>
      </w:r>
      <w:r>
        <w:rPr>
          <w:rFonts w:hint="eastAsia" w:ascii="仿宋_GB2312" w:hAnsi="宋体" w:eastAsia="仿宋_GB2312"/>
          <w:color w:val="000000" w:themeColor="text1"/>
          <w:sz w:val="32"/>
          <w:szCs w:val="32"/>
          <w:highlight w:val="none"/>
          <w:u w:val="none"/>
          <w14:textFill>
            <w14:solidFill>
              <w14:schemeClr w14:val="tx1"/>
            </w14:solidFill>
          </w14:textFill>
        </w:rPr>
        <w:t>000万元人民币。</w:t>
      </w:r>
    </w:p>
    <w:p>
      <w:pPr>
        <w:keepNext w:val="0"/>
        <w:keepLines w:val="0"/>
        <w:pageBreakBefore w:val="0"/>
        <w:widowControl w:val="0"/>
        <w:tabs>
          <w:tab w:val="left" w:pos="1980"/>
        </w:tabs>
        <w:kinsoku/>
        <w:wordWrap/>
        <w:overflowPunct/>
        <w:topLinePunct w:val="0"/>
        <w:autoSpaceDE/>
        <w:autoSpaceDN/>
        <w:bidi w:val="0"/>
        <w:adjustRightInd w:val="0"/>
        <w:snapToGrid w:val="0"/>
        <w:spacing w:before="0" w:beforeLines="0" w:line="560" w:lineRule="exact"/>
        <w:ind w:firstLine="627" w:firstLineChars="196"/>
        <w:jc w:val="both"/>
        <w:textAlignment w:val="auto"/>
        <w:rPr>
          <w:rFonts w:hint="default" w:ascii="仿宋_GB2312" w:hAnsi="宋体" w:eastAsia="仿宋_GB2312"/>
          <w:color w:val="000000" w:themeColor="text1"/>
          <w:sz w:val="32"/>
          <w:szCs w:val="32"/>
          <w:highlight w:val="none"/>
          <w:u w:val="none"/>
          <w:lang w:val="en-US" w:eastAsia="zh-CN"/>
          <w14:textFill>
            <w14:solidFill>
              <w14:schemeClr w14:val="tx1"/>
            </w14:solidFill>
          </w14:textFill>
        </w:rPr>
      </w:pPr>
      <w:r>
        <w:rPr>
          <w:rFonts w:hint="eastAsia" w:ascii="仿宋_GB2312" w:hAnsi="宋体" w:eastAsia="仿宋_GB2312"/>
          <w:color w:val="000000" w:themeColor="text1"/>
          <w:sz w:val="32"/>
          <w:szCs w:val="32"/>
          <w:highlight w:val="none"/>
          <w:u w:val="none"/>
          <w14:textFill>
            <w14:solidFill>
              <w14:schemeClr w14:val="tx1"/>
            </w14:solidFill>
          </w14:textFill>
        </w:rPr>
        <w:t>符合第</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五</w:t>
      </w:r>
      <w:r>
        <w:rPr>
          <w:rFonts w:hint="eastAsia" w:ascii="仿宋_GB2312" w:hAnsi="宋体" w:eastAsia="仿宋_GB2312"/>
          <w:color w:val="000000" w:themeColor="text1"/>
          <w:sz w:val="32"/>
          <w:szCs w:val="32"/>
          <w:highlight w:val="none"/>
          <w:u w:val="none"/>
          <w14:textFill>
            <w14:solidFill>
              <w14:schemeClr w14:val="tx1"/>
            </w14:solidFill>
          </w14:textFill>
        </w:rPr>
        <w:t>条第</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三</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四）</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五</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14:textFill>
            <w14:solidFill>
              <w14:schemeClr w14:val="tx1"/>
            </w14:solidFill>
          </w14:textFill>
        </w:rPr>
        <w:t>（六）款规定条件</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认定</w:t>
      </w:r>
      <w:r>
        <w:rPr>
          <w:rFonts w:hint="eastAsia" w:ascii="仿宋_GB2312" w:hAnsi="宋体" w:eastAsia="仿宋_GB2312"/>
          <w:color w:val="000000" w:themeColor="text1"/>
          <w:sz w:val="32"/>
          <w:szCs w:val="32"/>
          <w:highlight w:val="none"/>
          <w:u w:val="none"/>
          <w14:textFill>
            <w14:solidFill>
              <w14:schemeClr w14:val="tx1"/>
            </w14:solidFill>
          </w14:textFill>
        </w:rPr>
        <w:t>的总部企业，</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在龙华区经营超过一年且产值规模（或营业收入）纳入区统计核算的，按第八条第一款</w:t>
      </w:r>
      <w:r>
        <w:rPr>
          <w:rFonts w:hint="eastAsia" w:ascii="仿宋_GB2312" w:hAnsi="宋体" w:eastAsia="仿宋_GB2312"/>
          <w:color w:val="000000" w:themeColor="text1"/>
          <w:sz w:val="32"/>
          <w:szCs w:val="32"/>
          <w:highlight w:val="none"/>
          <w:u w:val="none"/>
          <w14:textFill>
            <w14:solidFill>
              <w14:schemeClr w14:val="tx1"/>
            </w14:solidFill>
          </w14:textFill>
        </w:rPr>
        <w:t>享受扶持。</w:t>
      </w:r>
    </w:p>
    <w:p>
      <w:pPr>
        <w:tabs>
          <w:tab w:val="left" w:pos="1980"/>
        </w:tabs>
        <w:adjustRightInd w:val="0"/>
        <w:snapToGrid w:val="0"/>
        <w:spacing w:before="0" w:beforeLines="0" w:line="560" w:lineRule="exact"/>
        <w:ind w:firstLine="627" w:firstLineChars="196"/>
        <w:jc w:val="left"/>
        <w:rPr>
          <w:rFonts w:ascii="仿宋_GB2312" w:hAnsi="宋体" w:eastAsia="仿宋_GB2312"/>
          <w:color w:val="000000" w:themeColor="text1"/>
          <w:sz w:val="32"/>
          <w:szCs w:val="32"/>
          <w:highlight w:val="none"/>
          <w:u w:val="none"/>
          <w14:textFill>
            <w14:solidFill>
              <w14:schemeClr w14:val="tx1"/>
            </w14:solidFill>
          </w14:textFill>
        </w:rPr>
      </w:pPr>
      <w:r>
        <w:rPr>
          <w:rFonts w:hint="eastAsia" w:ascii="仿宋_GB2312" w:hAnsi="宋体" w:eastAsia="仿宋_GB2312"/>
          <w:color w:val="000000" w:themeColor="text1"/>
          <w:sz w:val="32"/>
          <w:szCs w:val="32"/>
          <w:highlight w:val="none"/>
          <w:u w:val="none"/>
          <w14:textFill>
            <w14:solidFill>
              <w14:schemeClr w14:val="tx1"/>
            </w14:solidFill>
          </w14:textFill>
        </w:rPr>
        <w:t>可享受第</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七</w:t>
      </w:r>
      <w:r>
        <w:rPr>
          <w:rFonts w:hint="eastAsia" w:ascii="仿宋_GB2312" w:hAnsi="宋体" w:eastAsia="仿宋_GB2312"/>
          <w:color w:val="000000" w:themeColor="text1"/>
          <w:sz w:val="32"/>
          <w:szCs w:val="32"/>
          <w:highlight w:val="none"/>
          <w:u w:val="none"/>
          <w14:textFill>
            <w14:solidFill>
              <w14:schemeClr w14:val="tx1"/>
            </w14:solidFill>
          </w14:textFill>
        </w:rPr>
        <w:t>条扶持的总部企业从</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申领完落户奖励的次年</w:t>
      </w:r>
      <w:r>
        <w:rPr>
          <w:rFonts w:hint="eastAsia" w:ascii="仿宋_GB2312" w:hAnsi="宋体" w:eastAsia="仿宋_GB2312"/>
          <w:color w:val="000000" w:themeColor="text1"/>
          <w:sz w:val="32"/>
          <w:szCs w:val="32"/>
          <w:highlight w:val="none"/>
          <w:u w:val="none"/>
          <w14:textFill>
            <w14:solidFill>
              <w14:schemeClr w14:val="tx1"/>
            </w14:solidFill>
          </w14:textFill>
        </w:rPr>
        <w:t>起连续三年按</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第八条第一款</w:t>
      </w:r>
      <w:r>
        <w:rPr>
          <w:rFonts w:hint="eastAsia" w:ascii="仿宋_GB2312" w:hAnsi="宋体" w:eastAsia="仿宋_GB2312"/>
          <w:color w:val="000000" w:themeColor="text1"/>
          <w:sz w:val="32"/>
          <w:szCs w:val="32"/>
          <w:highlight w:val="none"/>
          <w:u w:val="none"/>
          <w14:textFill>
            <w14:solidFill>
              <w14:schemeClr w14:val="tx1"/>
            </w14:solidFill>
          </w14:textFill>
        </w:rPr>
        <w:t>享受扶持。</w:t>
      </w:r>
    </w:p>
    <w:p>
      <w:pPr>
        <w:keepNext w:val="0"/>
        <w:keepLines w:val="0"/>
        <w:pageBreakBefore w:val="0"/>
        <w:kinsoku/>
        <w:wordWrap/>
        <w:overflowPunct/>
        <w:topLinePunct w:val="0"/>
        <w:autoSpaceDE/>
        <w:autoSpaceDN/>
        <w:bidi w:val="0"/>
        <w:adjustRightInd w:val="0"/>
        <w:snapToGrid w:val="0"/>
        <w:spacing w:line="560" w:lineRule="exact"/>
        <w:ind w:firstLine="660"/>
        <w:textAlignment w:val="auto"/>
        <w:rPr>
          <w:rFonts w:hint="eastAsia" w:ascii="仿宋_GB2312" w:hAnsi="宋体" w:eastAsia="仿宋_GB2312"/>
          <w:color w:val="000000" w:themeColor="text1"/>
          <w:sz w:val="32"/>
          <w:szCs w:val="32"/>
          <w:highlight w:val="none"/>
          <w:u w:val="none"/>
          <w14:textFill>
            <w14:solidFill>
              <w14:schemeClr w14:val="tx1"/>
            </w14:solidFill>
          </w14:textFill>
        </w:rPr>
      </w:pPr>
      <w:r>
        <w:rPr>
          <w:rFonts w:hint="eastAsia" w:ascii="黑体" w:eastAsia="黑体"/>
          <w:color w:val="000000" w:themeColor="text1"/>
          <w:spacing w:val="-4"/>
          <w:kern w:val="0"/>
          <w:sz w:val="32"/>
          <w:szCs w:val="32"/>
          <w:highlight w:val="none"/>
          <w:u w:val="none"/>
          <w14:textFill>
            <w14:solidFill>
              <w14:schemeClr w14:val="tx1"/>
            </w14:solidFill>
          </w14:textFill>
        </w:rPr>
        <w:t>第</w:t>
      </w:r>
      <w:r>
        <w:rPr>
          <w:rFonts w:hint="eastAsia" w:ascii="黑体" w:eastAsia="黑体"/>
          <w:color w:val="000000" w:themeColor="text1"/>
          <w:spacing w:val="-4"/>
          <w:kern w:val="0"/>
          <w:sz w:val="32"/>
          <w:szCs w:val="32"/>
          <w:highlight w:val="none"/>
          <w:u w:val="none"/>
          <w:lang w:val="en-US" w:eastAsia="zh-CN"/>
          <w14:textFill>
            <w14:solidFill>
              <w14:schemeClr w14:val="tx1"/>
            </w14:solidFill>
          </w14:textFill>
        </w:rPr>
        <w:t>九</w:t>
      </w:r>
      <w:r>
        <w:rPr>
          <w:rFonts w:hint="eastAsia" w:ascii="黑体" w:eastAsia="黑体"/>
          <w:color w:val="000000" w:themeColor="text1"/>
          <w:spacing w:val="-4"/>
          <w:kern w:val="0"/>
          <w:sz w:val="32"/>
          <w:szCs w:val="32"/>
          <w:highlight w:val="none"/>
          <w:u w:val="none"/>
          <w14:textFill>
            <w14:solidFill>
              <w14:schemeClr w14:val="tx1"/>
            </w14:solidFill>
          </w14:textFill>
        </w:rPr>
        <w:t>条</w:t>
      </w:r>
      <w:r>
        <w:rPr>
          <w:rFonts w:hint="eastAsia" w:ascii="仿宋_GB2312" w:hAnsi="宋体" w:eastAsia="仿宋_GB2312"/>
          <w:color w:val="000000" w:themeColor="text1"/>
          <w:sz w:val="32"/>
          <w:szCs w:val="32"/>
          <w:highlight w:val="none"/>
          <w:u w:val="none"/>
          <w14:textFill>
            <w14:solidFill>
              <w14:schemeClr w14:val="tx1"/>
            </w14:solidFill>
          </w14:textFill>
        </w:rPr>
        <w:t xml:space="preserve">  在</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龙华</w:t>
      </w:r>
      <w:r>
        <w:rPr>
          <w:rFonts w:hint="eastAsia" w:ascii="仿宋_GB2312" w:hAnsi="宋体" w:eastAsia="仿宋_GB2312"/>
          <w:color w:val="000000" w:themeColor="text1"/>
          <w:sz w:val="32"/>
          <w:szCs w:val="32"/>
          <w:highlight w:val="none"/>
          <w:u w:val="none"/>
          <w14:textFill>
            <w14:solidFill>
              <w14:schemeClr w14:val="tx1"/>
            </w14:solidFill>
          </w14:textFill>
        </w:rPr>
        <w:t>区内没有自有</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用地、用房</w:t>
      </w:r>
      <w:r>
        <w:rPr>
          <w:rFonts w:hint="eastAsia" w:ascii="仿宋_GB2312" w:hAnsi="宋体" w:eastAsia="仿宋_GB2312"/>
          <w:color w:val="000000" w:themeColor="text1"/>
          <w:sz w:val="32"/>
          <w:szCs w:val="32"/>
          <w:highlight w:val="none"/>
          <w:u w:val="none"/>
          <w14:textFill>
            <w14:solidFill>
              <w14:schemeClr w14:val="tx1"/>
            </w14:solidFill>
          </w14:textFill>
        </w:rPr>
        <w:t>的总部企业，对其按市场价格租用的在区内的研发办公和生产场地（不包括附属设施和配套用房），从认定次年起连续三年按房租50%予以支持，</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每家企业</w:t>
      </w:r>
      <w:r>
        <w:rPr>
          <w:rFonts w:hint="eastAsia" w:ascii="仿宋_GB2312" w:hAnsi="宋体" w:eastAsia="仿宋_GB2312"/>
          <w:color w:val="000000" w:themeColor="text1"/>
          <w:sz w:val="32"/>
          <w:szCs w:val="32"/>
          <w:highlight w:val="none"/>
          <w:u w:val="none"/>
          <w14:textFill>
            <w14:solidFill>
              <w14:schemeClr w14:val="tx1"/>
            </w14:solidFill>
          </w14:textFill>
        </w:rPr>
        <w:t>每年</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最高200</w:t>
      </w:r>
      <w:r>
        <w:rPr>
          <w:rFonts w:hint="eastAsia" w:ascii="仿宋_GB2312" w:hAnsi="宋体" w:eastAsia="仿宋_GB2312"/>
          <w:color w:val="000000" w:themeColor="text1"/>
          <w:sz w:val="32"/>
          <w:szCs w:val="32"/>
          <w:highlight w:val="none"/>
          <w:u w:val="none"/>
          <w14:textFill>
            <w14:solidFill>
              <w14:schemeClr w14:val="tx1"/>
            </w14:solidFill>
          </w14:textFill>
        </w:rPr>
        <w:t>万元人民币。</w:t>
      </w:r>
    </w:p>
    <w:p>
      <w:pPr>
        <w:keepNext w:val="0"/>
        <w:keepLines w:val="0"/>
        <w:pageBreakBefore w:val="0"/>
        <w:kinsoku/>
        <w:wordWrap/>
        <w:overflowPunct/>
        <w:topLinePunct w:val="0"/>
        <w:autoSpaceDE/>
        <w:autoSpaceDN/>
        <w:bidi w:val="0"/>
        <w:adjustRightInd w:val="0"/>
        <w:snapToGrid w:val="0"/>
        <w:spacing w:line="560" w:lineRule="exact"/>
        <w:ind w:firstLine="660"/>
        <w:textAlignment w:val="auto"/>
        <w:rPr>
          <w:rFonts w:hint="eastAsia" w:ascii="仿宋_GB2312" w:hAnsi="宋体" w:eastAsia="仿宋_GB2312"/>
          <w:b/>
          <w:bCs/>
          <w:color w:val="000000" w:themeColor="text1"/>
          <w:sz w:val="32"/>
          <w:szCs w:val="32"/>
          <w:highlight w:val="none"/>
          <w:u w:val="none"/>
          <w:lang w:val="en-US" w:eastAsia="zh-CN"/>
          <w14:textFill>
            <w14:solidFill>
              <w14:schemeClr w14:val="tx1"/>
            </w14:solidFill>
          </w14:textFill>
        </w:rPr>
      </w:pP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在龙华区内自有用房全部自用，且不能满足生产经营需求的总部企业，对其实际租用在区内的研发办公和生产场地，</w:t>
      </w:r>
      <w:r>
        <w:rPr>
          <w:rFonts w:hint="eastAsia" w:ascii="仿宋_GB2312" w:hAnsi="宋体" w:eastAsia="仿宋_GB2312"/>
          <w:color w:val="000000" w:themeColor="text1"/>
          <w:sz w:val="32"/>
          <w:szCs w:val="32"/>
          <w:highlight w:val="none"/>
          <w:u w:val="none"/>
          <w14:textFill>
            <w14:solidFill>
              <w14:schemeClr w14:val="tx1"/>
            </w14:solidFill>
          </w14:textFill>
        </w:rPr>
        <w:t>从认定次年起连续三年</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按</w:t>
      </w:r>
      <w:r>
        <w:rPr>
          <w:rFonts w:hint="eastAsia" w:ascii="仿宋_GB2312" w:hAnsi="宋体" w:eastAsia="仿宋_GB2312"/>
          <w:color w:val="000000" w:themeColor="text1"/>
          <w:sz w:val="32"/>
          <w:szCs w:val="32"/>
          <w:highlight w:val="none"/>
          <w:u w:val="none"/>
          <w14:textFill>
            <w14:solidFill>
              <w14:schemeClr w14:val="tx1"/>
            </w14:solidFill>
          </w14:textFill>
        </w:rPr>
        <w:t>房租</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的30%予以支持，每家企业每年最高150万</w:t>
      </w:r>
      <w:r>
        <w:rPr>
          <w:rFonts w:hint="eastAsia" w:ascii="仿宋_GB2312" w:hAnsi="宋体" w:eastAsia="仿宋_GB2312"/>
          <w:color w:val="000000" w:themeColor="text1"/>
          <w:sz w:val="32"/>
          <w:szCs w:val="32"/>
          <w:highlight w:val="none"/>
          <w:u w:val="none"/>
          <w14:textFill>
            <w14:solidFill>
              <w14:schemeClr w14:val="tx1"/>
            </w14:solidFill>
          </w14:textFill>
        </w:rPr>
        <w:t>元人民币</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60" w:lineRule="exact"/>
        <w:ind w:firstLine="660"/>
        <w:textAlignment w:val="auto"/>
        <w:rPr>
          <w:rFonts w:hint="default" w:ascii="仿宋_GB2312" w:hAnsi="宋体" w:eastAsia="仿宋_GB2312"/>
          <w:b/>
          <w:bCs/>
          <w:color w:val="000000" w:themeColor="text1"/>
          <w:sz w:val="32"/>
          <w:szCs w:val="32"/>
          <w:highlight w:val="none"/>
          <w:u w:val="none"/>
          <w:lang w:val="en-US" w:eastAsia="zh-CN"/>
          <w14:textFill>
            <w14:solidFill>
              <w14:schemeClr w14:val="tx1"/>
            </w14:solidFill>
          </w14:textFill>
        </w:rPr>
      </w:pP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在龙华区内自有用地处于开发建设阶段（与市规划和自然资源局龙华管理局签订土地出让合同3年内）的总部企业，对其实际租用区内研发办公和生产场地（不包括附属设施和配套用房），</w:t>
      </w:r>
      <w:r>
        <w:rPr>
          <w:rFonts w:hint="eastAsia" w:ascii="仿宋_GB2312" w:hAnsi="宋体" w:eastAsia="仿宋_GB2312"/>
          <w:color w:val="000000" w:themeColor="text1"/>
          <w:sz w:val="32"/>
          <w:szCs w:val="32"/>
          <w:highlight w:val="none"/>
          <w:u w:val="none"/>
          <w14:textFill>
            <w14:solidFill>
              <w14:schemeClr w14:val="tx1"/>
            </w14:solidFill>
          </w14:textFill>
        </w:rPr>
        <w:t>从认定次年起连续三年</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按房租的30%予以支持，每家企业每年最高150万元人民币。</w:t>
      </w:r>
    </w:p>
    <w:p>
      <w:pPr>
        <w:keepNext w:val="0"/>
        <w:keepLines w:val="0"/>
        <w:pageBreakBefore w:val="0"/>
        <w:kinsoku/>
        <w:wordWrap/>
        <w:overflowPunct/>
        <w:topLinePunct w:val="0"/>
        <w:autoSpaceDE/>
        <w:autoSpaceDN/>
        <w:bidi w:val="0"/>
        <w:adjustRightInd w:val="0"/>
        <w:snapToGrid w:val="0"/>
        <w:spacing w:line="560" w:lineRule="exact"/>
        <w:ind w:firstLine="660"/>
        <w:textAlignment w:val="auto"/>
        <w:rPr>
          <w:rFonts w:hint="default" w:ascii="仿宋_GB2312" w:hAnsi="宋体" w:eastAsia="仿宋_GB2312"/>
          <w:color w:val="000000" w:themeColor="text1"/>
          <w:sz w:val="32"/>
          <w:szCs w:val="32"/>
          <w:highlight w:val="none"/>
          <w:u w:val="none"/>
          <w:lang w:val="en-US" w:eastAsia="zh-CN"/>
          <w14:textFill>
            <w14:solidFill>
              <w14:schemeClr w14:val="tx1"/>
            </w14:solidFill>
          </w14:textFill>
        </w:rPr>
      </w:pPr>
      <w:r>
        <w:rPr>
          <w:rFonts w:hint="eastAsia" w:ascii="仿宋_GB2312" w:hAnsi="宋体" w:eastAsia="仿宋_GB2312"/>
          <w:color w:val="000000" w:themeColor="text1"/>
          <w:sz w:val="32"/>
          <w:szCs w:val="32"/>
          <w:highlight w:val="none"/>
          <w:u w:val="none"/>
          <w14:textFill>
            <w14:solidFill>
              <w14:schemeClr w14:val="tx1"/>
            </w14:solidFill>
          </w14:textFill>
        </w:rPr>
        <w:t>已享受政策性</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办公</w:t>
      </w:r>
      <w:r>
        <w:rPr>
          <w:rFonts w:hint="eastAsia" w:ascii="仿宋_GB2312" w:hAnsi="宋体" w:eastAsia="仿宋_GB2312"/>
          <w:color w:val="000000" w:themeColor="text1"/>
          <w:sz w:val="32"/>
          <w:szCs w:val="32"/>
          <w:highlight w:val="none"/>
          <w:u w:val="none"/>
          <w14:textFill>
            <w14:solidFill>
              <w14:schemeClr w14:val="tx1"/>
            </w14:solidFill>
          </w14:textFill>
        </w:rPr>
        <w:t>用房优惠的，</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或者母公司与其</w:t>
      </w:r>
      <w:r>
        <w:rPr>
          <w:rFonts w:hint="eastAsia" w:eastAsia="仿宋_GB2312"/>
          <w:color w:val="000000" w:themeColor="text1"/>
          <w:spacing w:val="-4"/>
          <w:sz w:val="32"/>
          <w:szCs w:val="32"/>
          <w:highlight w:val="none"/>
          <w:u w:val="none"/>
          <w14:textFill>
            <w14:solidFill>
              <w14:schemeClr w14:val="tx1"/>
            </w14:solidFill>
          </w14:textFill>
        </w:rPr>
        <w:t>控股</w:t>
      </w:r>
      <w:r>
        <w:rPr>
          <w:rFonts w:hint="eastAsia" w:ascii="仿宋_GB2312" w:eastAsia="仿宋_GB2312"/>
          <w:color w:val="000000" w:themeColor="text1"/>
          <w:spacing w:val="-4"/>
          <w:sz w:val="32"/>
          <w:szCs w:val="32"/>
          <w:highlight w:val="none"/>
          <w:u w:val="none"/>
          <w14:textFill>
            <w14:solidFill>
              <w14:schemeClr w14:val="tx1"/>
            </w14:solidFill>
          </w14:textFill>
        </w:rPr>
        <w:t>50%（含）以上在</w:t>
      </w:r>
      <w:r>
        <w:rPr>
          <w:rFonts w:hint="eastAsia" w:ascii="仿宋_GB2312" w:eastAsia="仿宋_GB2312"/>
          <w:color w:val="000000" w:themeColor="text1"/>
          <w:spacing w:val="-4"/>
          <w:sz w:val="32"/>
          <w:szCs w:val="32"/>
          <w:highlight w:val="none"/>
          <w:u w:val="none"/>
          <w:lang w:eastAsia="zh-CN"/>
          <w14:textFill>
            <w14:solidFill>
              <w14:schemeClr w14:val="tx1"/>
            </w14:solidFill>
          </w14:textFill>
        </w:rPr>
        <w:t>龙华区</w:t>
      </w:r>
      <w:r>
        <w:rPr>
          <w:rFonts w:hint="eastAsia" w:ascii="仿宋_GB2312" w:eastAsia="仿宋_GB2312"/>
          <w:color w:val="000000" w:themeColor="text1"/>
          <w:spacing w:val="-4"/>
          <w:sz w:val="32"/>
          <w:szCs w:val="32"/>
          <w:highlight w:val="none"/>
          <w:u w:val="none"/>
          <w14:textFill>
            <w14:solidFill>
              <w14:schemeClr w14:val="tx1"/>
            </w14:solidFill>
          </w14:textFill>
        </w:rPr>
        <w:t>注册的一级、二级子公司</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之间互相租赁研发办公和生产场地的，</w:t>
      </w:r>
      <w:r>
        <w:rPr>
          <w:rFonts w:hint="eastAsia" w:ascii="仿宋_GB2312" w:hAnsi="宋体" w:eastAsia="仿宋_GB2312"/>
          <w:color w:val="000000" w:themeColor="text1"/>
          <w:sz w:val="32"/>
          <w:szCs w:val="32"/>
          <w:highlight w:val="none"/>
          <w:u w:val="none"/>
          <w14:textFill>
            <w14:solidFill>
              <w14:schemeClr w14:val="tx1"/>
            </w14:solidFill>
          </w14:textFill>
        </w:rPr>
        <w:t>不给予</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租金</w:t>
      </w:r>
      <w:r>
        <w:rPr>
          <w:rFonts w:hint="eastAsia" w:ascii="仿宋_GB2312" w:hAnsi="宋体" w:eastAsia="仿宋_GB2312"/>
          <w:color w:val="000000" w:themeColor="text1"/>
          <w:sz w:val="32"/>
          <w:szCs w:val="32"/>
          <w:highlight w:val="none"/>
          <w:u w:val="none"/>
          <w14:textFill>
            <w14:solidFill>
              <w14:schemeClr w14:val="tx1"/>
            </w14:solidFill>
          </w14:textFill>
        </w:rPr>
        <w:t>支持。</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ascii="仿宋_GB2312" w:hAnsi="宋体" w:eastAsia="仿宋_GB2312"/>
          <w:color w:val="000000" w:themeColor="text1"/>
          <w:sz w:val="32"/>
          <w:szCs w:val="32"/>
          <w:highlight w:val="none"/>
          <w:u w:val="none"/>
          <w14:textFill>
            <w14:solidFill>
              <w14:schemeClr w14:val="tx1"/>
            </w14:solidFill>
          </w14:textFill>
        </w:rPr>
      </w:pPr>
      <w:r>
        <w:rPr>
          <w:rFonts w:hint="eastAsia" w:ascii="仿宋_GB2312" w:hAnsi="宋体" w:eastAsia="仿宋_GB2312"/>
          <w:b/>
          <w:color w:val="000000" w:themeColor="text1"/>
          <w:sz w:val="32"/>
          <w:szCs w:val="32"/>
          <w:highlight w:val="none"/>
          <w:u w:val="none"/>
          <w14:textFill>
            <w14:solidFill>
              <w14:schemeClr w14:val="tx1"/>
            </w14:solidFill>
          </w14:textFill>
        </w:rPr>
        <w:t xml:space="preserve"> </w:t>
      </w:r>
      <w:r>
        <w:rPr>
          <w:rFonts w:hint="eastAsia" w:ascii="仿宋_GB2312" w:hAnsi="宋体" w:eastAsia="仿宋_GB2312"/>
          <w:b w:val="0"/>
          <w:bCs/>
          <w:color w:val="000000" w:themeColor="text1"/>
          <w:sz w:val="32"/>
          <w:szCs w:val="32"/>
          <w:highlight w:val="none"/>
          <w:u w:val="none"/>
          <w:lang w:val="en-US" w:eastAsia="zh-CN"/>
          <w14:textFill>
            <w14:solidFill>
              <w14:schemeClr w14:val="tx1"/>
            </w14:solidFill>
          </w14:textFill>
        </w:rPr>
        <w:t>在取得总部企业资格后</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，首次</w:t>
      </w:r>
      <w:r>
        <w:rPr>
          <w:rFonts w:hint="eastAsia" w:ascii="仿宋_GB2312" w:hAnsi="宋体" w:eastAsia="仿宋_GB2312"/>
          <w:color w:val="000000" w:themeColor="text1"/>
          <w:sz w:val="32"/>
          <w:szCs w:val="32"/>
          <w:highlight w:val="none"/>
          <w:u w:val="none"/>
          <w14:textFill>
            <w14:solidFill>
              <w14:schemeClr w14:val="tx1"/>
            </w14:solidFill>
          </w14:textFill>
        </w:rPr>
        <w:t>按市场价格购买区内研发办公和生产场地（不包括附属设施和配套用房）的总部企业，按</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自用面积</w:t>
      </w:r>
      <w:r>
        <w:rPr>
          <w:rFonts w:hint="eastAsia" w:ascii="仿宋_GB2312" w:hAnsi="宋体" w:eastAsia="仿宋_GB2312"/>
          <w:color w:val="000000" w:themeColor="text1"/>
          <w:sz w:val="32"/>
          <w:szCs w:val="32"/>
          <w:highlight w:val="none"/>
          <w:u w:val="none"/>
          <w14:textFill>
            <w14:solidFill>
              <w14:schemeClr w14:val="tx1"/>
            </w14:solidFill>
          </w14:textFill>
        </w:rPr>
        <w:t>每平方米</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3000</w:t>
      </w:r>
      <w:r>
        <w:rPr>
          <w:rFonts w:hint="eastAsia" w:ascii="仿宋_GB2312" w:hAnsi="宋体" w:eastAsia="仿宋_GB2312"/>
          <w:color w:val="000000" w:themeColor="text1"/>
          <w:sz w:val="32"/>
          <w:szCs w:val="32"/>
          <w:highlight w:val="none"/>
          <w:u w:val="none"/>
          <w14:textFill>
            <w14:solidFill>
              <w14:schemeClr w14:val="tx1"/>
            </w14:solidFill>
          </w14:textFill>
        </w:rPr>
        <w:t>元人民币的</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标准</w:t>
      </w:r>
      <w:r>
        <w:rPr>
          <w:rFonts w:hint="eastAsia" w:ascii="仿宋_GB2312" w:hAnsi="宋体" w:eastAsia="仿宋_GB2312"/>
          <w:color w:val="000000" w:themeColor="text1"/>
          <w:sz w:val="32"/>
          <w:szCs w:val="32"/>
          <w:highlight w:val="none"/>
          <w:u w:val="none"/>
          <w14:textFill>
            <w14:solidFill>
              <w14:schemeClr w14:val="tx1"/>
            </w14:solidFill>
          </w14:textFill>
        </w:rPr>
        <w:t>，</w:t>
      </w:r>
      <w:r>
        <w:rPr>
          <w:rFonts w:hint="eastAsia" w:ascii="仿宋_GB2312" w:hAnsi="仿宋_GB2312" w:eastAsia="仿宋_GB2312" w:cs="仿宋_GB2312"/>
          <w:sz w:val="32"/>
          <w:szCs w:val="32"/>
          <w:highlight w:val="none"/>
        </w:rPr>
        <w:t>分三年给予支持，</w:t>
      </w:r>
      <w:r>
        <w:rPr>
          <w:rFonts w:hint="eastAsia" w:ascii="仿宋_GB2312" w:hAnsi="仿宋_GB2312" w:eastAsia="仿宋_GB2312" w:cs="仿宋_GB2312"/>
          <w:sz w:val="32"/>
          <w:szCs w:val="32"/>
          <w:highlight w:val="none"/>
          <w:lang w:val="en-US" w:eastAsia="zh-CN"/>
        </w:rPr>
        <w:t>每年最高1000万元，</w:t>
      </w:r>
      <w:r>
        <w:rPr>
          <w:rFonts w:hint="eastAsia" w:ascii="仿宋_GB2312" w:hAnsi="仿宋_GB2312" w:eastAsia="仿宋_GB2312" w:cs="仿宋_GB2312"/>
          <w:sz w:val="32"/>
          <w:szCs w:val="32"/>
          <w:highlight w:val="none"/>
        </w:rPr>
        <w:t>累计</w:t>
      </w:r>
      <w:r>
        <w:rPr>
          <w:rFonts w:hint="eastAsia" w:ascii="仿宋_GB2312" w:hAnsi="仿宋_GB2312" w:eastAsia="仿宋_GB2312" w:cs="仿宋_GB2312"/>
          <w:sz w:val="32"/>
          <w:szCs w:val="32"/>
          <w:highlight w:val="none"/>
          <w:lang w:val="en-US" w:eastAsia="zh-CN"/>
        </w:rPr>
        <w:t>不超过</w:t>
      </w:r>
      <w:r>
        <w:rPr>
          <w:rFonts w:hint="eastAsia" w:ascii="仿宋_GB2312" w:hAnsi="仿宋_GB2312" w:eastAsia="仿宋_GB2312" w:cs="仿宋_GB2312"/>
          <w:sz w:val="32"/>
          <w:szCs w:val="32"/>
          <w:highlight w:val="none"/>
        </w:rPr>
        <w:t>3000万元</w:t>
      </w:r>
      <w:r>
        <w:rPr>
          <w:rFonts w:hint="eastAsia" w:ascii="仿宋_GB2312" w:hAnsi="仿宋_GB2312" w:eastAsia="仿宋_GB2312" w:cs="仿宋_GB2312"/>
          <w:sz w:val="32"/>
          <w:szCs w:val="32"/>
          <w:highlight w:val="none"/>
          <w:lang w:eastAsia="zh-CN"/>
        </w:rPr>
        <w:t>。</w:t>
      </w:r>
      <w:r>
        <w:rPr>
          <w:rFonts w:hint="eastAsia" w:ascii="仿宋_GB2312" w:hAnsi="宋体" w:eastAsia="仿宋_GB2312"/>
          <w:color w:val="000000" w:themeColor="text1"/>
          <w:sz w:val="32"/>
          <w:szCs w:val="32"/>
          <w:highlight w:val="none"/>
          <w:u w:val="none"/>
          <w14:textFill>
            <w14:solidFill>
              <w14:schemeClr w14:val="tx1"/>
            </w14:solidFill>
          </w14:textFill>
        </w:rPr>
        <w:t>如已享受</w:t>
      </w:r>
      <w:r>
        <w:rPr>
          <w:rFonts w:hint="eastAsia" w:eastAsia="仿宋_GB2312"/>
          <w:color w:val="000000" w:themeColor="text1"/>
          <w:spacing w:val="-4"/>
          <w:kern w:val="0"/>
          <w:sz w:val="32"/>
          <w:szCs w:val="32"/>
          <w:highlight w:val="none"/>
          <w:u w:val="none"/>
          <w14:textFill>
            <w14:solidFill>
              <w14:schemeClr w14:val="tx1"/>
            </w14:solidFill>
          </w14:textFill>
        </w:rPr>
        <w:t>第</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九</w:t>
      </w:r>
      <w:r>
        <w:rPr>
          <w:rFonts w:hint="eastAsia" w:eastAsia="仿宋_GB2312"/>
          <w:color w:val="000000" w:themeColor="text1"/>
          <w:spacing w:val="-4"/>
          <w:kern w:val="0"/>
          <w:sz w:val="32"/>
          <w:szCs w:val="32"/>
          <w:highlight w:val="none"/>
          <w:u w:val="none"/>
          <w14:textFill>
            <w14:solidFill>
              <w14:schemeClr w14:val="tx1"/>
            </w14:solidFill>
          </w14:textFill>
        </w:rPr>
        <w:t>条支持，</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或已享受龙华区其他政策性办公用房优惠的，按</w:t>
      </w:r>
      <w:r>
        <w:rPr>
          <w:rFonts w:hint="eastAsia" w:ascii="仿宋_GB2312" w:hAnsi="宋体" w:eastAsia="仿宋_GB2312"/>
          <w:color w:val="000000" w:themeColor="text1"/>
          <w:sz w:val="32"/>
          <w:szCs w:val="32"/>
          <w:highlight w:val="none"/>
          <w:u w:val="none"/>
          <w14:textFill>
            <w14:solidFill>
              <w14:schemeClr w14:val="tx1"/>
            </w14:solidFill>
          </w14:textFill>
        </w:rPr>
        <w:t>本条</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申请扶持</w:t>
      </w:r>
      <w:r>
        <w:rPr>
          <w:rFonts w:hint="eastAsia" w:eastAsia="仿宋_GB2312"/>
          <w:color w:val="000000" w:themeColor="text1"/>
          <w:spacing w:val="-4"/>
          <w:kern w:val="0"/>
          <w:sz w:val="32"/>
          <w:szCs w:val="32"/>
          <w:highlight w:val="none"/>
          <w:u w:val="none"/>
          <w14:textFill>
            <w14:solidFill>
              <w14:schemeClr w14:val="tx1"/>
            </w14:solidFill>
          </w14:textFill>
        </w:rPr>
        <w:t>资金时须扣除已享受过的金额</w:t>
      </w:r>
      <w:r>
        <w:rPr>
          <w:rFonts w:hint="eastAsia" w:ascii="仿宋_GB2312" w:hAnsi="宋体" w:eastAsia="仿宋_GB2312"/>
          <w:color w:val="000000" w:themeColor="text1"/>
          <w:sz w:val="32"/>
          <w:szCs w:val="32"/>
          <w:highlight w:val="none"/>
          <w:u w:val="none"/>
          <w14:textFill>
            <w14:solidFill>
              <w14:schemeClr w14:val="tx1"/>
            </w14:solidFill>
          </w14:textFill>
        </w:rPr>
        <w:t>。</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ascii="仿宋_GB2312" w:hAnsi="宋体" w:eastAsia="仿宋_GB2312"/>
          <w:color w:val="000000" w:themeColor="text1"/>
          <w:sz w:val="32"/>
          <w:szCs w:val="32"/>
          <w:highlight w:val="none"/>
          <w:u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 xml:space="preserve"> 总部企业高级管理人员按照年度工资薪金个人所得税地方留存部分的50%给予支持，每家企业每年最多扶持5人，最长扶持3年。</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ascii="仿宋_GB2312" w:hAnsi="宋体" w:eastAsia="仿宋_GB2312"/>
          <w:b/>
          <w:bCs/>
          <w:color w:val="000000" w:themeColor="text1"/>
          <w:sz w:val="32"/>
          <w:szCs w:val="32"/>
          <w:highlight w:val="none"/>
          <w:u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 xml:space="preserve"> </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鼓励总部企业开展数字化转型，支持企业推动研发设计、生产加工、经营管理、销售服务等业务数字化、网络化、智能化转型，围绕数字技术重点领域构建开放、融合、具有引领发展能力的创新生态，鼓励企业开放数字化转型资源、加强产业链供应链协同和赋能产业链升级。符合条件的，由区工业和信息化局负责实施。</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ascii="仿宋_GB2312" w:hAnsi="宋体" w:eastAsia="仿宋_GB2312"/>
          <w:b/>
          <w:bCs/>
          <w:color w:val="000000" w:themeColor="text1"/>
          <w:sz w:val="32"/>
          <w:szCs w:val="32"/>
          <w:highlight w:val="none"/>
          <w:u w:val="none"/>
          <w14:textFill>
            <w14:solidFill>
              <w14:schemeClr w14:val="tx1"/>
            </w14:solidFill>
          </w14:textFill>
        </w:rPr>
      </w:pPr>
      <w:r>
        <w:rPr>
          <w:rFonts w:hint="eastAsia" w:ascii="仿宋_GB2312" w:hAnsi="仿宋_GB2312" w:eastAsia="仿宋_GB2312" w:cs="仿宋_GB2312"/>
          <w:b/>
          <w:bCs/>
          <w:color w:val="000000" w:themeColor="text1"/>
          <w:kern w:val="2"/>
          <w:sz w:val="32"/>
          <w:szCs w:val="32"/>
          <w:highlight w:val="none"/>
          <w:u w:val="none"/>
          <w:lang w:val="en-US" w:eastAsia="zh-CN" w:bidi="ar-SA"/>
          <w14:textFill>
            <w14:solidFill>
              <w14:schemeClr w14:val="tx1"/>
            </w14:solidFill>
          </w14:textFill>
        </w:rPr>
        <w:t xml:space="preserve"> </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鼓励总部企业设立产业链基金，促进产业链协同发展、提质增效，积极引进产业链优质企业集聚发展。符合条件的，由总部企业向区引导基金公司提出申请，龙华产业资本投资公司依据区引导基金管理办规定和相关决策程序开展基金设立相关工作，区国有资产监督管理局作为监管部门负责监管协调等工作。</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ascii="仿宋_GB2312" w:hAnsi="宋体" w:eastAsia="仿宋_GB2312"/>
          <w:color w:val="000000" w:themeColor="text1"/>
          <w:sz w:val="32"/>
          <w:szCs w:val="32"/>
          <w:highlight w:val="none"/>
          <w:u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 xml:space="preserve"> </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总部企业可优先享受区领导挂点、企业便利直通车和重大项目便利直通车等服务。</w:t>
      </w:r>
      <w:r>
        <w:rPr>
          <w:rFonts w:hint="eastAsia" w:ascii="仿宋_GB2312" w:hAnsi="宋体" w:eastAsia="仿宋_GB2312"/>
          <w:color w:val="000000" w:themeColor="text1"/>
          <w:sz w:val="32"/>
          <w:szCs w:val="32"/>
          <w:highlight w:val="none"/>
          <w:u w:val="none"/>
          <w14:textFill>
            <w14:solidFill>
              <w14:schemeClr w14:val="tx1"/>
            </w14:solidFill>
          </w14:textFill>
        </w:rPr>
        <w:t>区有关部门引导金融机构加大对总部企业的信贷支持力度，拓宽融资渠道。</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ascii="仿宋_GB2312" w:hAnsi="宋体" w:eastAsia="仿宋_GB2312"/>
          <w:color w:val="000000" w:themeColor="text1"/>
          <w:sz w:val="32"/>
          <w:szCs w:val="32"/>
          <w:highlight w:val="none"/>
          <w:u w:val="none"/>
          <w14:textFill>
            <w14:solidFill>
              <w14:schemeClr w14:val="tx1"/>
            </w14:solidFill>
          </w14:textFill>
        </w:rPr>
      </w:pP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 xml:space="preserve"> </w:t>
      </w:r>
      <w:r>
        <w:rPr>
          <w:rFonts w:hint="eastAsia" w:ascii="仿宋_GB2312" w:hAnsi="宋体" w:eastAsia="仿宋_GB2312"/>
          <w:color w:val="000000" w:themeColor="text1"/>
          <w:sz w:val="32"/>
          <w:szCs w:val="32"/>
          <w:highlight w:val="none"/>
          <w:u w:val="none"/>
          <w14:textFill>
            <w14:solidFill>
              <w14:schemeClr w14:val="tx1"/>
            </w14:solidFill>
          </w14:textFill>
        </w:rPr>
        <w:t>总部企业人才纳入人才安居保障范围，可按有关规定申请人才住房</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并鼓励</w:t>
      </w:r>
      <w:r>
        <w:rPr>
          <w:rFonts w:hint="eastAsia" w:ascii="仿宋_GB2312" w:hAnsi="宋体" w:eastAsia="仿宋_GB2312"/>
          <w:color w:val="000000" w:themeColor="text1"/>
          <w:sz w:val="32"/>
          <w:szCs w:val="32"/>
          <w:highlight w:val="none"/>
          <w:u w:val="none"/>
          <w14:textFill>
            <w14:solidFill>
              <w14:schemeClr w14:val="tx1"/>
            </w14:solidFill>
          </w14:textFill>
        </w:rPr>
        <w:t>有条件的总部企业利用自有土地建设人才</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住房</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符合条件的，由区住房和建设局负责实施</w:t>
      </w:r>
      <w:r>
        <w:rPr>
          <w:rFonts w:hint="eastAsia" w:ascii="仿宋_GB2312" w:hAnsi="宋体" w:eastAsia="仿宋_GB2312"/>
          <w:color w:val="000000" w:themeColor="text1"/>
          <w:sz w:val="32"/>
          <w:szCs w:val="32"/>
          <w:highlight w:val="none"/>
          <w:u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被认定为区高层次人才的总部企业高级管理人员、核心技术人员、研发人员，可按有关规定享受子女入学、医疗保健等优惠政策和便利措施，符合条件的，由区教育局、卫生健康局负责实施；总</w:t>
      </w:r>
      <w:r>
        <w:rPr>
          <w:rFonts w:hint="eastAsia" w:ascii="仿宋_GB2312" w:hAnsi="宋体" w:eastAsia="仿宋_GB2312"/>
          <w:color w:val="000000" w:themeColor="text1"/>
          <w:sz w:val="32"/>
          <w:szCs w:val="32"/>
          <w:highlight w:val="none"/>
          <w:u w:val="none"/>
          <w14:textFill>
            <w14:solidFill>
              <w14:schemeClr w14:val="tx1"/>
            </w14:solidFill>
          </w14:textFill>
        </w:rPr>
        <w:t>部企业的科技创新类项目及技术创新人才，</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符合条件的，由区科技创新局负责实施</w:t>
      </w:r>
      <w:r>
        <w:rPr>
          <w:rFonts w:hint="eastAsia" w:ascii="仿宋_GB2312" w:hAnsi="宋体" w:eastAsia="仿宋_GB2312"/>
          <w:color w:val="000000" w:themeColor="text1"/>
          <w:sz w:val="32"/>
          <w:szCs w:val="32"/>
          <w:highlight w:val="none"/>
          <w:u w:val="none"/>
          <w14:textFill>
            <w14:solidFill>
              <w14:schemeClr w14:val="tx1"/>
            </w14:solidFill>
          </w14:textFill>
        </w:rPr>
        <w:t>。</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630" w:leftChars="0"/>
        <w:textAlignment w:val="auto"/>
        <w:rPr>
          <w:rFonts w:hint="eastAsia" w:ascii="仿宋_GB2312" w:hAnsi="宋体" w:eastAsia="仿宋_GB2312"/>
          <w:color w:val="000000" w:themeColor="text1"/>
          <w:sz w:val="32"/>
          <w:szCs w:val="32"/>
          <w:highlight w:val="none"/>
          <w:u w:val="none"/>
          <w14:textFill>
            <w14:solidFill>
              <w14:schemeClr w14:val="tx1"/>
            </w14:solidFill>
          </w14:textFill>
        </w:rPr>
      </w:pPr>
    </w:p>
    <w:p>
      <w:pPr>
        <w:adjustRightInd w:val="0"/>
        <w:snapToGrid w:val="0"/>
        <w:spacing w:before="0" w:beforeLines="0" w:line="560" w:lineRule="exact"/>
        <w:jc w:val="center"/>
        <w:rPr>
          <w:rFonts w:hint="eastAsia" w:ascii="黑体" w:eastAsia="黑体"/>
          <w:b w:val="0"/>
          <w:bCs/>
          <w:color w:val="000000" w:themeColor="text1"/>
          <w:spacing w:val="-4"/>
          <w:kern w:val="0"/>
          <w:sz w:val="32"/>
          <w:szCs w:val="32"/>
          <w:highlight w:val="none"/>
          <w:u w:val="none"/>
          <w14:textFill>
            <w14:solidFill>
              <w14:schemeClr w14:val="tx1"/>
            </w14:solidFill>
          </w14:textFill>
        </w:rPr>
      </w:pPr>
      <w:r>
        <w:rPr>
          <w:rFonts w:hint="eastAsia" w:ascii="黑体" w:eastAsia="黑体"/>
          <w:b w:val="0"/>
          <w:bCs/>
          <w:color w:val="000000" w:themeColor="text1"/>
          <w:spacing w:val="-4"/>
          <w:kern w:val="0"/>
          <w:sz w:val="32"/>
          <w:szCs w:val="32"/>
          <w:highlight w:val="none"/>
          <w:u w:val="none"/>
          <w14:textFill>
            <w14:solidFill>
              <w14:schemeClr w14:val="tx1"/>
            </w14:solidFill>
          </w14:textFill>
        </w:rPr>
        <w:t>第</w:t>
      </w:r>
      <w:r>
        <w:rPr>
          <w:rFonts w:hint="eastAsia" w:ascii="黑体" w:eastAsia="黑体"/>
          <w:b w:val="0"/>
          <w:bCs/>
          <w:color w:val="000000" w:themeColor="text1"/>
          <w:spacing w:val="-4"/>
          <w:kern w:val="0"/>
          <w:sz w:val="32"/>
          <w:szCs w:val="32"/>
          <w:highlight w:val="none"/>
          <w:u w:val="none"/>
          <w:lang w:val="en-US" w:eastAsia="zh-CN"/>
          <w14:textFill>
            <w14:solidFill>
              <w14:schemeClr w14:val="tx1"/>
            </w14:solidFill>
          </w14:textFill>
        </w:rPr>
        <w:t>四</w:t>
      </w:r>
      <w:r>
        <w:rPr>
          <w:rFonts w:hint="eastAsia" w:ascii="黑体" w:eastAsia="黑体"/>
          <w:b w:val="0"/>
          <w:bCs/>
          <w:color w:val="000000" w:themeColor="text1"/>
          <w:spacing w:val="-4"/>
          <w:kern w:val="0"/>
          <w:sz w:val="32"/>
          <w:szCs w:val="32"/>
          <w:highlight w:val="none"/>
          <w:u w:val="none"/>
          <w14:textFill>
            <w14:solidFill>
              <w14:schemeClr w14:val="tx1"/>
            </w14:solidFill>
          </w14:textFill>
        </w:rPr>
        <w:t xml:space="preserve">章 </w:t>
      </w:r>
      <w:r>
        <w:rPr>
          <w:rFonts w:hint="eastAsia" w:ascii="黑体" w:eastAsia="黑体"/>
          <w:b w:val="0"/>
          <w:bCs/>
          <w:color w:val="000000" w:themeColor="text1"/>
          <w:spacing w:val="-4"/>
          <w:kern w:val="0"/>
          <w:sz w:val="32"/>
          <w:szCs w:val="32"/>
          <w:highlight w:val="none"/>
          <w:u w:val="none"/>
          <w:lang w:val="en-US" w:eastAsia="zh-CN"/>
          <w14:textFill>
            <w14:solidFill>
              <w14:schemeClr w14:val="tx1"/>
            </w14:solidFill>
          </w14:textFill>
        </w:rPr>
        <w:t xml:space="preserve"> </w:t>
      </w:r>
      <w:r>
        <w:rPr>
          <w:rFonts w:hint="eastAsia" w:ascii="黑体" w:eastAsia="黑体"/>
          <w:b w:val="0"/>
          <w:bCs/>
          <w:color w:val="000000" w:themeColor="text1"/>
          <w:spacing w:val="-4"/>
          <w:kern w:val="0"/>
          <w:sz w:val="32"/>
          <w:szCs w:val="32"/>
          <w:highlight w:val="none"/>
          <w:u w:val="none"/>
          <w14:textFill>
            <w14:solidFill>
              <w14:schemeClr w14:val="tx1"/>
            </w14:solidFill>
          </w14:textFill>
        </w:rPr>
        <w:t>管理监督</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both"/>
        <w:textAlignment w:val="auto"/>
        <w:rPr>
          <w:rFonts w:hint="eastAsia" w:ascii="仿宋_GB2312" w:hAnsi="宋体" w:eastAsia="仿宋_GB2312"/>
          <w:color w:val="000000" w:themeColor="text1"/>
          <w:sz w:val="32"/>
          <w:szCs w:val="32"/>
          <w:highlight w:val="none"/>
          <w:u w:val="none"/>
          <w14:textFill>
            <w14:solidFill>
              <w14:schemeClr w14:val="tx1"/>
            </w14:solidFill>
          </w14:textFill>
        </w:rPr>
      </w:pP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ascii="仿宋_GB2312" w:hAnsi="宋体" w:eastAsia="仿宋_GB2312"/>
          <w:color w:val="000000" w:themeColor="text1"/>
          <w:sz w:val="32"/>
          <w:szCs w:val="32"/>
          <w:highlight w:val="none"/>
          <w:u w:val="none"/>
          <w14:textFill>
            <w14:solidFill>
              <w14:schemeClr w14:val="tx1"/>
            </w14:solidFill>
          </w14:textFill>
        </w:rPr>
      </w:pP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 xml:space="preserve"> </w:t>
      </w:r>
      <w:r>
        <w:rPr>
          <w:rFonts w:hint="eastAsia" w:eastAsia="仿宋_GB2312"/>
          <w:color w:val="000000" w:themeColor="text1"/>
          <w:spacing w:val="-4"/>
          <w:kern w:val="0"/>
          <w:sz w:val="32"/>
          <w:szCs w:val="32"/>
          <w:highlight w:val="none"/>
          <w:u w:val="none"/>
          <w14:textFill>
            <w14:solidFill>
              <w14:schemeClr w14:val="tx1"/>
            </w14:solidFill>
          </w14:textFill>
        </w:rPr>
        <w:t>建立总部企业名录库，实施总部企业年度复查和动态调整机制，每年对总部企业经济指标进行一次复查，动态更</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新</w:t>
      </w:r>
      <w:r>
        <w:rPr>
          <w:rFonts w:hint="eastAsia" w:eastAsia="仿宋_GB2312"/>
          <w:color w:val="000000" w:themeColor="text1"/>
          <w:spacing w:val="-4"/>
          <w:kern w:val="0"/>
          <w:sz w:val="32"/>
          <w:szCs w:val="32"/>
          <w:highlight w:val="none"/>
          <w:u w:val="none"/>
          <w14:textFill>
            <w14:solidFill>
              <w14:schemeClr w14:val="tx1"/>
            </w14:solidFill>
          </w14:textFill>
        </w:rPr>
        <w:t>总部企业名录</w:t>
      </w:r>
      <w:r>
        <w:rPr>
          <w:rFonts w:hint="eastAsia" w:eastAsia="仿宋_GB2312"/>
          <w:color w:val="000000" w:themeColor="text1"/>
          <w:spacing w:val="-4"/>
          <w:kern w:val="0"/>
          <w:sz w:val="32"/>
          <w:szCs w:val="32"/>
          <w:highlight w:val="none"/>
          <w:u w:val="none"/>
          <w:lang w:eastAsia="zh-CN"/>
          <w14:textFill>
            <w14:solidFill>
              <w14:schemeClr w14:val="tx1"/>
            </w14:solidFill>
          </w14:textFill>
        </w:rPr>
        <w:t>。</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经复查，一年不符合条件的企业，由总部办进行约谈。</w:t>
      </w:r>
      <w:r>
        <w:rPr>
          <w:rFonts w:hint="eastAsia" w:eastAsia="仿宋_GB2312"/>
          <w:color w:val="000000" w:themeColor="text1"/>
          <w:spacing w:val="-4"/>
          <w:kern w:val="0"/>
          <w:sz w:val="32"/>
          <w:szCs w:val="32"/>
          <w:highlight w:val="none"/>
          <w:u w:val="none"/>
          <w14:textFill>
            <w14:solidFill>
              <w14:schemeClr w14:val="tx1"/>
            </w14:solidFill>
          </w14:textFill>
        </w:rPr>
        <w:t>连续两年不符合条件的，</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或因“</w:t>
      </w:r>
      <w:r>
        <w:rPr>
          <w:rFonts w:eastAsia="仿宋_GB2312"/>
          <w:color w:val="000000" w:themeColor="text1"/>
          <w:spacing w:val="-4"/>
          <w:kern w:val="0"/>
          <w:sz w:val="32"/>
          <w:szCs w:val="32"/>
          <w:highlight w:val="none"/>
          <w:u w:val="none"/>
          <w14:textFill>
            <w14:solidFill>
              <w14:schemeClr w14:val="tx1"/>
            </w14:solidFill>
          </w14:textFill>
        </w:rPr>
        <w:t>关闭、停办、合并、转产</w:t>
      </w:r>
      <w:r>
        <w:rPr>
          <w:rFonts w:hint="eastAsia" w:eastAsia="仿宋_GB2312"/>
          <w:color w:val="000000" w:themeColor="text1"/>
          <w:spacing w:val="-4"/>
          <w:kern w:val="0"/>
          <w:sz w:val="32"/>
          <w:szCs w:val="32"/>
          <w:highlight w:val="none"/>
          <w:u w:val="none"/>
          <w14:textFill>
            <w14:solidFill>
              <w14:schemeClr w14:val="tx1"/>
            </w14:solidFill>
          </w14:textFill>
        </w:rPr>
        <w:t>”等</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重大事项</w:t>
      </w:r>
      <w:r>
        <w:rPr>
          <w:rFonts w:hint="eastAsia" w:eastAsia="仿宋_GB2312"/>
          <w:color w:val="000000" w:themeColor="text1"/>
          <w:spacing w:val="-4"/>
          <w:kern w:val="0"/>
          <w:sz w:val="32"/>
          <w:szCs w:val="32"/>
          <w:highlight w:val="none"/>
          <w:u w:val="none"/>
          <w14:textFill>
            <w14:solidFill>
              <w14:schemeClr w14:val="tx1"/>
            </w14:solidFill>
          </w14:textFill>
        </w:rPr>
        <w:t>无法经营</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的，</w:t>
      </w:r>
      <w:r>
        <w:rPr>
          <w:rFonts w:hint="eastAsia" w:eastAsia="仿宋_GB2312"/>
          <w:color w:val="000000" w:themeColor="text1"/>
          <w:spacing w:val="-4"/>
          <w:kern w:val="0"/>
          <w:sz w:val="32"/>
          <w:szCs w:val="32"/>
          <w:highlight w:val="none"/>
          <w:u w:val="none"/>
          <w14:textFill>
            <w14:solidFill>
              <w14:schemeClr w14:val="tx1"/>
            </w14:solidFill>
          </w14:textFill>
        </w:rPr>
        <w:t>经总部办报领导小组审定后</w:t>
      </w:r>
      <w:r>
        <w:rPr>
          <w:rFonts w:hint="eastAsia" w:eastAsia="仿宋_GB2312"/>
          <w:color w:val="000000" w:themeColor="text1"/>
          <w:sz w:val="32"/>
          <w:szCs w:val="32"/>
          <w:highlight w:val="none"/>
          <w:u w:val="none"/>
          <w14:textFill>
            <w14:solidFill>
              <w14:schemeClr w14:val="tx1"/>
            </w14:solidFill>
          </w14:textFill>
        </w:rPr>
        <w:t>取消其总部企业资格</w:t>
      </w:r>
      <w:r>
        <w:rPr>
          <w:rFonts w:hint="eastAsia" w:eastAsia="仿宋_GB2312"/>
          <w:color w:val="000000" w:themeColor="text1"/>
          <w:sz w:val="32"/>
          <w:szCs w:val="32"/>
          <w:highlight w:val="none"/>
          <w:u w:val="none"/>
          <w:lang w:eastAsia="zh-CN"/>
          <w14:textFill>
            <w14:solidFill>
              <w14:schemeClr w14:val="tx1"/>
            </w14:solidFill>
          </w14:textFill>
        </w:rPr>
        <w:t>，</w:t>
      </w:r>
      <w:r>
        <w:rPr>
          <w:rFonts w:hint="eastAsia" w:eastAsia="仿宋_GB2312"/>
          <w:color w:val="000000" w:themeColor="text1"/>
          <w:sz w:val="32"/>
          <w:szCs w:val="32"/>
          <w:highlight w:val="none"/>
          <w:u w:val="none"/>
          <w14:textFill>
            <w14:solidFill>
              <w14:schemeClr w14:val="tx1"/>
            </w14:solidFill>
          </w14:textFill>
        </w:rPr>
        <w:t>不再享受总部扶持措施，</w:t>
      </w:r>
      <w:r>
        <w:rPr>
          <w:rFonts w:hint="eastAsia" w:eastAsia="仿宋_GB2312"/>
          <w:color w:val="000000" w:themeColor="text1"/>
          <w:spacing w:val="-4"/>
          <w:kern w:val="0"/>
          <w:sz w:val="32"/>
          <w:szCs w:val="32"/>
          <w:highlight w:val="none"/>
          <w:u w:val="none"/>
          <w14:textFill>
            <w14:solidFill>
              <w14:schemeClr w14:val="tx1"/>
            </w14:solidFill>
          </w14:textFill>
        </w:rPr>
        <w:t>且</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自取消资格之日起三</w:t>
      </w:r>
      <w:r>
        <w:rPr>
          <w:rFonts w:hint="eastAsia" w:eastAsia="仿宋_GB2312"/>
          <w:color w:val="000000" w:themeColor="text1"/>
          <w:spacing w:val="-4"/>
          <w:kern w:val="0"/>
          <w:sz w:val="32"/>
          <w:szCs w:val="32"/>
          <w:highlight w:val="none"/>
          <w:u w:val="none"/>
          <w14:textFill>
            <w14:solidFill>
              <w14:schemeClr w14:val="tx1"/>
            </w14:solidFill>
          </w14:textFill>
        </w:rPr>
        <w:t>年内不得再申请认定</w:t>
      </w:r>
      <w:r>
        <w:rPr>
          <w:rFonts w:hint="eastAsia" w:eastAsia="仿宋_GB2312"/>
          <w:color w:val="000000" w:themeColor="text1"/>
          <w:spacing w:val="-4"/>
          <w:kern w:val="0"/>
          <w:sz w:val="32"/>
          <w:szCs w:val="32"/>
          <w:highlight w:val="none"/>
          <w:u w:val="none"/>
          <w:lang w:eastAsia="zh-CN"/>
          <w14:textFill>
            <w14:solidFill>
              <w14:schemeClr w14:val="tx1"/>
            </w14:solidFill>
          </w14:textFill>
        </w:rPr>
        <w:t>。</w:t>
      </w:r>
      <w:r>
        <w:rPr>
          <w:rFonts w:hint="eastAsia" w:eastAsia="仿宋_GB2312"/>
          <w:color w:val="000000" w:themeColor="text1"/>
          <w:spacing w:val="-4"/>
          <w:kern w:val="0"/>
          <w:sz w:val="32"/>
          <w:szCs w:val="32"/>
          <w:highlight w:val="none"/>
          <w:u w:val="none"/>
          <w14:textFill>
            <w14:solidFill>
              <w14:schemeClr w14:val="tx1"/>
            </w14:solidFill>
          </w14:textFill>
        </w:rPr>
        <w:t>满</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三</w:t>
      </w:r>
      <w:r>
        <w:rPr>
          <w:rFonts w:hint="eastAsia" w:eastAsia="仿宋_GB2312"/>
          <w:color w:val="000000" w:themeColor="text1"/>
          <w:spacing w:val="-4"/>
          <w:kern w:val="0"/>
          <w:sz w:val="32"/>
          <w:szCs w:val="32"/>
          <w:highlight w:val="none"/>
          <w:u w:val="none"/>
          <w14:textFill>
            <w14:solidFill>
              <w14:schemeClr w14:val="tx1"/>
            </w14:solidFill>
          </w14:textFill>
        </w:rPr>
        <w:t>年后符合条件的，可重新申请认定，但</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已享受过的</w:t>
      </w:r>
      <w:r>
        <w:rPr>
          <w:rFonts w:hint="eastAsia" w:eastAsia="仿宋_GB2312"/>
          <w:color w:val="000000" w:themeColor="text1"/>
          <w:spacing w:val="-4"/>
          <w:kern w:val="0"/>
          <w:sz w:val="32"/>
          <w:szCs w:val="32"/>
          <w:highlight w:val="none"/>
          <w:u w:val="none"/>
          <w14:textFill>
            <w14:solidFill>
              <w14:schemeClr w14:val="tx1"/>
            </w14:solidFill>
          </w14:textFill>
        </w:rPr>
        <w:t>扶持资金</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类别不再享受。</w:t>
      </w:r>
    </w:p>
    <w:p>
      <w:pPr>
        <w:keepNext w:val="0"/>
        <w:keepLines w:val="0"/>
        <w:pageBreakBefore w:val="0"/>
        <w:kinsoku/>
        <w:wordWrap/>
        <w:overflowPunct/>
        <w:topLinePunct w:val="0"/>
        <w:autoSpaceDE/>
        <w:autoSpaceDN/>
        <w:bidi w:val="0"/>
        <w:adjustRightInd w:val="0"/>
        <w:snapToGrid w:val="0"/>
        <w:spacing w:line="560" w:lineRule="exact"/>
        <w:ind w:firstLine="645" w:firstLineChars="0"/>
        <w:jc w:val="left"/>
        <w:textAlignment w:val="auto"/>
        <w:rPr>
          <w:rFonts w:hint="eastAsia" w:ascii="仿宋_GB2312" w:hAnsi="宋体" w:eastAsia="仿宋_GB2312"/>
          <w:color w:val="000000" w:themeColor="text1"/>
          <w:sz w:val="32"/>
          <w:szCs w:val="32"/>
          <w:highlight w:val="none"/>
          <w:u w:val="none"/>
          <w14:textFill>
            <w14:solidFill>
              <w14:schemeClr w14:val="tx1"/>
            </w14:solidFill>
          </w14:textFill>
        </w:rPr>
      </w:pP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总部企业目录库动态调整退出流程包括发布通知</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初审</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征求意见</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highlight w:val="none"/>
          <w:u w:val="none"/>
          <w:lang w:val="zh-CN"/>
          <w14:textFill>
            <w14:solidFill>
              <w14:schemeClr w14:val="tx1"/>
            </w14:solidFill>
          </w14:textFill>
        </w:rPr>
        <w:t>公</w:t>
      </w:r>
      <w:r>
        <w:rPr>
          <w:rFonts w:hint="eastAsia" w:ascii="仿宋_GB2312" w:hAnsi="宋体" w:eastAsia="仿宋_GB2312" w:cs="仿宋_GB2312"/>
          <w:color w:val="000000" w:themeColor="text1"/>
          <w:kern w:val="0"/>
          <w:sz w:val="32"/>
          <w:szCs w:val="32"/>
          <w:highlight w:val="none"/>
          <w:u w:val="none"/>
          <w:lang w:val="en-US" w:eastAsia="zh-CN"/>
          <w14:textFill>
            <w14:solidFill>
              <w14:schemeClr w14:val="tx1"/>
            </w14:solidFill>
          </w14:textFill>
        </w:rPr>
        <w:t>示、审批、公告等环节</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eastAsia="仿宋_GB2312"/>
          <w:color w:val="000000" w:themeColor="text1"/>
          <w:spacing w:val="-4"/>
          <w:kern w:val="0"/>
          <w:sz w:val="32"/>
          <w:szCs w:val="32"/>
          <w:highlight w:val="none"/>
          <w:u w:val="none"/>
          <w14:textFill>
            <w14:solidFill>
              <w14:schemeClr w14:val="tx1"/>
            </w14:solidFill>
          </w14:textFill>
        </w:rPr>
      </w:pP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 xml:space="preserve"> </w:t>
      </w:r>
      <w:r>
        <w:rPr>
          <w:rFonts w:hint="eastAsia" w:eastAsia="仿宋_GB2312"/>
          <w:color w:val="000000" w:themeColor="text1"/>
          <w:sz w:val="32"/>
          <w:szCs w:val="32"/>
          <w:highlight w:val="none"/>
          <w:u w:val="none"/>
          <w14:textFill>
            <w14:solidFill>
              <w14:schemeClr w14:val="tx1"/>
            </w14:solidFill>
          </w14:textFill>
        </w:rPr>
        <w:t>区原有</w:t>
      </w:r>
      <w:r>
        <w:rPr>
          <w:rFonts w:hint="eastAsia" w:eastAsia="仿宋_GB2312"/>
          <w:bCs/>
          <w:color w:val="000000" w:themeColor="text1"/>
          <w:spacing w:val="-4"/>
          <w:kern w:val="0"/>
          <w:sz w:val="32"/>
          <w:szCs w:val="32"/>
          <w:highlight w:val="none"/>
          <w:u w:val="none"/>
          <w:lang w:val="en-US" w:eastAsia="zh-CN"/>
          <w14:textFill>
            <w14:solidFill>
              <w14:schemeClr w14:val="tx1"/>
            </w14:solidFill>
          </w14:textFill>
        </w:rPr>
        <w:t>总部企业</w:t>
      </w:r>
      <w:r>
        <w:rPr>
          <w:rFonts w:hint="eastAsia" w:eastAsia="仿宋_GB2312"/>
          <w:color w:val="000000" w:themeColor="text1"/>
          <w:sz w:val="32"/>
          <w:szCs w:val="32"/>
          <w:highlight w:val="none"/>
          <w:u w:val="none"/>
          <w14:textFill>
            <w14:solidFill>
              <w14:schemeClr w14:val="tx1"/>
            </w14:solidFill>
          </w14:textFill>
        </w:rPr>
        <w:t>在全市范围分立、重组、转产、更名等，不得申请新</w:t>
      </w:r>
      <w:r>
        <w:rPr>
          <w:rFonts w:hint="eastAsia" w:eastAsia="仿宋_GB2312"/>
          <w:color w:val="000000" w:themeColor="text1"/>
          <w:sz w:val="32"/>
          <w:szCs w:val="32"/>
          <w:highlight w:val="none"/>
          <w:u w:val="none"/>
          <w:lang w:val="en-US" w:eastAsia="zh-CN"/>
          <w14:textFill>
            <w14:solidFill>
              <w14:schemeClr w14:val="tx1"/>
            </w14:solidFill>
          </w14:textFill>
        </w:rPr>
        <w:t>注册</w:t>
      </w:r>
      <w:r>
        <w:rPr>
          <w:rFonts w:hint="eastAsia" w:eastAsia="仿宋_GB2312"/>
          <w:color w:val="000000" w:themeColor="text1"/>
          <w:sz w:val="32"/>
          <w:szCs w:val="32"/>
          <w:highlight w:val="none"/>
          <w:u w:val="none"/>
          <w14:textFill>
            <w14:solidFill>
              <w14:schemeClr w14:val="tx1"/>
            </w14:solidFill>
          </w14:textFill>
        </w:rPr>
        <w:t>总部企业认定。经认定的总部企业发生更名、重组、合并、分立、解散、清算、股权转让、迁出等重大事项的，应在办理相关手续后</w:t>
      </w:r>
      <w:r>
        <w:rPr>
          <w:rFonts w:hint="eastAsia" w:ascii="仿宋_GB2312" w:eastAsia="仿宋_GB2312"/>
          <w:color w:val="000000" w:themeColor="text1"/>
          <w:sz w:val="32"/>
          <w:szCs w:val="32"/>
          <w:highlight w:val="none"/>
          <w:u w:val="none"/>
          <w14:textFill>
            <w14:solidFill>
              <w14:schemeClr w14:val="tx1"/>
            </w14:solidFill>
          </w14:textFill>
        </w:rPr>
        <w:t>10</w:t>
      </w:r>
      <w:r>
        <w:rPr>
          <w:rFonts w:hint="eastAsia" w:eastAsia="仿宋_GB2312"/>
          <w:color w:val="000000" w:themeColor="text1"/>
          <w:sz w:val="32"/>
          <w:szCs w:val="32"/>
          <w:highlight w:val="none"/>
          <w:u w:val="none"/>
          <w14:textFill>
            <w14:solidFill>
              <w14:schemeClr w14:val="tx1"/>
            </w14:solidFill>
          </w14:textFill>
        </w:rPr>
        <w:t>个工作日内将相关情况报送</w:t>
      </w:r>
      <w:r>
        <w:rPr>
          <w:rFonts w:hint="eastAsia" w:ascii="仿宋_GB2312" w:eastAsia="仿宋_GB2312"/>
          <w:color w:val="000000" w:themeColor="text1"/>
          <w:sz w:val="32"/>
          <w:szCs w:val="32"/>
          <w:highlight w:val="none"/>
          <w:u w:val="none"/>
          <w14:textFill>
            <w14:solidFill>
              <w14:schemeClr w14:val="tx1"/>
            </w14:solidFill>
          </w14:textFill>
        </w:rPr>
        <w:t>区总部办备案</w:t>
      </w:r>
      <w:r>
        <w:rPr>
          <w:rFonts w:hint="eastAsia" w:eastAsia="仿宋_GB2312"/>
          <w:color w:val="000000" w:themeColor="text1"/>
          <w:sz w:val="32"/>
          <w:szCs w:val="32"/>
          <w:highlight w:val="none"/>
          <w:u w:val="none"/>
          <w14:textFill>
            <w14:solidFill>
              <w14:schemeClr w14:val="tx1"/>
            </w14:solidFill>
          </w14:textFill>
        </w:rPr>
        <w:t>。</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eastAsia="仿宋_GB2312"/>
          <w:color w:val="000000" w:themeColor="text1"/>
          <w:sz w:val="32"/>
          <w:szCs w:val="32"/>
          <w:highlight w:val="none"/>
          <w:u w:val="none"/>
          <w14:textFill>
            <w14:solidFill>
              <w14:schemeClr w14:val="tx1"/>
            </w14:solidFill>
          </w14:textFill>
        </w:rPr>
      </w:pPr>
      <w:r>
        <w:rPr>
          <w:rFonts w:hint="eastAsia" w:eastAsia="仿宋_GB2312"/>
          <w:color w:val="000000" w:themeColor="text1"/>
          <w:sz w:val="32"/>
          <w:szCs w:val="32"/>
          <w:highlight w:val="none"/>
          <w:u w:val="none"/>
          <w:lang w:val="en-US" w:eastAsia="zh-CN"/>
          <w14:textFill>
            <w14:solidFill>
              <w14:schemeClr w14:val="tx1"/>
            </w14:solidFill>
          </w14:textFill>
        </w:rPr>
        <w:t xml:space="preserve"> </w:t>
      </w:r>
      <w:r>
        <w:rPr>
          <w:rFonts w:hint="eastAsia" w:eastAsia="仿宋_GB2312"/>
          <w:color w:val="000000" w:themeColor="text1"/>
          <w:sz w:val="32"/>
          <w:szCs w:val="32"/>
          <w:highlight w:val="none"/>
          <w:u w:val="none"/>
          <w14:textFill>
            <w14:solidFill>
              <w14:schemeClr w14:val="tx1"/>
            </w14:solidFill>
          </w14:textFill>
        </w:rPr>
        <w:t>享受本办法优惠政策的总部企业，应承诺自</w:t>
      </w:r>
      <w:r>
        <w:rPr>
          <w:rFonts w:hint="eastAsia" w:eastAsia="仿宋_GB2312"/>
          <w:color w:val="000000" w:themeColor="text1"/>
          <w:sz w:val="32"/>
          <w:szCs w:val="32"/>
          <w:highlight w:val="none"/>
          <w:u w:val="none"/>
          <w:lang w:val="en-US" w:eastAsia="zh-CN"/>
          <w14:textFill>
            <w14:solidFill>
              <w14:schemeClr w14:val="tx1"/>
            </w14:solidFill>
          </w14:textFill>
        </w:rPr>
        <w:t>享受最后一次资金扶持</w:t>
      </w:r>
      <w:r>
        <w:rPr>
          <w:rFonts w:hint="eastAsia" w:eastAsia="仿宋_GB2312"/>
          <w:color w:val="000000" w:themeColor="text1"/>
          <w:sz w:val="32"/>
          <w:szCs w:val="32"/>
          <w:highlight w:val="none"/>
          <w:u w:val="none"/>
          <w14:textFill>
            <w14:solidFill>
              <w14:schemeClr w14:val="tx1"/>
            </w14:solidFill>
          </w14:textFill>
        </w:rPr>
        <w:t>之日起在区经营期不少于</w:t>
      </w:r>
      <w:r>
        <w:rPr>
          <w:rFonts w:hint="eastAsia" w:ascii="仿宋_GB2312" w:eastAsia="仿宋_GB2312"/>
          <w:color w:val="000000" w:themeColor="text1"/>
          <w:sz w:val="32"/>
          <w:szCs w:val="32"/>
          <w:highlight w:val="none"/>
          <w:u w:val="none"/>
          <w:lang w:val="en-US" w:eastAsia="zh-CN"/>
          <w14:textFill>
            <w14:solidFill>
              <w14:schemeClr w14:val="tx1"/>
            </w14:solidFill>
          </w14:textFill>
        </w:rPr>
        <w:t>5</w:t>
      </w:r>
      <w:r>
        <w:rPr>
          <w:rFonts w:hint="eastAsia" w:eastAsia="仿宋_GB2312"/>
          <w:color w:val="000000" w:themeColor="text1"/>
          <w:sz w:val="32"/>
          <w:szCs w:val="32"/>
          <w:highlight w:val="none"/>
          <w:u w:val="none"/>
          <w14:textFill>
            <w14:solidFill>
              <w14:schemeClr w14:val="tx1"/>
            </w14:solidFill>
          </w14:textFill>
        </w:rPr>
        <w:t>年</w:t>
      </w:r>
      <w:r>
        <w:rPr>
          <w:rFonts w:hint="eastAsia" w:eastAsia="仿宋_GB2312"/>
          <w:color w:val="000000" w:themeColor="text1"/>
          <w:sz w:val="32"/>
          <w:szCs w:val="32"/>
          <w:highlight w:val="none"/>
          <w:u w:val="none"/>
          <w:lang w:eastAsia="zh-CN"/>
          <w14:textFill>
            <w14:solidFill>
              <w14:schemeClr w14:val="tx1"/>
            </w14:solidFill>
          </w14:textFill>
        </w:rPr>
        <w:t>。</w:t>
      </w:r>
    </w:p>
    <w:p>
      <w:pPr>
        <w:adjustRightInd w:val="0"/>
        <w:snapToGrid w:val="0"/>
        <w:spacing w:before="0" w:beforeLines="0" w:line="560" w:lineRule="exact"/>
        <w:ind w:firstLine="624" w:firstLineChars="200"/>
        <w:jc w:val="left"/>
        <w:rPr>
          <w:rFonts w:hint="eastAsia" w:eastAsia="仿宋_GB2312"/>
          <w:color w:val="000000" w:themeColor="text1"/>
          <w:spacing w:val="-4"/>
          <w:kern w:val="0"/>
          <w:sz w:val="32"/>
          <w:szCs w:val="32"/>
          <w:highlight w:val="none"/>
          <w:u w:val="none"/>
          <w14:textFill>
            <w14:solidFill>
              <w14:schemeClr w14:val="tx1"/>
            </w14:solidFill>
          </w14:textFill>
        </w:rPr>
      </w:pP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根据本办法第五条（二）（五）款规定条件享受支持政策的总部企业，须按期全面履行有关承诺。</w:t>
      </w:r>
      <w:r>
        <w:rPr>
          <w:rFonts w:hint="eastAsia" w:eastAsia="仿宋_GB2312"/>
          <w:color w:val="000000" w:themeColor="text1"/>
          <w:spacing w:val="-4"/>
          <w:kern w:val="0"/>
          <w:sz w:val="32"/>
          <w:szCs w:val="32"/>
          <w:highlight w:val="none"/>
          <w:u w:val="none"/>
          <w14:textFill>
            <w14:solidFill>
              <w14:schemeClr w14:val="tx1"/>
            </w14:solidFill>
          </w14:textFill>
        </w:rPr>
        <w:t>违反承诺的，</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终止</w:t>
      </w:r>
      <w:r>
        <w:rPr>
          <w:rFonts w:hint="eastAsia" w:eastAsia="仿宋_GB2312"/>
          <w:color w:val="000000" w:themeColor="text1"/>
          <w:spacing w:val="-4"/>
          <w:kern w:val="0"/>
          <w:sz w:val="32"/>
          <w:szCs w:val="32"/>
          <w:highlight w:val="none"/>
          <w:u w:val="none"/>
          <w14:textFill>
            <w14:solidFill>
              <w14:schemeClr w14:val="tx1"/>
            </w14:solidFill>
          </w14:textFill>
        </w:rPr>
        <w:t>其享受的有关优惠政策</w:t>
      </w:r>
      <w:r>
        <w:rPr>
          <w:rFonts w:hint="eastAsia" w:eastAsia="仿宋_GB2312"/>
          <w:color w:val="000000" w:themeColor="text1"/>
          <w:spacing w:val="-4"/>
          <w:kern w:val="0"/>
          <w:sz w:val="32"/>
          <w:szCs w:val="32"/>
          <w:highlight w:val="none"/>
          <w:u w:val="none"/>
          <w:lang w:eastAsia="zh-CN"/>
          <w14:textFill>
            <w14:solidFill>
              <w14:schemeClr w14:val="tx1"/>
            </w14:solidFill>
          </w14:textFill>
        </w:rPr>
        <w:t>，</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责令退回已获得的补助，</w:t>
      </w:r>
      <w:r>
        <w:rPr>
          <w:rFonts w:hint="eastAsia" w:eastAsia="仿宋_GB2312"/>
          <w:color w:val="000000" w:themeColor="text1"/>
          <w:spacing w:val="-4"/>
          <w:kern w:val="0"/>
          <w:sz w:val="32"/>
          <w:szCs w:val="32"/>
          <w:highlight w:val="none"/>
          <w:u w:val="none"/>
          <w14:textFill>
            <w14:solidFill>
              <w14:schemeClr w14:val="tx1"/>
            </w14:solidFill>
          </w14:textFill>
        </w:rPr>
        <w:t>并</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依法</w:t>
      </w:r>
      <w:r>
        <w:rPr>
          <w:rFonts w:hint="eastAsia" w:eastAsia="仿宋_GB2312"/>
          <w:color w:val="000000" w:themeColor="text1"/>
          <w:spacing w:val="-4"/>
          <w:kern w:val="0"/>
          <w:sz w:val="32"/>
          <w:szCs w:val="32"/>
          <w:highlight w:val="none"/>
          <w:u w:val="none"/>
          <w14:textFill>
            <w14:solidFill>
              <w14:schemeClr w14:val="tx1"/>
            </w14:solidFill>
          </w14:textFill>
        </w:rPr>
        <w:t>将其失信行为</w:t>
      </w: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依法</w:t>
      </w:r>
      <w:r>
        <w:rPr>
          <w:rFonts w:hint="eastAsia" w:eastAsia="仿宋_GB2312"/>
          <w:color w:val="000000" w:themeColor="text1"/>
          <w:spacing w:val="-4"/>
          <w:kern w:val="0"/>
          <w:sz w:val="32"/>
          <w:szCs w:val="32"/>
          <w:highlight w:val="none"/>
          <w:u w:val="none"/>
          <w14:textFill>
            <w14:solidFill>
              <w14:schemeClr w14:val="tx1"/>
            </w14:solidFill>
          </w14:textFill>
        </w:rPr>
        <w:t>纳入企业信用信息。</w:t>
      </w:r>
    </w:p>
    <w:p>
      <w:pPr>
        <w:adjustRightInd w:val="0"/>
        <w:snapToGrid w:val="0"/>
        <w:spacing w:before="0" w:beforeLines="0" w:line="560" w:lineRule="exact"/>
        <w:ind w:firstLine="624" w:firstLineChars="200"/>
        <w:jc w:val="left"/>
        <w:rPr>
          <w:rFonts w:hint="eastAsia" w:eastAsia="仿宋_GB2312"/>
          <w:color w:val="000000" w:themeColor="text1"/>
          <w:spacing w:val="-4"/>
          <w:kern w:val="0"/>
          <w:sz w:val="32"/>
          <w:szCs w:val="32"/>
          <w:highlight w:val="none"/>
          <w:u w:val="none"/>
          <w14:textFill>
            <w14:solidFill>
              <w14:schemeClr w14:val="tx1"/>
            </w14:solidFill>
          </w14:textFill>
        </w:rPr>
      </w:pPr>
      <w:r>
        <w:rPr>
          <w:rFonts w:hint="eastAsia" w:eastAsia="仿宋_GB2312"/>
          <w:color w:val="000000" w:themeColor="text1"/>
          <w:spacing w:val="-4"/>
          <w:kern w:val="0"/>
          <w:sz w:val="32"/>
          <w:szCs w:val="32"/>
          <w:highlight w:val="none"/>
          <w:u w:val="none"/>
          <w14:textFill>
            <w14:solidFill>
              <w14:schemeClr w14:val="tx1"/>
            </w14:solidFill>
          </w14:textFill>
        </w:rPr>
        <w:t>总部企业在享受补助期间，对受补助的研发办公和生产场地不得出（转）租出售，不得改变用途。享受购房补助的研发办公和生产场地，在</w:t>
      </w:r>
      <w:r>
        <w:rPr>
          <w:rFonts w:hint="eastAsia" w:eastAsia="仿宋_GB2312"/>
          <w:b w:val="0"/>
          <w:bCs w:val="0"/>
          <w:i w:val="0"/>
          <w:iCs w:val="0"/>
          <w:color w:val="000000" w:themeColor="text1"/>
          <w:spacing w:val="-4"/>
          <w:kern w:val="0"/>
          <w:sz w:val="32"/>
          <w:szCs w:val="32"/>
          <w:highlight w:val="none"/>
          <w:u w:val="none"/>
          <w14:textFill>
            <w14:solidFill>
              <w14:schemeClr w14:val="tx1"/>
            </w14:solidFill>
          </w14:textFill>
        </w:rPr>
        <w:t>购房</w:t>
      </w:r>
      <w:r>
        <w:rPr>
          <w:rFonts w:hint="eastAsia" w:ascii="仿宋_GB2312" w:hAnsi="仿宋_GB2312" w:eastAsia="仿宋_GB2312" w:cs="仿宋_GB2312"/>
          <w:b w:val="0"/>
          <w:bCs w:val="0"/>
          <w:i w:val="0"/>
          <w:iCs w:val="0"/>
          <w:color w:val="000000" w:themeColor="text1"/>
          <w:spacing w:val="-4"/>
          <w:kern w:val="0"/>
          <w:sz w:val="32"/>
          <w:szCs w:val="32"/>
          <w:highlight w:val="none"/>
          <w:u w:val="none"/>
          <w:lang w:val="en-US" w:eastAsia="zh-CN"/>
          <w14:textFill>
            <w14:solidFill>
              <w14:schemeClr w14:val="tx1"/>
            </w14:solidFill>
          </w14:textFill>
        </w:rPr>
        <w:t>5</w:t>
      </w:r>
      <w:r>
        <w:rPr>
          <w:rFonts w:hint="eastAsia" w:ascii="仿宋_GB2312" w:eastAsia="仿宋_GB2312"/>
          <w:b w:val="0"/>
          <w:bCs w:val="0"/>
          <w:i w:val="0"/>
          <w:iCs w:val="0"/>
          <w:color w:val="000000" w:themeColor="text1"/>
          <w:spacing w:val="-4"/>
          <w:kern w:val="0"/>
          <w:sz w:val="32"/>
          <w:szCs w:val="32"/>
          <w:highlight w:val="none"/>
          <w:u w:val="none"/>
          <w14:textFill>
            <w14:solidFill>
              <w14:schemeClr w14:val="tx1"/>
            </w14:solidFill>
          </w14:textFill>
        </w:rPr>
        <w:t>年</w:t>
      </w:r>
      <w:r>
        <w:rPr>
          <w:rFonts w:hint="eastAsia" w:eastAsia="仿宋_GB2312"/>
          <w:b w:val="0"/>
          <w:bCs w:val="0"/>
          <w:i w:val="0"/>
          <w:iCs w:val="0"/>
          <w:color w:val="000000" w:themeColor="text1"/>
          <w:spacing w:val="-4"/>
          <w:kern w:val="0"/>
          <w:sz w:val="32"/>
          <w:szCs w:val="32"/>
          <w:highlight w:val="none"/>
          <w:u w:val="none"/>
          <w14:textFill>
            <w14:solidFill>
              <w14:schemeClr w14:val="tx1"/>
            </w14:solidFill>
          </w14:textFill>
        </w:rPr>
        <w:t>内</w:t>
      </w:r>
      <w:r>
        <w:rPr>
          <w:rFonts w:hint="eastAsia" w:eastAsia="仿宋_GB2312"/>
          <w:color w:val="000000" w:themeColor="text1"/>
          <w:spacing w:val="-4"/>
          <w:kern w:val="0"/>
          <w:sz w:val="32"/>
          <w:szCs w:val="32"/>
          <w:highlight w:val="none"/>
          <w:u w:val="none"/>
          <w14:textFill>
            <w14:solidFill>
              <w14:schemeClr w14:val="tx1"/>
            </w14:solidFill>
          </w14:textFill>
        </w:rPr>
        <w:t>不得出售、出租或改变用途，违反规定的，责令退回已获得的补助，</w:t>
      </w:r>
      <w:r>
        <w:rPr>
          <w:rFonts w:hint="eastAsia" w:eastAsia="仿宋_GB2312"/>
          <w:bCs/>
          <w:color w:val="000000" w:themeColor="text1"/>
          <w:spacing w:val="-4"/>
          <w:kern w:val="0"/>
          <w:sz w:val="32"/>
          <w:szCs w:val="32"/>
          <w:highlight w:val="none"/>
          <w:u w:val="none"/>
          <w:lang w:val="en-US" w:eastAsia="zh-CN"/>
          <w14:textFill>
            <w14:solidFill>
              <w14:schemeClr w14:val="tx1"/>
            </w14:solidFill>
          </w14:textFill>
        </w:rPr>
        <w:t>依法</w:t>
      </w:r>
      <w:r>
        <w:rPr>
          <w:rFonts w:hint="eastAsia" w:eastAsia="仿宋_GB2312"/>
          <w:color w:val="000000" w:themeColor="text1"/>
          <w:sz w:val="32"/>
          <w:szCs w:val="32"/>
          <w:highlight w:val="none"/>
          <w:u w:val="none"/>
          <w14:textFill>
            <w14:solidFill>
              <w14:schemeClr w14:val="tx1"/>
            </w14:solidFill>
          </w14:textFill>
        </w:rPr>
        <w:t>将其失信行为纳入企业信用信息</w:t>
      </w:r>
      <w:r>
        <w:rPr>
          <w:rFonts w:hint="eastAsia" w:eastAsia="仿宋_GB2312"/>
          <w:color w:val="000000" w:themeColor="text1"/>
          <w:spacing w:val="-4"/>
          <w:kern w:val="0"/>
          <w:sz w:val="32"/>
          <w:szCs w:val="32"/>
          <w:highlight w:val="none"/>
          <w:u w:val="none"/>
          <w14:textFill>
            <w14:solidFill>
              <w14:schemeClr w14:val="tx1"/>
            </w14:solidFill>
          </w14:textFill>
        </w:rPr>
        <w:t>。如确因提高房产利用效率而需出（转）租出售的，事前需向总部办申请，按</w:t>
      </w:r>
      <w:r>
        <w:rPr>
          <w:rFonts w:hint="eastAsia" w:eastAsia="仿宋_GB2312"/>
          <w:bCs/>
          <w:color w:val="000000" w:themeColor="text1"/>
          <w:spacing w:val="-4"/>
          <w:kern w:val="0"/>
          <w:sz w:val="32"/>
          <w:szCs w:val="32"/>
          <w:highlight w:val="none"/>
          <w:u w:val="none"/>
          <w:lang w:val="en-US" w:eastAsia="zh-CN"/>
          <w14:textFill>
            <w14:solidFill>
              <w14:schemeClr w14:val="tx1"/>
            </w14:solidFill>
          </w14:textFill>
        </w:rPr>
        <w:t>面积</w:t>
      </w:r>
      <w:r>
        <w:rPr>
          <w:rFonts w:hint="eastAsia" w:eastAsia="仿宋_GB2312"/>
          <w:color w:val="000000" w:themeColor="text1"/>
          <w:spacing w:val="-4"/>
          <w:kern w:val="0"/>
          <w:sz w:val="32"/>
          <w:szCs w:val="32"/>
          <w:highlight w:val="none"/>
          <w:u w:val="none"/>
          <w14:textFill>
            <w14:solidFill>
              <w14:schemeClr w14:val="tx1"/>
            </w14:solidFill>
          </w14:textFill>
        </w:rPr>
        <w:t>比例退回所享受的补助资金。</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eastAsia="仿宋_GB2312"/>
          <w:color w:val="000000" w:themeColor="text1"/>
          <w:spacing w:val="-4"/>
          <w:kern w:val="0"/>
          <w:sz w:val="32"/>
          <w:szCs w:val="32"/>
          <w:highlight w:val="none"/>
          <w:u w:val="none"/>
          <w14:textFill>
            <w14:solidFill>
              <w14:schemeClr w14:val="tx1"/>
            </w14:solidFill>
          </w14:textFill>
        </w:rPr>
      </w:pPr>
      <w:r>
        <w:rPr>
          <w:rFonts w:hint="eastAsia" w:ascii="仿宋_GB2312" w:eastAsia="仿宋_GB2312"/>
          <w:color w:val="000000" w:themeColor="text1"/>
          <w:sz w:val="32"/>
          <w:szCs w:val="32"/>
          <w:highlight w:val="none"/>
          <w:u w:val="none"/>
          <w:lang w:val="en-US" w:eastAsia="zh-CN"/>
          <w14:textFill>
            <w14:solidFill>
              <w14:schemeClr w14:val="tx1"/>
            </w14:solidFill>
          </w14:textFill>
        </w:rPr>
        <w:t xml:space="preserve"> </w:t>
      </w:r>
      <w:r>
        <w:rPr>
          <w:rFonts w:hint="eastAsia" w:ascii="仿宋_GB2312" w:eastAsia="仿宋_GB2312"/>
          <w:color w:val="000000" w:themeColor="text1"/>
          <w:sz w:val="32"/>
          <w:szCs w:val="32"/>
          <w:highlight w:val="none"/>
          <w:u w:val="none"/>
          <w14:textFill>
            <w14:solidFill>
              <w14:schemeClr w14:val="tx1"/>
            </w14:solidFill>
          </w14:textFill>
        </w:rPr>
        <w:t>企业存在以下情况不予资助：</w:t>
      </w:r>
      <w:r>
        <w:rPr>
          <w:rFonts w:hint="eastAsia" w:ascii="仿宋_GB2312" w:eastAsia="仿宋_GB2312"/>
          <w:color w:val="000000" w:themeColor="text1"/>
          <w:sz w:val="32"/>
          <w:szCs w:val="32"/>
          <w:highlight w:val="none"/>
          <w:u w:val="none"/>
          <w:lang w:val="en-US" w:eastAsia="zh-CN"/>
          <w14:textFill>
            <w14:solidFill>
              <w14:schemeClr w14:val="tx1"/>
            </w14:solidFill>
          </w14:textFill>
        </w:rPr>
        <w:t>近三年内（总部办组织相关单位核查申报资助企业安全生产、市场监管、财税等方面问题之日的前三年），</w:t>
      </w:r>
      <w:r>
        <w:rPr>
          <w:rFonts w:hint="eastAsia" w:ascii="仿宋_GB2312" w:eastAsia="仿宋_GB2312"/>
          <w:color w:val="000000" w:themeColor="text1"/>
          <w:sz w:val="32"/>
          <w:szCs w:val="32"/>
          <w:highlight w:val="none"/>
          <w:u w:val="none"/>
          <w14:textFill>
            <w14:solidFill>
              <w14:schemeClr w14:val="tx1"/>
            </w14:solidFill>
          </w14:textFill>
        </w:rPr>
        <w:t>生产经营过程中，涉及重大诉讼或者仲裁且可能影响其生产经营活动的</w:t>
      </w:r>
      <w:r>
        <w:rPr>
          <w:rFonts w:hint="eastAsia" w:ascii="仿宋_GB2312" w:eastAsia="仿宋_GB2312"/>
          <w:color w:val="000000" w:themeColor="text1"/>
          <w:sz w:val="32"/>
          <w:szCs w:val="32"/>
          <w:highlight w:val="none"/>
          <w:u w:val="none"/>
          <w:lang w:eastAsia="zh-CN"/>
          <w14:textFill>
            <w14:solidFill>
              <w14:schemeClr w14:val="tx1"/>
            </w14:solidFill>
          </w14:textFill>
        </w:rPr>
        <w:t>。</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eastAsia="仿宋_GB2312"/>
          <w:color w:val="000000" w:themeColor="text1"/>
          <w:spacing w:val="-4"/>
          <w:kern w:val="0"/>
          <w:sz w:val="32"/>
          <w:szCs w:val="32"/>
          <w:highlight w:val="none"/>
          <w:u w:val="none"/>
          <w14:textFill>
            <w14:solidFill>
              <w14:schemeClr w14:val="tx1"/>
            </w14:solidFill>
          </w14:textFill>
        </w:rPr>
      </w:pP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 xml:space="preserve"> 企业在认定和扶持过程中弄虚作假、采取欺骗手段的，经查证属实，不予认定及扶持，已取得总部企业资格的取消其资格，并依法将其失信行为纳入企业信用信息，采取停止拨付扶持资金、追偿资金等措施。情节严重，触犯法律法规的，依照有关法律法规处理。</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eastAsia="仿宋_GB2312"/>
          <w:color w:val="000000" w:themeColor="text1"/>
          <w:spacing w:val="-4"/>
          <w:kern w:val="0"/>
          <w:sz w:val="32"/>
          <w:szCs w:val="32"/>
          <w:highlight w:val="none"/>
          <w:u w:val="none"/>
          <w14:textFill>
            <w14:solidFill>
              <w14:schemeClr w14:val="tx1"/>
            </w14:solidFill>
          </w14:textFill>
        </w:rPr>
      </w:pPr>
      <w:r>
        <w:rPr>
          <w:rFonts w:hint="eastAsia" w:ascii="仿宋_GB2312" w:eastAsia="仿宋_GB2312"/>
          <w:color w:val="000000" w:themeColor="text1"/>
          <w:sz w:val="32"/>
          <w:szCs w:val="32"/>
          <w:highlight w:val="none"/>
          <w:u w:val="none"/>
          <w:lang w:val="en-US" w:eastAsia="zh-CN"/>
          <w14:textFill>
            <w14:solidFill>
              <w14:schemeClr w14:val="tx1"/>
            </w14:solidFill>
          </w14:textFill>
        </w:rPr>
        <w:t xml:space="preserve"> </w:t>
      </w:r>
      <w:r>
        <w:rPr>
          <w:rFonts w:hint="eastAsia" w:ascii="仿宋_GB2312" w:eastAsia="仿宋_GB2312"/>
          <w:color w:val="000000" w:themeColor="text1"/>
          <w:sz w:val="32"/>
          <w:szCs w:val="32"/>
          <w:highlight w:val="none"/>
          <w:u w:val="none"/>
          <w14:textFill>
            <w14:solidFill>
              <w14:schemeClr w14:val="tx1"/>
            </w14:solidFill>
          </w14:textFill>
        </w:rPr>
        <w:t>区总部办应会同区相关部门开展总部经济发展专项资金</w:t>
      </w:r>
      <w:r>
        <w:rPr>
          <w:rFonts w:hint="eastAsia" w:ascii="仿宋_GB2312" w:eastAsia="仿宋_GB2312"/>
          <w:color w:val="000000" w:themeColor="text1"/>
          <w:sz w:val="32"/>
          <w:szCs w:val="32"/>
          <w:highlight w:val="none"/>
          <w:u w:val="none"/>
          <w:lang w:val="en-US" w:eastAsia="zh-CN"/>
          <w14:textFill>
            <w14:solidFill>
              <w14:schemeClr w14:val="tx1"/>
            </w14:solidFill>
          </w14:textFill>
        </w:rPr>
        <w:t>绩效评价</w:t>
      </w:r>
      <w:r>
        <w:rPr>
          <w:rFonts w:hint="eastAsia" w:ascii="仿宋_GB2312" w:eastAsia="仿宋_GB2312"/>
          <w:color w:val="000000" w:themeColor="text1"/>
          <w:sz w:val="32"/>
          <w:szCs w:val="32"/>
          <w:highlight w:val="none"/>
          <w:u w:val="none"/>
          <w14:textFill>
            <w14:solidFill>
              <w14:schemeClr w14:val="tx1"/>
            </w14:solidFill>
          </w14:textFill>
        </w:rPr>
        <w:t>工作，</w:t>
      </w:r>
      <w:r>
        <w:rPr>
          <w:rFonts w:hint="eastAsia" w:ascii="仿宋_GB2312" w:eastAsia="仿宋_GB2312"/>
          <w:color w:val="000000" w:themeColor="text1"/>
          <w:sz w:val="32"/>
          <w:szCs w:val="32"/>
          <w:highlight w:val="none"/>
          <w:u w:val="none"/>
          <w:lang w:val="en-US" w:eastAsia="zh-CN"/>
          <w14:textFill>
            <w14:solidFill>
              <w14:schemeClr w14:val="tx1"/>
            </w14:solidFill>
          </w14:textFill>
        </w:rPr>
        <w:t>定期</w:t>
      </w:r>
      <w:r>
        <w:rPr>
          <w:rFonts w:hint="eastAsia" w:ascii="仿宋_GB2312" w:eastAsia="仿宋_GB2312"/>
          <w:color w:val="000000" w:themeColor="text1"/>
          <w:sz w:val="32"/>
          <w:szCs w:val="32"/>
          <w:highlight w:val="none"/>
          <w:u w:val="none"/>
          <w14:textFill>
            <w14:solidFill>
              <w14:schemeClr w14:val="tx1"/>
            </w14:solidFill>
          </w14:textFill>
        </w:rPr>
        <w:t>检查总部经济政策执行情况，提出区总部经济发展评估报告。</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630" w:leftChars="0"/>
        <w:textAlignment w:val="auto"/>
        <w:rPr>
          <w:rFonts w:eastAsia="仿宋_GB2312"/>
          <w:color w:val="000000" w:themeColor="text1"/>
          <w:spacing w:val="-4"/>
          <w:kern w:val="0"/>
          <w:sz w:val="32"/>
          <w:szCs w:val="32"/>
          <w:highlight w:val="none"/>
          <w:u w:val="none"/>
          <w14:textFill>
            <w14:solidFill>
              <w14:schemeClr w14:val="tx1"/>
            </w14:solidFill>
          </w14:textFill>
        </w:rPr>
      </w:pPr>
    </w:p>
    <w:p>
      <w:pPr>
        <w:adjustRightInd w:val="0"/>
        <w:snapToGrid w:val="0"/>
        <w:spacing w:before="0" w:beforeLines="0" w:line="560" w:lineRule="exact"/>
        <w:jc w:val="center"/>
        <w:rPr>
          <w:rFonts w:hint="eastAsia" w:ascii="黑体" w:eastAsia="黑体"/>
          <w:b w:val="0"/>
          <w:bCs/>
          <w:color w:val="000000" w:themeColor="text1"/>
          <w:spacing w:val="-4"/>
          <w:kern w:val="0"/>
          <w:sz w:val="32"/>
          <w:szCs w:val="32"/>
          <w:highlight w:val="none"/>
          <w:u w:val="none"/>
          <w14:textFill>
            <w14:solidFill>
              <w14:schemeClr w14:val="tx1"/>
            </w14:solidFill>
          </w14:textFill>
        </w:rPr>
      </w:pPr>
      <w:r>
        <w:rPr>
          <w:rFonts w:hint="eastAsia" w:ascii="黑体" w:eastAsia="黑体"/>
          <w:b w:val="0"/>
          <w:bCs/>
          <w:color w:val="000000" w:themeColor="text1"/>
          <w:spacing w:val="-4"/>
          <w:kern w:val="0"/>
          <w:sz w:val="32"/>
          <w:szCs w:val="32"/>
          <w:highlight w:val="none"/>
          <w:u w:val="none"/>
          <w14:textFill>
            <w14:solidFill>
              <w14:schemeClr w14:val="tx1"/>
            </w14:solidFill>
          </w14:textFill>
        </w:rPr>
        <w:t>第</w:t>
      </w:r>
      <w:r>
        <w:rPr>
          <w:rFonts w:hint="eastAsia" w:ascii="黑体" w:eastAsia="黑体"/>
          <w:b w:val="0"/>
          <w:bCs/>
          <w:color w:val="000000" w:themeColor="text1"/>
          <w:spacing w:val="-4"/>
          <w:kern w:val="0"/>
          <w:sz w:val="32"/>
          <w:szCs w:val="32"/>
          <w:highlight w:val="none"/>
          <w:u w:val="none"/>
          <w:lang w:val="en-US" w:eastAsia="zh-CN"/>
          <w14:textFill>
            <w14:solidFill>
              <w14:schemeClr w14:val="tx1"/>
            </w14:solidFill>
          </w14:textFill>
        </w:rPr>
        <w:t>五</w:t>
      </w:r>
      <w:r>
        <w:rPr>
          <w:rFonts w:hint="eastAsia" w:ascii="黑体" w:eastAsia="黑体"/>
          <w:b w:val="0"/>
          <w:bCs/>
          <w:color w:val="000000" w:themeColor="text1"/>
          <w:spacing w:val="-4"/>
          <w:kern w:val="0"/>
          <w:sz w:val="32"/>
          <w:szCs w:val="32"/>
          <w:highlight w:val="none"/>
          <w:u w:val="none"/>
          <w14:textFill>
            <w14:solidFill>
              <w14:schemeClr w14:val="tx1"/>
            </w14:solidFill>
          </w14:textFill>
        </w:rPr>
        <w:t xml:space="preserve">章 </w:t>
      </w:r>
      <w:r>
        <w:rPr>
          <w:rFonts w:hint="eastAsia" w:ascii="黑体" w:eastAsia="黑体"/>
          <w:b w:val="0"/>
          <w:bCs/>
          <w:color w:val="000000" w:themeColor="text1"/>
          <w:spacing w:val="-4"/>
          <w:kern w:val="0"/>
          <w:sz w:val="32"/>
          <w:szCs w:val="32"/>
          <w:highlight w:val="none"/>
          <w:u w:val="none"/>
          <w:lang w:val="en-US" w:eastAsia="zh-CN"/>
          <w14:textFill>
            <w14:solidFill>
              <w14:schemeClr w14:val="tx1"/>
            </w14:solidFill>
          </w14:textFill>
        </w:rPr>
        <w:t xml:space="preserve"> </w:t>
      </w:r>
      <w:r>
        <w:rPr>
          <w:rFonts w:hint="eastAsia" w:ascii="黑体" w:eastAsia="黑体"/>
          <w:b w:val="0"/>
          <w:bCs/>
          <w:color w:val="000000" w:themeColor="text1"/>
          <w:spacing w:val="-4"/>
          <w:kern w:val="0"/>
          <w:sz w:val="32"/>
          <w:szCs w:val="32"/>
          <w:highlight w:val="none"/>
          <w:u w:val="none"/>
          <w14:textFill>
            <w14:solidFill>
              <w14:schemeClr w14:val="tx1"/>
            </w14:solidFill>
          </w14:textFill>
        </w:rPr>
        <w:t>附</w:t>
      </w:r>
      <w:r>
        <w:rPr>
          <w:rFonts w:hint="eastAsia" w:ascii="黑体" w:eastAsia="黑体"/>
          <w:b w:val="0"/>
          <w:bCs/>
          <w:color w:val="000000" w:themeColor="text1"/>
          <w:spacing w:val="-4"/>
          <w:kern w:val="0"/>
          <w:sz w:val="32"/>
          <w:szCs w:val="32"/>
          <w:highlight w:val="none"/>
          <w:u w:val="none"/>
          <w:lang w:val="en-US" w:eastAsia="zh-CN"/>
          <w14:textFill>
            <w14:solidFill>
              <w14:schemeClr w14:val="tx1"/>
            </w14:solidFill>
          </w14:textFill>
        </w:rPr>
        <w:t xml:space="preserve">  </w:t>
      </w:r>
      <w:r>
        <w:rPr>
          <w:rFonts w:hint="eastAsia" w:ascii="黑体" w:eastAsia="黑体"/>
          <w:b w:val="0"/>
          <w:bCs/>
          <w:color w:val="000000" w:themeColor="text1"/>
          <w:spacing w:val="-4"/>
          <w:kern w:val="0"/>
          <w:sz w:val="32"/>
          <w:szCs w:val="32"/>
          <w:highlight w:val="none"/>
          <w:u w:val="none"/>
          <w14:textFill>
            <w14:solidFill>
              <w14:schemeClr w14:val="tx1"/>
            </w14:solidFill>
          </w14:textFill>
        </w:rPr>
        <w:t>则</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both"/>
        <w:textAlignment w:val="auto"/>
        <w:rPr>
          <w:rFonts w:eastAsia="仿宋_GB2312"/>
          <w:color w:val="000000" w:themeColor="text1"/>
          <w:spacing w:val="-4"/>
          <w:kern w:val="0"/>
          <w:sz w:val="32"/>
          <w:szCs w:val="32"/>
          <w:highlight w:val="none"/>
          <w:u w:val="none"/>
          <w14:textFill>
            <w14:solidFill>
              <w14:schemeClr w14:val="tx1"/>
            </w14:solidFill>
          </w14:textFill>
        </w:rPr>
      </w:pP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eastAsia="仿宋_GB2312"/>
          <w:color w:val="000000" w:themeColor="text1"/>
          <w:spacing w:val="-4"/>
          <w:kern w:val="0"/>
          <w:sz w:val="32"/>
          <w:szCs w:val="32"/>
          <w:highlight w:val="none"/>
          <w:u w:val="none"/>
          <w14:textFill>
            <w14:solidFill>
              <w14:schemeClr w14:val="tx1"/>
            </w14:solidFill>
          </w14:textFill>
        </w:rPr>
      </w:pPr>
      <w:r>
        <w:rPr>
          <w:rFonts w:hint="eastAsia" w:eastAsia="仿宋_GB2312"/>
          <w:color w:val="000000" w:themeColor="text1"/>
          <w:spacing w:val="-4"/>
          <w:kern w:val="2"/>
          <w:sz w:val="32"/>
          <w:szCs w:val="32"/>
          <w:highlight w:val="none"/>
          <w:u w:val="none"/>
          <w:lang w:val="en-US" w:eastAsia="zh-CN"/>
          <w14:textFill>
            <w14:solidFill>
              <w14:schemeClr w14:val="tx1"/>
            </w14:solidFill>
          </w14:textFill>
        </w:rPr>
        <w:t xml:space="preserve"> </w:t>
      </w:r>
      <w:r>
        <w:rPr>
          <w:rFonts w:hint="eastAsia" w:ascii="Calibri" w:eastAsia="仿宋_GB2312"/>
          <w:color w:val="000000" w:themeColor="text1"/>
          <w:spacing w:val="-4"/>
          <w:kern w:val="2"/>
          <w:sz w:val="32"/>
          <w:szCs w:val="32"/>
          <w:highlight w:val="none"/>
          <w:u w:val="none"/>
          <w:lang w:val="en-US" w:eastAsia="zh-CN"/>
          <w14:textFill>
            <w14:solidFill>
              <w14:schemeClr w14:val="tx1"/>
            </w14:solidFill>
          </w14:textFill>
        </w:rPr>
        <w:t>本办法所称</w:t>
      </w:r>
      <w:r>
        <w:rPr>
          <w:rFonts w:hint="eastAsia" w:eastAsia="仿宋_GB2312"/>
          <w:color w:val="000000" w:themeColor="text1"/>
          <w:spacing w:val="-4"/>
          <w:kern w:val="2"/>
          <w:sz w:val="32"/>
          <w:szCs w:val="32"/>
          <w:highlight w:val="none"/>
          <w:u w:val="none"/>
          <w:lang w:val="en-US" w:eastAsia="zh-CN"/>
          <w14:textFill>
            <w14:solidFill>
              <w14:schemeClr w14:val="tx1"/>
            </w14:solidFill>
          </w14:textFill>
        </w:rPr>
        <w:t>“在龙华区</w:t>
      </w:r>
      <w:r>
        <w:rPr>
          <w:rFonts w:hint="eastAsia" w:ascii="Calibri" w:eastAsia="仿宋_GB2312"/>
          <w:color w:val="000000" w:themeColor="text1"/>
          <w:spacing w:val="-4"/>
          <w:kern w:val="2"/>
          <w:sz w:val="32"/>
          <w:szCs w:val="32"/>
          <w:highlight w:val="none"/>
          <w:u w:val="none"/>
          <w:lang w:val="en-US" w:eastAsia="zh-CN"/>
          <w14:textFill>
            <w14:solidFill>
              <w14:schemeClr w14:val="tx1"/>
            </w14:solidFill>
          </w14:textFill>
        </w:rPr>
        <w:t>注册</w:t>
      </w:r>
      <w:r>
        <w:rPr>
          <w:rFonts w:hint="eastAsia" w:eastAsia="仿宋_GB2312"/>
          <w:color w:val="000000" w:themeColor="text1"/>
          <w:spacing w:val="-4"/>
          <w:kern w:val="2"/>
          <w:sz w:val="32"/>
          <w:szCs w:val="32"/>
          <w:highlight w:val="none"/>
          <w:u w:val="none"/>
          <w:lang w:val="en-US" w:eastAsia="zh-CN"/>
          <w14:textFill>
            <w14:solidFill>
              <w14:schemeClr w14:val="tx1"/>
            </w14:solidFill>
          </w14:textFill>
        </w:rPr>
        <w:t>且持续经营一年以上”“经营不满一年”，截止时间为总部办发布正式申报通知之日。</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eastAsia="仿宋_GB2312"/>
          <w:color w:val="000000" w:themeColor="text1"/>
          <w:spacing w:val="-4"/>
          <w:kern w:val="0"/>
          <w:sz w:val="32"/>
          <w:szCs w:val="32"/>
          <w:highlight w:val="none"/>
          <w:u w:val="none"/>
          <w14:textFill>
            <w14:solidFill>
              <w14:schemeClr w14:val="tx1"/>
            </w14:solidFill>
          </w14:textFill>
        </w:rPr>
      </w:pPr>
      <w:r>
        <w:rPr>
          <w:rFonts w:hint="eastAsia" w:eastAsia="仿宋_GB2312"/>
          <w:color w:val="000000" w:themeColor="text1"/>
          <w:spacing w:val="-4"/>
          <w:sz w:val="32"/>
          <w:szCs w:val="32"/>
          <w:highlight w:val="none"/>
          <w:u w:val="none"/>
          <w:lang w:val="en-US" w:eastAsia="zh-CN"/>
          <w14:textFill>
            <w14:solidFill>
              <w14:schemeClr w14:val="tx1"/>
            </w14:solidFill>
          </w14:textFill>
        </w:rPr>
        <w:t xml:space="preserve"> 本办法所称总部企业产值规模（或营业收入）、</w:t>
      </w:r>
      <w:r>
        <w:rPr>
          <w:rFonts w:hint="eastAsia" w:eastAsia="仿宋_GB2312"/>
          <w:color w:val="000000" w:themeColor="text1"/>
          <w:spacing w:val="-4"/>
          <w:sz w:val="32"/>
          <w:szCs w:val="32"/>
          <w:highlight w:val="none"/>
          <w:u w:val="none"/>
          <w14:textFill>
            <w14:solidFill>
              <w14:schemeClr w14:val="tx1"/>
            </w14:solidFill>
          </w14:textFill>
        </w:rPr>
        <w:t>形成</w:t>
      </w:r>
      <w:r>
        <w:rPr>
          <w:rFonts w:hint="eastAsia" w:eastAsia="仿宋_GB2312"/>
          <w:color w:val="000000" w:themeColor="text1"/>
          <w:spacing w:val="-4"/>
          <w:sz w:val="32"/>
          <w:szCs w:val="32"/>
          <w:highlight w:val="none"/>
          <w:u w:val="none"/>
          <w:lang w:val="en-US" w:eastAsia="zh-CN"/>
          <w14:textFill>
            <w14:solidFill>
              <w14:schemeClr w14:val="tx1"/>
            </w14:solidFill>
          </w14:textFill>
        </w:rPr>
        <w:t>区</w:t>
      </w:r>
      <w:r>
        <w:rPr>
          <w:rFonts w:hint="eastAsia" w:eastAsia="仿宋_GB2312"/>
          <w:color w:val="000000" w:themeColor="text1"/>
          <w:spacing w:val="-4"/>
          <w:sz w:val="32"/>
          <w:szCs w:val="32"/>
          <w:highlight w:val="none"/>
          <w:u w:val="none"/>
          <w14:textFill>
            <w14:solidFill>
              <w14:schemeClr w14:val="tx1"/>
            </w14:solidFill>
          </w14:textFill>
        </w:rPr>
        <w:t>地方财力</w:t>
      </w:r>
      <w:r>
        <w:rPr>
          <w:rFonts w:hint="eastAsia" w:eastAsia="仿宋_GB2312"/>
          <w:color w:val="000000" w:themeColor="text1"/>
          <w:spacing w:val="-4"/>
          <w:sz w:val="32"/>
          <w:szCs w:val="32"/>
          <w:highlight w:val="none"/>
          <w:u w:val="none"/>
          <w:lang w:val="en-US" w:eastAsia="zh-CN"/>
          <w14:textFill>
            <w14:solidFill>
              <w14:schemeClr w14:val="tx1"/>
            </w14:solidFill>
          </w14:textFill>
        </w:rPr>
        <w:t>可按照申报企业独立法人（含分支机构）及其控股</w:t>
      </w:r>
      <w:r>
        <w:rPr>
          <w:rFonts w:hint="eastAsia" w:ascii="仿宋_GB2312" w:eastAsia="仿宋_GB2312"/>
          <w:color w:val="000000" w:themeColor="text1"/>
          <w:spacing w:val="-4"/>
          <w:sz w:val="32"/>
          <w:szCs w:val="32"/>
          <w:highlight w:val="none"/>
          <w:u w:val="none"/>
          <w:lang w:val="en-US" w:eastAsia="zh-CN"/>
          <w14:textFill>
            <w14:solidFill>
              <w14:schemeClr w14:val="tx1"/>
            </w14:solidFill>
          </w14:textFill>
        </w:rPr>
        <w:t>50%</w:t>
      </w:r>
      <w:r>
        <w:rPr>
          <w:rFonts w:hint="eastAsia" w:eastAsia="仿宋_GB2312"/>
          <w:color w:val="000000" w:themeColor="text1"/>
          <w:spacing w:val="-4"/>
          <w:sz w:val="32"/>
          <w:szCs w:val="32"/>
          <w:highlight w:val="none"/>
          <w:u w:val="none"/>
          <w:lang w:val="en-US" w:eastAsia="zh-CN"/>
          <w14:textFill>
            <w14:solidFill>
              <w14:schemeClr w14:val="tx1"/>
            </w14:solidFill>
          </w14:textFill>
        </w:rPr>
        <w:t>（含）以上在龙华区注册并经营的一级、二级子公司作为统计核算口径，</w:t>
      </w:r>
      <w:r>
        <w:rPr>
          <w:rFonts w:hint="eastAsia" w:ascii="仿宋_GB2312" w:eastAsia="仿宋_GB2312"/>
          <w:color w:val="000000" w:themeColor="text1"/>
          <w:spacing w:val="-4"/>
          <w:sz w:val="32"/>
          <w:szCs w:val="32"/>
          <w:highlight w:val="none"/>
          <w:u w:val="none"/>
          <w14:textFill>
            <w14:solidFill>
              <w14:schemeClr w14:val="tx1"/>
            </w14:solidFill>
          </w14:textFill>
        </w:rPr>
        <w:t>股权关系以</w:t>
      </w:r>
      <w:r>
        <w:rPr>
          <w:rFonts w:hint="eastAsia" w:ascii="仿宋_GB2312" w:eastAsia="仿宋_GB2312"/>
          <w:color w:val="000000" w:themeColor="text1"/>
          <w:spacing w:val="-4"/>
          <w:sz w:val="32"/>
          <w:szCs w:val="32"/>
          <w:highlight w:val="none"/>
          <w:u w:val="none"/>
          <w:lang w:val="en-US" w:eastAsia="zh-CN"/>
          <w14:textFill>
            <w14:solidFill>
              <w14:schemeClr w14:val="tx1"/>
            </w14:solidFill>
          </w14:textFill>
        </w:rPr>
        <w:t>申报总部企业认定之日前</w:t>
      </w:r>
      <w:r>
        <w:rPr>
          <w:rFonts w:hint="eastAsia" w:ascii="仿宋_GB2312" w:eastAsia="仿宋_GB2312"/>
          <w:color w:val="000000" w:themeColor="text1"/>
          <w:spacing w:val="-4"/>
          <w:sz w:val="32"/>
          <w:szCs w:val="32"/>
          <w:highlight w:val="none"/>
          <w:u w:val="none"/>
          <w14:textFill>
            <w14:solidFill>
              <w14:schemeClr w14:val="tx1"/>
            </w14:solidFill>
          </w14:textFill>
        </w:rPr>
        <w:t>股权登记状况为准。</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eastAsia="仿宋_GB2312"/>
          <w:color w:val="000000" w:themeColor="text1"/>
          <w:spacing w:val="-4"/>
          <w:kern w:val="0"/>
          <w:sz w:val="32"/>
          <w:szCs w:val="32"/>
          <w:highlight w:val="none"/>
          <w:u w:val="none"/>
          <w14:textFill>
            <w14:solidFill>
              <w14:schemeClr w14:val="tx1"/>
            </w14:solidFill>
          </w14:textFill>
        </w:rPr>
      </w:pPr>
      <w:r>
        <w:rPr>
          <w:rFonts w:hint="eastAsia" w:eastAsia="仿宋_GB2312"/>
          <w:color w:val="000000" w:themeColor="text1"/>
          <w:spacing w:val="-4"/>
          <w:sz w:val="32"/>
          <w:szCs w:val="32"/>
          <w:highlight w:val="none"/>
          <w:u w:val="none"/>
          <w:lang w:val="en-US" w:eastAsia="zh-CN"/>
          <w14:textFill>
            <w14:solidFill>
              <w14:schemeClr w14:val="tx1"/>
            </w14:solidFill>
          </w14:textFill>
        </w:rPr>
        <w:t xml:space="preserve"> </w:t>
      </w:r>
      <w:r>
        <w:rPr>
          <w:rFonts w:hint="eastAsia" w:eastAsia="仿宋_GB2312"/>
          <w:color w:val="000000" w:themeColor="text1"/>
          <w:spacing w:val="-4"/>
          <w:sz w:val="32"/>
          <w:szCs w:val="32"/>
          <w:highlight w:val="none"/>
          <w:u w:val="none"/>
          <w14:textFill>
            <w14:solidFill>
              <w14:schemeClr w14:val="tx1"/>
            </w14:solidFill>
          </w14:textFill>
        </w:rPr>
        <w:t>本办法所称形成地方财力是指申报企业在</w:t>
      </w:r>
      <w:r>
        <w:rPr>
          <w:rFonts w:hint="eastAsia" w:eastAsia="仿宋_GB2312"/>
          <w:color w:val="000000" w:themeColor="text1"/>
          <w:spacing w:val="-4"/>
          <w:sz w:val="32"/>
          <w:szCs w:val="32"/>
          <w:highlight w:val="none"/>
          <w:u w:val="none"/>
          <w:lang w:eastAsia="zh-CN"/>
          <w14:textFill>
            <w14:solidFill>
              <w14:schemeClr w14:val="tx1"/>
            </w14:solidFill>
          </w14:textFill>
        </w:rPr>
        <w:t>龙华区</w:t>
      </w:r>
      <w:r>
        <w:rPr>
          <w:rFonts w:hint="eastAsia" w:eastAsia="仿宋_GB2312"/>
          <w:color w:val="000000" w:themeColor="text1"/>
          <w:spacing w:val="-4"/>
          <w:sz w:val="32"/>
          <w:szCs w:val="32"/>
          <w:highlight w:val="none"/>
          <w:u w:val="none"/>
          <w14:textFill>
            <w14:solidFill>
              <w14:schemeClr w14:val="tx1"/>
            </w14:solidFill>
          </w14:textFill>
        </w:rPr>
        <w:t>缴纳的税款入库期内，增值税、企业所得税等计入区级地方分成的部分。</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eastAsia="仿宋_GB2312"/>
          <w:color w:val="000000" w:themeColor="text1"/>
          <w:spacing w:val="-4"/>
          <w:kern w:val="0"/>
          <w:sz w:val="32"/>
          <w:szCs w:val="32"/>
          <w:highlight w:val="none"/>
          <w:u w:val="none"/>
          <w14:textFill>
            <w14:solidFill>
              <w14:schemeClr w14:val="tx1"/>
            </w14:solidFill>
          </w14:textFill>
        </w:rPr>
      </w:pP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 xml:space="preserve"> </w:t>
      </w:r>
      <w:r>
        <w:rPr>
          <w:rFonts w:hint="eastAsia" w:eastAsia="仿宋_GB2312"/>
          <w:color w:val="000000" w:themeColor="text1"/>
          <w:spacing w:val="-4"/>
          <w:sz w:val="32"/>
          <w:szCs w:val="32"/>
          <w:highlight w:val="none"/>
          <w:u w:val="none"/>
          <w14:textFill>
            <w14:solidFill>
              <w14:schemeClr w14:val="tx1"/>
            </w14:solidFill>
          </w14:textFill>
        </w:rPr>
        <w:t>企业</w:t>
      </w:r>
      <w:r>
        <w:rPr>
          <w:rFonts w:hint="eastAsia" w:eastAsia="仿宋_GB2312"/>
          <w:color w:val="000000" w:themeColor="text1"/>
          <w:spacing w:val="-4"/>
          <w:sz w:val="32"/>
          <w:szCs w:val="32"/>
          <w:highlight w:val="none"/>
          <w:u w:val="none"/>
          <w:lang w:val="en-US" w:eastAsia="zh-CN"/>
          <w14:textFill>
            <w14:solidFill>
              <w14:schemeClr w14:val="tx1"/>
            </w14:solidFill>
          </w14:textFill>
        </w:rPr>
        <w:t>与</w:t>
      </w:r>
      <w:r>
        <w:rPr>
          <w:rFonts w:hint="eastAsia" w:eastAsia="仿宋_GB2312"/>
          <w:color w:val="000000" w:themeColor="text1"/>
          <w:spacing w:val="-4"/>
          <w:sz w:val="32"/>
          <w:szCs w:val="32"/>
          <w:highlight w:val="none"/>
          <w:u w:val="none"/>
          <w14:textFill>
            <w14:solidFill>
              <w14:schemeClr w14:val="tx1"/>
            </w14:solidFill>
          </w14:textFill>
        </w:rPr>
        <w:t>其控股</w:t>
      </w:r>
      <w:r>
        <w:rPr>
          <w:rFonts w:hint="eastAsia" w:ascii="仿宋_GB2312" w:eastAsia="仿宋_GB2312"/>
          <w:color w:val="000000" w:themeColor="text1"/>
          <w:spacing w:val="-4"/>
          <w:sz w:val="32"/>
          <w:szCs w:val="32"/>
          <w:highlight w:val="none"/>
          <w:u w:val="none"/>
          <w14:textFill>
            <w14:solidFill>
              <w14:schemeClr w14:val="tx1"/>
            </w14:solidFill>
          </w14:textFill>
        </w:rPr>
        <w:t>50%（含）以上在</w:t>
      </w:r>
      <w:r>
        <w:rPr>
          <w:rFonts w:hint="eastAsia" w:ascii="仿宋_GB2312" w:eastAsia="仿宋_GB2312"/>
          <w:color w:val="000000" w:themeColor="text1"/>
          <w:spacing w:val="-4"/>
          <w:sz w:val="32"/>
          <w:szCs w:val="32"/>
          <w:highlight w:val="none"/>
          <w:u w:val="none"/>
          <w:lang w:eastAsia="zh-CN"/>
          <w14:textFill>
            <w14:solidFill>
              <w14:schemeClr w14:val="tx1"/>
            </w14:solidFill>
          </w14:textFill>
        </w:rPr>
        <w:t>龙华区</w:t>
      </w:r>
      <w:r>
        <w:rPr>
          <w:rFonts w:hint="eastAsia" w:ascii="仿宋_GB2312" w:eastAsia="仿宋_GB2312"/>
          <w:color w:val="000000" w:themeColor="text1"/>
          <w:spacing w:val="-4"/>
          <w:sz w:val="32"/>
          <w:szCs w:val="32"/>
          <w:highlight w:val="none"/>
          <w:u w:val="none"/>
          <w14:textFill>
            <w14:solidFill>
              <w14:schemeClr w14:val="tx1"/>
            </w14:solidFill>
          </w14:textFill>
        </w:rPr>
        <w:t>注册的一级、二级子公司</w:t>
      </w:r>
      <w:r>
        <w:rPr>
          <w:rFonts w:hint="eastAsia" w:ascii="仿宋_GB2312" w:eastAsia="仿宋_GB2312"/>
          <w:color w:val="000000" w:themeColor="text1"/>
          <w:spacing w:val="-4"/>
          <w:sz w:val="32"/>
          <w:szCs w:val="32"/>
          <w:highlight w:val="none"/>
          <w:u w:val="none"/>
          <w:lang w:val="en-US" w:eastAsia="zh-CN"/>
          <w14:textFill>
            <w14:solidFill>
              <w14:schemeClr w14:val="tx1"/>
            </w14:solidFill>
          </w14:textFill>
        </w:rPr>
        <w:t>已联合</w:t>
      </w:r>
      <w:r>
        <w:rPr>
          <w:rFonts w:hint="eastAsia" w:eastAsia="仿宋_GB2312"/>
          <w:color w:val="000000" w:themeColor="text1"/>
          <w:spacing w:val="-4"/>
          <w:sz w:val="32"/>
          <w:szCs w:val="32"/>
          <w:highlight w:val="none"/>
          <w:u w:val="none"/>
          <w14:textFill>
            <w14:solidFill>
              <w14:schemeClr w14:val="tx1"/>
            </w14:solidFill>
          </w14:textFill>
        </w:rPr>
        <w:t>申报</w:t>
      </w:r>
      <w:r>
        <w:rPr>
          <w:rFonts w:hint="eastAsia" w:eastAsia="仿宋_GB2312"/>
          <w:color w:val="000000" w:themeColor="text1"/>
          <w:spacing w:val="-4"/>
          <w:sz w:val="32"/>
          <w:szCs w:val="32"/>
          <w:highlight w:val="none"/>
          <w:u w:val="none"/>
          <w:lang w:val="en-US" w:eastAsia="zh-CN"/>
          <w14:textFill>
            <w14:solidFill>
              <w14:schemeClr w14:val="tx1"/>
            </w14:solidFill>
          </w14:textFill>
        </w:rPr>
        <w:t>并认定为区总部</w:t>
      </w:r>
      <w:r>
        <w:rPr>
          <w:rFonts w:hint="eastAsia" w:eastAsia="仿宋_GB2312"/>
          <w:color w:val="000000" w:themeColor="text1"/>
          <w:spacing w:val="-4"/>
          <w:sz w:val="32"/>
          <w:szCs w:val="32"/>
          <w:highlight w:val="none"/>
          <w:u w:val="none"/>
          <w14:textFill>
            <w14:solidFill>
              <w14:schemeClr w14:val="tx1"/>
            </w14:solidFill>
          </w14:textFill>
        </w:rPr>
        <w:t>企业的</w:t>
      </w:r>
      <w:r>
        <w:rPr>
          <w:rFonts w:hint="eastAsia" w:eastAsia="仿宋_GB2312"/>
          <w:color w:val="000000" w:themeColor="text1"/>
          <w:spacing w:val="-4"/>
          <w:sz w:val="32"/>
          <w:szCs w:val="32"/>
          <w:highlight w:val="none"/>
          <w:u w:val="none"/>
          <w:lang w:eastAsia="zh-CN"/>
          <w14:textFill>
            <w14:solidFill>
              <w14:schemeClr w14:val="tx1"/>
            </w14:solidFill>
          </w14:textFill>
        </w:rPr>
        <w:t>，</w:t>
      </w:r>
      <w:r>
        <w:rPr>
          <w:rFonts w:hint="eastAsia" w:eastAsia="仿宋_GB2312"/>
          <w:color w:val="000000" w:themeColor="text1"/>
          <w:spacing w:val="-4"/>
          <w:sz w:val="32"/>
          <w:szCs w:val="32"/>
          <w:highlight w:val="none"/>
          <w:u w:val="none"/>
          <w:lang w:val="en-US" w:eastAsia="zh-CN"/>
          <w14:textFill>
            <w14:solidFill>
              <w14:schemeClr w14:val="tx1"/>
            </w14:solidFill>
          </w14:textFill>
        </w:rPr>
        <w:t>后续不可独立提出申请总部企业认定和扶持。</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eastAsia="仿宋_GB2312"/>
          <w:color w:val="000000" w:themeColor="text1"/>
          <w:spacing w:val="-4"/>
          <w:kern w:val="0"/>
          <w:sz w:val="32"/>
          <w:szCs w:val="32"/>
          <w:highlight w:val="none"/>
          <w:u w:val="none"/>
          <w14:textFill>
            <w14:solidFill>
              <w14:schemeClr w14:val="tx1"/>
            </w14:solidFill>
          </w14:textFill>
        </w:rPr>
      </w:pPr>
      <w:r>
        <w:rPr>
          <w:rFonts w:hint="eastAsia" w:eastAsia="仿宋_GB2312"/>
          <w:color w:val="000000" w:themeColor="text1"/>
          <w:spacing w:val="-4"/>
          <w:sz w:val="32"/>
          <w:szCs w:val="32"/>
          <w:highlight w:val="none"/>
          <w:u w:val="none"/>
          <w:lang w:val="en-US" w:eastAsia="zh-CN"/>
          <w14:textFill>
            <w14:solidFill>
              <w14:schemeClr w14:val="tx1"/>
            </w14:solidFill>
          </w14:textFill>
        </w:rPr>
        <w:t xml:space="preserve"> </w:t>
      </w:r>
      <w:r>
        <w:rPr>
          <w:rFonts w:hint="eastAsia" w:eastAsia="仿宋_GB2312"/>
          <w:color w:val="000000" w:themeColor="text1"/>
          <w:spacing w:val="-4"/>
          <w:sz w:val="32"/>
          <w:szCs w:val="32"/>
          <w:highlight w:val="none"/>
          <w:u w:val="none"/>
          <w14:textFill>
            <w14:solidFill>
              <w14:schemeClr w14:val="tx1"/>
            </w14:solidFill>
          </w14:textFill>
        </w:rPr>
        <w:t>本办法所称的</w:t>
      </w:r>
      <w:r>
        <w:rPr>
          <w:rFonts w:hint="eastAsia" w:eastAsia="仿宋_GB2312"/>
          <w:color w:val="000000" w:themeColor="text1"/>
          <w:spacing w:val="-4"/>
          <w:sz w:val="32"/>
          <w:szCs w:val="32"/>
          <w:highlight w:val="none"/>
          <w:u w:val="none"/>
          <w:lang w:val="en-US" w:eastAsia="zh-CN"/>
          <w14:textFill>
            <w14:solidFill>
              <w14:schemeClr w14:val="tx1"/>
            </w14:solidFill>
          </w14:textFill>
        </w:rPr>
        <w:t>自有用地、用房</w:t>
      </w:r>
      <w:r>
        <w:rPr>
          <w:rFonts w:hint="eastAsia" w:eastAsia="仿宋_GB2312"/>
          <w:color w:val="000000" w:themeColor="text1"/>
          <w:spacing w:val="-4"/>
          <w:sz w:val="32"/>
          <w:szCs w:val="32"/>
          <w:highlight w:val="none"/>
          <w:u w:val="none"/>
          <w14:textFill>
            <w14:solidFill>
              <w14:schemeClr w14:val="tx1"/>
            </w14:solidFill>
          </w14:textFill>
        </w:rPr>
        <w:t>指</w:t>
      </w:r>
      <w:r>
        <w:rPr>
          <w:rFonts w:hint="eastAsia" w:eastAsia="仿宋_GB2312"/>
          <w:color w:val="000000" w:themeColor="text1"/>
          <w:spacing w:val="-4"/>
          <w:sz w:val="32"/>
          <w:szCs w:val="32"/>
          <w:highlight w:val="none"/>
          <w:u w:val="none"/>
          <w:lang w:val="en-US" w:eastAsia="zh-CN"/>
          <w14:textFill>
            <w14:solidFill>
              <w14:schemeClr w14:val="tx1"/>
            </w14:solidFill>
          </w14:textFill>
        </w:rPr>
        <w:t>不动</w:t>
      </w:r>
      <w:r>
        <w:rPr>
          <w:rFonts w:hint="eastAsia" w:eastAsia="仿宋_GB2312"/>
          <w:color w:val="000000" w:themeColor="text1"/>
          <w:spacing w:val="-4"/>
          <w:sz w:val="32"/>
          <w:szCs w:val="32"/>
          <w:highlight w:val="none"/>
          <w:u w:val="none"/>
          <w14:textFill>
            <w14:solidFill>
              <w14:schemeClr w14:val="tx1"/>
            </w14:solidFill>
          </w14:textFill>
        </w:rPr>
        <w:t>产权登记在企业名下</w:t>
      </w:r>
      <w:r>
        <w:rPr>
          <w:rFonts w:hint="eastAsia" w:eastAsia="仿宋_GB2312"/>
          <w:color w:val="000000" w:themeColor="text1"/>
          <w:spacing w:val="-4"/>
          <w:sz w:val="32"/>
          <w:szCs w:val="32"/>
          <w:highlight w:val="none"/>
          <w:u w:val="none"/>
          <w:lang w:val="en-US" w:eastAsia="zh-CN"/>
          <w14:textFill>
            <w14:solidFill>
              <w14:schemeClr w14:val="tx1"/>
            </w14:solidFill>
          </w14:textFill>
        </w:rPr>
        <w:t>的产业用地和研发办公生产场地，不包含住房等配套建筑</w:t>
      </w:r>
      <w:r>
        <w:rPr>
          <w:rFonts w:hint="eastAsia" w:eastAsia="仿宋_GB2312"/>
          <w:color w:val="000000" w:themeColor="text1"/>
          <w:spacing w:val="-4"/>
          <w:sz w:val="32"/>
          <w:szCs w:val="32"/>
          <w:highlight w:val="none"/>
          <w:u w:val="none"/>
          <w14:textFill>
            <w14:solidFill>
              <w14:schemeClr w14:val="tx1"/>
            </w14:solidFill>
          </w14:textFill>
        </w:rPr>
        <w:t>。</w:t>
      </w:r>
      <w:r>
        <w:rPr>
          <w:rFonts w:hint="eastAsia" w:eastAsia="仿宋_GB2312"/>
          <w:color w:val="000000" w:themeColor="text1"/>
          <w:spacing w:val="-4"/>
          <w:sz w:val="32"/>
          <w:szCs w:val="32"/>
          <w:highlight w:val="none"/>
          <w:u w:val="none"/>
          <w:lang w:val="en-US" w:eastAsia="zh-CN"/>
          <w14:textFill>
            <w14:solidFill>
              <w14:schemeClr w14:val="tx1"/>
            </w14:solidFill>
          </w14:textFill>
        </w:rPr>
        <w:t>相关信息以土地、不动产主管部门提供的核查信息为准。</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default" w:eastAsia="仿宋_GB2312"/>
          <w:b/>
          <w:bCs/>
          <w:color w:val="000000" w:themeColor="text1"/>
          <w:spacing w:val="-4"/>
          <w:kern w:val="0"/>
          <w:sz w:val="32"/>
          <w:szCs w:val="32"/>
          <w:highlight w:val="none"/>
          <w:u w:val="none"/>
          <w:lang w:val="en-US"/>
          <w14:textFill>
            <w14:solidFill>
              <w14:schemeClr w14:val="tx1"/>
            </w14:solidFill>
          </w14:textFill>
        </w:rPr>
      </w:pPr>
      <w:r>
        <w:rPr>
          <w:rFonts w:hint="eastAsia" w:ascii="仿宋_GB2312" w:hAnsi="宋体" w:eastAsia="仿宋_GB2312" w:cs="仿宋_GB2312"/>
          <w:b/>
          <w:color w:val="000000" w:themeColor="text1"/>
          <w:kern w:val="0"/>
          <w:sz w:val="32"/>
          <w:szCs w:val="32"/>
          <w:highlight w:val="none"/>
          <w:u w:val="none"/>
          <w:lang w:val="en-US" w:eastAsia="zh-CN"/>
          <w14:textFill>
            <w14:solidFill>
              <w14:schemeClr w14:val="tx1"/>
            </w14:solidFill>
          </w14:textFill>
        </w:rPr>
        <w:t xml:space="preserve"> </w:t>
      </w:r>
      <w:r>
        <w:rPr>
          <w:rFonts w:hint="eastAsia" w:eastAsia="仿宋_GB2312"/>
          <w:color w:val="000000" w:themeColor="text1"/>
          <w:spacing w:val="-4"/>
          <w:sz w:val="32"/>
          <w:szCs w:val="32"/>
          <w:highlight w:val="none"/>
          <w:u w:val="none"/>
          <w:lang w:val="en-US" w:eastAsia="zh-CN"/>
          <w14:textFill>
            <w14:solidFill>
              <w14:schemeClr w14:val="tx1"/>
            </w14:solidFill>
          </w14:textFill>
        </w:rPr>
        <w:t>本办法所称总部企业高级管理</w:t>
      </w:r>
      <w:r>
        <w:rPr>
          <w:rFonts w:hint="eastAsia" w:eastAsia="仿宋_GB2312"/>
          <w:color w:val="000000" w:themeColor="text1"/>
          <w:spacing w:val="-4"/>
          <w:sz w:val="32"/>
          <w:szCs w:val="32"/>
          <w:highlight w:val="none"/>
          <w:u w:val="none"/>
          <w14:textFill>
            <w14:solidFill>
              <w14:schemeClr w14:val="tx1"/>
            </w14:solidFill>
          </w14:textFill>
        </w:rPr>
        <w:t>人</w:t>
      </w:r>
      <w:r>
        <w:rPr>
          <w:rFonts w:hint="default" w:eastAsia="仿宋_GB2312"/>
          <w:color w:val="000000" w:themeColor="text1"/>
          <w:spacing w:val="-4"/>
          <w:sz w:val="32"/>
          <w:szCs w:val="32"/>
          <w:highlight w:val="none"/>
          <w:u w:val="none"/>
          <w14:textFill>
            <w14:solidFill>
              <w14:schemeClr w14:val="tx1"/>
            </w14:solidFill>
          </w14:textFill>
        </w:rPr>
        <w:t>员，是指</w:t>
      </w:r>
      <w:r>
        <w:rPr>
          <w:rFonts w:hint="eastAsia" w:eastAsia="仿宋_GB2312"/>
          <w:color w:val="000000" w:themeColor="text1"/>
          <w:spacing w:val="-4"/>
          <w:sz w:val="32"/>
          <w:szCs w:val="32"/>
          <w:highlight w:val="none"/>
          <w:u w:val="none"/>
          <w:lang w:val="en-US" w:eastAsia="zh-CN"/>
          <w14:textFill>
            <w14:solidFill>
              <w14:schemeClr w14:val="tx1"/>
            </w14:solidFill>
          </w14:textFill>
        </w:rPr>
        <w:t>符合《公司法》规定的高级管理人员。</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eastAsia="仿宋_GB2312"/>
          <w:color w:val="000000" w:themeColor="text1"/>
          <w:spacing w:val="-4"/>
          <w:kern w:val="0"/>
          <w:sz w:val="32"/>
          <w:szCs w:val="32"/>
          <w:highlight w:val="none"/>
          <w:u w:val="none"/>
          <w14:textFill>
            <w14:solidFill>
              <w14:schemeClr w14:val="tx1"/>
            </w14:solidFill>
          </w14:textFill>
        </w:rPr>
      </w:pPr>
      <w:r>
        <w:rPr>
          <w:rFonts w:hint="eastAsia" w:eastAsia="仿宋_GB2312"/>
          <w:b/>
          <w:bCs/>
          <w:color w:val="000000" w:themeColor="text1"/>
          <w:spacing w:val="-4"/>
          <w:kern w:val="0"/>
          <w:sz w:val="32"/>
          <w:szCs w:val="32"/>
          <w:highlight w:val="none"/>
          <w:u w:val="none"/>
          <w:lang w:val="en-US" w:eastAsia="zh-CN"/>
          <w14:textFill>
            <w14:solidFill>
              <w14:schemeClr w14:val="tx1"/>
            </w14:solidFill>
          </w14:textFill>
        </w:rPr>
        <w:t xml:space="preserve"> </w:t>
      </w:r>
      <w:r>
        <w:rPr>
          <w:rFonts w:hint="eastAsia" w:ascii="仿宋_GB2312" w:eastAsia="仿宋_GB2312"/>
          <w:color w:val="000000" w:themeColor="text1"/>
          <w:sz w:val="32"/>
          <w:szCs w:val="32"/>
          <w:highlight w:val="none"/>
          <w:u w:val="none"/>
          <w14:textFill>
            <w14:solidFill>
              <w14:schemeClr w14:val="tx1"/>
            </w14:solidFill>
          </w14:textFill>
        </w:rPr>
        <w:t>本办法规定的优惠扶持政策和深圳市的扶持政策可同时享受</w:t>
      </w:r>
      <w:r>
        <w:rPr>
          <w:rFonts w:hint="eastAsia" w:ascii="仿宋_GB2312" w:eastAsia="仿宋_GB2312"/>
          <w:color w:val="000000" w:themeColor="text1"/>
          <w:sz w:val="32"/>
          <w:szCs w:val="32"/>
          <w:highlight w:val="none"/>
          <w:u w:val="none"/>
          <w:lang w:eastAsia="zh-CN"/>
          <w14:textFill>
            <w14:solidFill>
              <w14:schemeClr w14:val="tx1"/>
            </w14:solidFill>
          </w14:textFill>
        </w:rPr>
        <w:t>（</w:t>
      </w:r>
      <w:r>
        <w:rPr>
          <w:rFonts w:hint="eastAsia" w:ascii="仿宋_GB2312" w:eastAsia="仿宋_GB2312"/>
          <w:color w:val="000000" w:themeColor="text1"/>
          <w:sz w:val="32"/>
          <w:szCs w:val="32"/>
          <w:highlight w:val="none"/>
          <w:u w:val="none"/>
          <w:lang w:val="en-US" w:eastAsia="zh-CN"/>
          <w14:textFill>
            <w14:solidFill>
              <w14:schemeClr w14:val="tx1"/>
            </w14:solidFill>
          </w14:textFill>
        </w:rPr>
        <w:t>本办法第十一条除外）</w:t>
      </w:r>
      <w:r>
        <w:rPr>
          <w:rFonts w:hint="eastAsia" w:ascii="仿宋_GB2312" w:eastAsia="仿宋_GB2312"/>
          <w:color w:val="000000" w:themeColor="text1"/>
          <w:sz w:val="32"/>
          <w:szCs w:val="32"/>
          <w:highlight w:val="none"/>
          <w:u w:val="none"/>
          <w14:textFill>
            <w14:solidFill>
              <w14:schemeClr w14:val="tx1"/>
            </w14:solidFill>
          </w14:textFill>
        </w:rPr>
        <w:t>。</w:t>
      </w:r>
      <w:r>
        <w:rPr>
          <w:rFonts w:hint="default" w:eastAsia="仿宋_GB2312"/>
          <w:color w:val="000000" w:themeColor="text1"/>
          <w:spacing w:val="-4"/>
          <w:sz w:val="32"/>
          <w:szCs w:val="32"/>
          <w:highlight w:val="none"/>
          <w:u w:val="none"/>
          <w:lang w:val="en-US"/>
          <w14:textFill>
            <w14:solidFill>
              <w14:schemeClr w14:val="tx1"/>
            </w14:solidFill>
          </w14:textFill>
        </w:rPr>
        <w:t>符合</w:t>
      </w:r>
      <w:r>
        <w:rPr>
          <w:rFonts w:hint="eastAsia" w:eastAsia="仿宋_GB2312"/>
          <w:color w:val="000000" w:themeColor="text1"/>
          <w:spacing w:val="-4"/>
          <w:sz w:val="32"/>
          <w:szCs w:val="32"/>
          <w:highlight w:val="none"/>
          <w:u w:val="none"/>
          <w14:textFill>
            <w14:solidFill>
              <w14:schemeClr w14:val="tx1"/>
            </w14:solidFill>
          </w14:textFill>
        </w:rPr>
        <w:t>本办法</w:t>
      </w:r>
      <w:r>
        <w:rPr>
          <w:rFonts w:hint="default" w:eastAsia="仿宋_GB2312"/>
          <w:color w:val="000000" w:themeColor="text1"/>
          <w:spacing w:val="-4"/>
          <w:sz w:val="32"/>
          <w:szCs w:val="32"/>
          <w:highlight w:val="none"/>
          <w:u w:val="none"/>
          <w:lang w:val="en-US"/>
          <w14:textFill>
            <w14:solidFill>
              <w14:schemeClr w14:val="tx1"/>
            </w14:solidFill>
          </w14:textFill>
        </w:rPr>
        <w:t>规定的同一项目、同一事项同时符合</w:t>
      </w:r>
      <w:r>
        <w:rPr>
          <w:rFonts w:hint="eastAsia" w:eastAsia="仿宋_GB2312"/>
          <w:color w:val="000000" w:themeColor="text1"/>
          <w:spacing w:val="-4"/>
          <w:sz w:val="32"/>
          <w:szCs w:val="32"/>
          <w:highlight w:val="none"/>
          <w:u w:val="none"/>
          <w:lang w:val="en-US" w:eastAsia="zh-CN"/>
          <w14:textFill>
            <w14:solidFill>
              <w14:schemeClr w14:val="tx1"/>
            </w14:solidFill>
          </w14:textFill>
        </w:rPr>
        <w:t>龙华区</w:t>
      </w:r>
      <w:r>
        <w:rPr>
          <w:rFonts w:hint="default" w:eastAsia="仿宋_GB2312"/>
          <w:color w:val="000000" w:themeColor="text1"/>
          <w:spacing w:val="-4"/>
          <w:sz w:val="32"/>
          <w:szCs w:val="32"/>
          <w:highlight w:val="none"/>
          <w:u w:val="none"/>
          <w:lang w:val="en-US"/>
          <w14:textFill>
            <w14:solidFill>
              <w14:schemeClr w14:val="tx1"/>
            </w14:solidFill>
          </w14:textFill>
        </w:rPr>
        <w:t>其他扶持政策规定（含上级部门要求区配套或负担资金的政策规定）的，按照从高不重复的原则予以支持，另有规定的除外。企业获得的实际奖励金额可根据当年财政预算适当调整。获得奖励的涉税支出由企业或个人承担。</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ascii="仿宋_GB2312" w:hAnsi="宋体" w:eastAsia="仿宋_GB2312"/>
          <w:b/>
          <w:bCs/>
          <w:color w:val="000000" w:themeColor="text1"/>
          <w:sz w:val="32"/>
          <w:szCs w:val="32"/>
          <w:highlight w:val="none"/>
          <w:u w:val="none"/>
          <w:lang w:val="en-US" w:eastAsia="zh-CN"/>
          <w14:textFill>
            <w14:solidFill>
              <w14:schemeClr w14:val="tx1"/>
            </w14:solidFill>
          </w14:textFill>
        </w:rPr>
      </w:pPr>
      <w:r>
        <w:rPr>
          <w:rFonts w:hint="eastAsia" w:eastAsia="仿宋_GB2312"/>
          <w:color w:val="000000" w:themeColor="text1"/>
          <w:spacing w:val="-4"/>
          <w:kern w:val="0"/>
          <w:sz w:val="32"/>
          <w:szCs w:val="32"/>
          <w:highlight w:val="none"/>
          <w:u w:val="none"/>
          <w:lang w:val="en-US" w:eastAsia="zh-CN"/>
          <w14:textFill>
            <w14:solidFill>
              <w14:schemeClr w14:val="tx1"/>
            </w14:solidFill>
          </w14:textFill>
        </w:rPr>
        <w:t xml:space="preserve"> </w:t>
      </w:r>
      <w:r>
        <w:rPr>
          <w:rFonts w:hint="eastAsia" w:eastAsia="仿宋_GB2312"/>
          <w:bCs/>
          <w:color w:val="000000" w:themeColor="text1"/>
          <w:spacing w:val="-4"/>
          <w:kern w:val="0"/>
          <w:sz w:val="32"/>
          <w:szCs w:val="32"/>
          <w:highlight w:val="none"/>
          <w:u w:val="none"/>
          <w:lang w:val="en-US" w:eastAsia="zh-CN"/>
          <w14:textFill>
            <w14:solidFill>
              <w14:schemeClr w14:val="tx1"/>
            </w14:solidFill>
          </w14:textFill>
        </w:rPr>
        <w:t>本办法中“不低于”“最高”“最多”“超过”“不少于”等表述未作具体说明的均包括本数。</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eastAsia="仿宋_GB2312"/>
          <w:color w:val="000000" w:themeColor="text1"/>
          <w:spacing w:val="-4"/>
          <w:kern w:val="0"/>
          <w:sz w:val="32"/>
          <w:szCs w:val="32"/>
          <w:highlight w:val="none"/>
          <w:u w:val="none"/>
          <w14:textFill>
            <w14:solidFill>
              <w14:schemeClr w14:val="tx1"/>
            </w14:solidFill>
          </w14:textFill>
        </w:rPr>
      </w:pPr>
      <w:r>
        <w:rPr>
          <w:rFonts w:hint="eastAsia" w:eastAsia="仿宋_GB2312"/>
          <w:color w:val="000000" w:themeColor="text1"/>
          <w:spacing w:val="-4"/>
          <w:sz w:val="32"/>
          <w:szCs w:val="32"/>
          <w:highlight w:val="none"/>
          <w:u w:val="none"/>
          <w:lang w:val="en-US" w:eastAsia="zh-CN"/>
          <w14:textFill>
            <w14:solidFill>
              <w14:schemeClr w14:val="tx1"/>
            </w14:solidFill>
          </w14:textFill>
        </w:rPr>
        <w:t xml:space="preserve"> </w:t>
      </w:r>
      <w:r>
        <w:rPr>
          <w:rFonts w:hint="eastAsia" w:eastAsia="仿宋_GB2312"/>
          <w:color w:val="000000" w:themeColor="text1"/>
          <w:spacing w:val="-4"/>
          <w:sz w:val="32"/>
          <w:szCs w:val="32"/>
          <w:highlight w:val="none"/>
          <w:u w:val="none"/>
          <w14:textFill>
            <w14:solidFill>
              <w14:schemeClr w14:val="tx1"/>
            </w14:solidFill>
          </w14:textFill>
        </w:rPr>
        <w:t>本办法由区发展和改革局</w:t>
      </w:r>
      <w:r>
        <w:rPr>
          <w:rFonts w:hint="eastAsia" w:ascii="仿宋_GB2312" w:hAnsi="宋体" w:eastAsia="仿宋_GB2312"/>
          <w:color w:val="000000" w:themeColor="text1"/>
          <w:sz w:val="32"/>
          <w:szCs w:val="32"/>
          <w:highlight w:val="none"/>
          <w:u w:val="none"/>
          <w14:textFill>
            <w14:solidFill>
              <w14:schemeClr w14:val="tx1"/>
            </w14:solidFill>
          </w14:textFill>
        </w:rPr>
        <w:t>负责</w:t>
      </w:r>
      <w:r>
        <w:rPr>
          <w:rFonts w:hint="eastAsia" w:eastAsia="仿宋_GB2312"/>
          <w:color w:val="000000" w:themeColor="text1"/>
          <w:spacing w:val="-4"/>
          <w:kern w:val="0"/>
          <w:sz w:val="32"/>
          <w:szCs w:val="32"/>
          <w:highlight w:val="none"/>
          <w:u w:val="none"/>
          <w14:textFill>
            <w14:solidFill>
              <w14:schemeClr w14:val="tx1"/>
            </w14:solidFill>
          </w14:textFill>
        </w:rPr>
        <w:t>解释。</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30" w:leftChars="0" w:firstLine="660" w:firstLineChars="0"/>
        <w:textAlignment w:val="auto"/>
        <w:rPr>
          <w:rFonts w:hint="eastAsia" w:eastAsia="仿宋_GB2312"/>
          <w:color w:val="000000" w:themeColor="text1"/>
          <w:spacing w:val="-4"/>
          <w:sz w:val="32"/>
          <w:szCs w:val="32"/>
          <w:highlight w:val="none"/>
          <w:u w:val="none"/>
          <w14:textFill>
            <w14:solidFill>
              <w14:schemeClr w14:val="tx1"/>
            </w14:solidFill>
          </w14:textFill>
        </w:rPr>
      </w:pPr>
      <w:r>
        <w:rPr>
          <w:rFonts w:hint="eastAsia" w:eastAsia="仿宋_GB2312"/>
          <w:color w:val="000000" w:themeColor="text1"/>
          <w:spacing w:val="-4"/>
          <w:sz w:val="32"/>
          <w:szCs w:val="32"/>
          <w:highlight w:val="none"/>
          <w:u w:val="none"/>
          <w:lang w:val="en-US" w:eastAsia="zh-CN"/>
          <w14:textFill>
            <w14:solidFill>
              <w14:schemeClr w14:val="tx1"/>
            </w14:solidFill>
          </w14:textFill>
        </w:rPr>
        <w:t xml:space="preserve"> </w:t>
      </w:r>
      <w:r>
        <w:rPr>
          <w:rFonts w:hint="eastAsia" w:eastAsia="仿宋_GB2312"/>
          <w:color w:val="000000" w:themeColor="text1"/>
          <w:spacing w:val="-4"/>
          <w:sz w:val="32"/>
          <w:szCs w:val="32"/>
          <w:highlight w:val="none"/>
          <w:u w:val="none"/>
          <w14:textFill>
            <w14:solidFill>
              <w14:schemeClr w14:val="tx1"/>
            </w14:solidFill>
          </w14:textFill>
        </w:rPr>
        <w:t>本办法自</w:t>
      </w:r>
      <w:r>
        <w:rPr>
          <w:rFonts w:hint="eastAsia" w:ascii="仿宋_GB2312" w:eastAsia="仿宋_GB2312"/>
          <w:color w:val="000000" w:themeColor="text1"/>
          <w:spacing w:val="-4"/>
          <w:sz w:val="32"/>
          <w:szCs w:val="32"/>
          <w:highlight w:val="none"/>
          <w:u w:val="none"/>
          <w14:textFill>
            <w14:solidFill>
              <w14:schemeClr w14:val="tx1"/>
            </w14:solidFill>
          </w14:textFill>
        </w:rPr>
        <w:t>2021年</w:t>
      </w:r>
      <w:r>
        <w:rPr>
          <w:rFonts w:hint="eastAsia" w:ascii="仿宋_GB2312" w:eastAsia="仿宋_GB2312"/>
          <w:color w:val="000000" w:themeColor="text1"/>
          <w:spacing w:val="-4"/>
          <w:sz w:val="32"/>
          <w:szCs w:val="32"/>
          <w:highlight w:val="none"/>
          <w:u w:val="none"/>
          <w:lang w:val="en-US" w:eastAsia="zh-CN"/>
          <w14:textFill>
            <w14:solidFill>
              <w14:schemeClr w14:val="tx1"/>
            </w14:solidFill>
          </w14:textFill>
        </w:rPr>
        <w:t>10</w:t>
      </w:r>
      <w:r>
        <w:rPr>
          <w:rFonts w:hint="eastAsia" w:ascii="仿宋_GB2312" w:eastAsia="仿宋_GB2312"/>
          <w:color w:val="000000" w:themeColor="text1"/>
          <w:spacing w:val="-4"/>
          <w:sz w:val="32"/>
          <w:szCs w:val="32"/>
          <w:highlight w:val="none"/>
          <w:u w:val="none"/>
          <w14:textFill>
            <w14:solidFill>
              <w14:schemeClr w14:val="tx1"/>
            </w14:solidFill>
          </w14:textFill>
        </w:rPr>
        <w:t>月</w:t>
      </w:r>
      <w:r>
        <w:rPr>
          <w:rFonts w:hint="eastAsia" w:ascii="仿宋_GB2312" w:eastAsia="仿宋_GB2312"/>
          <w:color w:val="000000" w:themeColor="text1"/>
          <w:spacing w:val="-4"/>
          <w:sz w:val="32"/>
          <w:szCs w:val="32"/>
          <w:highlight w:val="none"/>
          <w:u w:val="none"/>
          <w:lang w:val="en-US" w:eastAsia="zh-CN"/>
          <w14:textFill>
            <w14:solidFill>
              <w14:schemeClr w14:val="tx1"/>
            </w14:solidFill>
          </w14:textFill>
        </w:rPr>
        <w:t>8</w:t>
      </w:r>
      <w:r>
        <w:rPr>
          <w:rFonts w:hint="eastAsia" w:ascii="仿宋_GB2312" w:eastAsia="仿宋_GB2312"/>
          <w:color w:val="000000" w:themeColor="text1"/>
          <w:spacing w:val="-4"/>
          <w:sz w:val="32"/>
          <w:szCs w:val="32"/>
          <w:highlight w:val="none"/>
          <w:u w:val="none"/>
          <w14:textFill>
            <w14:solidFill>
              <w14:schemeClr w14:val="tx1"/>
            </w14:solidFill>
          </w14:textFill>
        </w:rPr>
        <w:t>日起施行，有效期5年</w:t>
      </w:r>
      <w:r>
        <w:rPr>
          <w:rFonts w:hint="eastAsia" w:eastAsia="仿宋_GB2312"/>
          <w:color w:val="000000" w:themeColor="text1"/>
          <w:spacing w:val="-4"/>
          <w:sz w:val="32"/>
          <w:szCs w:val="32"/>
          <w:highlight w:val="none"/>
          <w:u w:val="none"/>
          <w14:textFill>
            <w14:solidFill>
              <w14:schemeClr w14:val="tx1"/>
            </w14:solidFill>
          </w14:textFill>
        </w:rPr>
        <w:t>。原《深圳市龙华区加快发展总部经济实施办法》自本办法实施之日起废止。本办法实施前认定的总部企业，</w:t>
      </w:r>
      <w:r>
        <w:rPr>
          <w:rFonts w:hint="eastAsia" w:eastAsia="仿宋_GB2312"/>
          <w:color w:val="000000" w:themeColor="text1"/>
          <w:spacing w:val="-4"/>
          <w:sz w:val="32"/>
          <w:szCs w:val="32"/>
          <w:highlight w:val="none"/>
          <w:u w:val="none"/>
          <w:lang w:val="en-US" w:eastAsia="zh-CN"/>
          <w14:textFill>
            <w14:solidFill>
              <w14:schemeClr w14:val="tx1"/>
            </w14:solidFill>
          </w14:textFill>
        </w:rPr>
        <w:t>仍</w:t>
      </w:r>
      <w:r>
        <w:rPr>
          <w:rFonts w:hint="eastAsia" w:eastAsia="仿宋_GB2312"/>
          <w:color w:val="000000" w:themeColor="text1"/>
          <w:spacing w:val="-4"/>
          <w:sz w:val="32"/>
          <w:szCs w:val="32"/>
          <w:highlight w:val="none"/>
          <w:u w:val="none"/>
          <w14:textFill>
            <w14:solidFill>
              <w14:schemeClr w14:val="tx1"/>
            </w14:solidFill>
          </w14:textFill>
        </w:rPr>
        <w:t>按原政策享受扶持，</w:t>
      </w:r>
      <w:r>
        <w:rPr>
          <w:rFonts w:hint="eastAsia" w:ascii="仿宋_GB2312" w:hAnsi="宋体" w:eastAsia="仿宋_GB2312"/>
          <w:color w:val="000000" w:themeColor="text1"/>
          <w:sz w:val="32"/>
          <w:szCs w:val="32"/>
          <w:highlight w:val="none"/>
          <w:u w:val="none"/>
          <w:lang w:val="en-US" w:eastAsia="zh-CN"/>
          <w14:textFill>
            <w14:solidFill>
              <w14:schemeClr w14:val="tx1"/>
            </w14:solidFill>
          </w14:textFill>
        </w:rPr>
        <w:t>在本办法实施后尚未按原政策享受任何扶持的，可根据本办法享受扶持；</w:t>
      </w:r>
      <w:r>
        <w:rPr>
          <w:rFonts w:hint="eastAsia" w:eastAsia="仿宋_GB2312"/>
          <w:color w:val="000000" w:themeColor="text1"/>
          <w:spacing w:val="-4"/>
          <w:sz w:val="32"/>
          <w:szCs w:val="32"/>
          <w:highlight w:val="none"/>
          <w:u w:val="none"/>
          <w14:textFill>
            <w14:solidFill>
              <w14:schemeClr w14:val="tx1"/>
            </w14:solidFill>
          </w14:textFill>
        </w:rPr>
        <w:t>本办法实施后认定的总部企业，根据本办法享受扶持。</w:t>
      </w:r>
    </w:p>
    <w:bookmarkEnd w:id="0"/>
    <w:p>
      <w:pPr>
        <w:rPr>
          <w:color w:val="000000" w:themeColor="text1"/>
          <w:highlight w:val="none"/>
          <w:u w:val="none"/>
          <w14:textFill>
            <w14:solidFill>
              <w14:schemeClr w14:val="tx1"/>
            </w14:solidFill>
          </w14:textFill>
        </w:rPr>
      </w:pP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88"/>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keepNext w:val="0"/>
                            <w:keepLines w:val="0"/>
                            <w:pageBreakBefore w:val="0"/>
                            <w:widowControl w:val="0"/>
                            <w:kinsoku/>
                            <w:wordWrap/>
                            <w:overflowPunct/>
                            <w:topLinePunct w:val="0"/>
                            <w:autoSpaceDE/>
                            <w:autoSpaceDN/>
                            <w:bidi w:val="0"/>
                            <w:adjustRightInd/>
                            <w:snapToGrid w:val="0"/>
                            <w:ind w:left="263" w:leftChars="125" w:right="263" w:rightChars="125"/>
                            <w:jc w:val="center"/>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keepNext w:val="0"/>
                      <w:keepLines w:val="0"/>
                      <w:pageBreakBefore w:val="0"/>
                      <w:widowControl w:val="0"/>
                      <w:kinsoku/>
                      <w:wordWrap/>
                      <w:overflowPunct/>
                      <w:topLinePunct w:val="0"/>
                      <w:autoSpaceDE/>
                      <w:autoSpaceDN/>
                      <w:bidi w:val="0"/>
                      <w:adjustRightInd/>
                      <w:snapToGrid w:val="0"/>
                      <w:ind w:left="263" w:leftChars="125" w:right="263" w:rightChars="125"/>
                      <w:jc w:val="center"/>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A55768"/>
    <w:multiLevelType w:val="singleLevel"/>
    <w:tmpl w:val="E1A55768"/>
    <w:lvl w:ilvl="0" w:tentative="0">
      <w:start w:val="1"/>
      <w:numFmt w:val="chineseCounting"/>
      <w:suff w:val="space"/>
      <w:lvlText w:val="第%1章"/>
      <w:lvlJc w:val="left"/>
      <w:rPr>
        <w:rFonts w:hint="eastAsia"/>
      </w:rPr>
    </w:lvl>
  </w:abstractNum>
  <w:abstractNum w:abstractNumId="1">
    <w:nsid w:val="30978867"/>
    <w:multiLevelType w:val="singleLevel"/>
    <w:tmpl w:val="30978867"/>
    <w:lvl w:ilvl="0" w:tentative="0">
      <w:start w:val="4"/>
      <w:numFmt w:val="chineseCounting"/>
      <w:suff w:val="nothing"/>
      <w:lvlText w:val="（%1）"/>
      <w:lvlJc w:val="left"/>
      <w:pPr>
        <w:ind w:left="-10"/>
      </w:pPr>
      <w:rPr>
        <w:rFonts w:hint="eastAsia"/>
      </w:rPr>
    </w:lvl>
  </w:abstractNum>
  <w:abstractNum w:abstractNumId="2">
    <w:nsid w:val="59C0F413"/>
    <w:multiLevelType w:val="singleLevel"/>
    <w:tmpl w:val="59C0F413"/>
    <w:lvl w:ilvl="0" w:tentative="0">
      <w:start w:val="10"/>
      <w:numFmt w:val="chineseCounting"/>
      <w:suff w:val="space"/>
      <w:lvlText w:val="第%1条"/>
      <w:lvlJc w:val="left"/>
      <w:pPr>
        <w:ind w:left="-30"/>
      </w:pPr>
      <w:rPr>
        <w:rFonts w:hint="eastAsia" w:ascii="黑体" w:hAnsi="黑体" w:eastAsia="黑体" w:cs="黑体"/>
        <w:b w:val="0"/>
        <w:bCs w:val="0"/>
        <w:color w:val="000000" w:themeColor="text1"/>
        <w:sz w:val="32"/>
        <w:szCs w:val="32"/>
        <w14:textFill>
          <w14:solidFill>
            <w14:schemeClr w14:val="tx1"/>
          </w14:solidFill>
        </w14:textFill>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isplayBackgroundShape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3F0154"/>
    <w:rsid w:val="007B73FA"/>
    <w:rsid w:val="00EB5516"/>
    <w:rsid w:val="013D46DC"/>
    <w:rsid w:val="01704AE1"/>
    <w:rsid w:val="018F467D"/>
    <w:rsid w:val="01C030F6"/>
    <w:rsid w:val="02695EBB"/>
    <w:rsid w:val="02A256B5"/>
    <w:rsid w:val="02B25CB2"/>
    <w:rsid w:val="02C61B04"/>
    <w:rsid w:val="02CF6234"/>
    <w:rsid w:val="03345043"/>
    <w:rsid w:val="035F105B"/>
    <w:rsid w:val="03AC48E7"/>
    <w:rsid w:val="05AC42B5"/>
    <w:rsid w:val="06502118"/>
    <w:rsid w:val="067C0328"/>
    <w:rsid w:val="06BB45C1"/>
    <w:rsid w:val="07A36341"/>
    <w:rsid w:val="084C5367"/>
    <w:rsid w:val="08881D64"/>
    <w:rsid w:val="09136129"/>
    <w:rsid w:val="09D24212"/>
    <w:rsid w:val="0A0472D5"/>
    <w:rsid w:val="0A4A0638"/>
    <w:rsid w:val="0A5A6FAF"/>
    <w:rsid w:val="0C044FBE"/>
    <w:rsid w:val="0C0E1FAA"/>
    <w:rsid w:val="0C394B50"/>
    <w:rsid w:val="0C8D5814"/>
    <w:rsid w:val="0CF87FA0"/>
    <w:rsid w:val="0D111C4A"/>
    <w:rsid w:val="0D2E4B00"/>
    <w:rsid w:val="0D3817E7"/>
    <w:rsid w:val="0D6B3B8A"/>
    <w:rsid w:val="0E971D98"/>
    <w:rsid w:val="0F320CB7"/>
    <w:rsid w:val="0F8063BC"/>
    <w:rsid w:val="100926AD"/>
    <w:rsid w:val="11D9534F"/>
    <w:rsid w:val="11F3023E"/>
    <w:rsid w:val="12077C80"/>
    <w:rsid w:val="12274D38"/>
    <w:rsid w:val="12451E0A"/>
    <w:rsid w:val="131D6A15"/>
    <w:rsid w:val="13E22F01"/>
    <w:rsid w:val="143C3174"/>
    <w:rsid w:val="14AB529A"/>
    <w:rsid w:val="152B3D5A"/>
    <w:rsid w:val="15BD1FFA"/>
    <w:rsid w:val="16687D5C"/>
    <w:rsid w:val="16D55A37"/>
    <w:rsid w:val="17174643"/>
    <w:rsid w:val="17434F68"/>
    <w:rsid w:val="17895391"/>
    <w:rsid w:val="18584761"/>
    <w:rsid w:val="18E93D61"/>
    <w:rsid w:val="19411FAA"/>
    <w:rsid w:val="19C314D1"/>
    <w:rsid w:val="1A1B6C16"/>
    <w:rsid w:val="1AB42953"/>
    <w:rsid w:val="1B407E5F"/>
    <w:rsid w:val="1B734858"/>
    <w:rsid w:val="1B7F4214"/>
    <w:rsid w:val="1C18004E"/>
    <w:rsid w:val="1C5D5F41"/>
    <w:rsid w:val="1CDB78F9"/>
    <w:rsid w:val="1D522481"/>
    <w:rsid w:val="1D5720EF"/>
    <w:rsid w:val="1D620C45"/>
    <w:rsid w:val="1D6D13DF"/>
    <w:rsid w:val="1D9A0066"/>
    <w:rsid w:val="1E3F0154"/>
    <w:rsid w:val="1E4A07AE"/>
    <w:rsid w:val="1E6460C3"/>
    <w:rsid w:val="1F577AA0"/>
    <w:rsid w:val="1F7B4819"/>
    <w:rsid w:val="1F891DD7"/>
    <w:rsid w:val="20576F98"/>
    <w:rsid w:val="20B521EB"/>
    <w:rsid w:val="20D655E6"/>
    <w:rsid w:val="20E837FC"/>
    <w:rsid w:val="21FB63C5"/>
    <w:rsid w:val="221C664E"/>
    <w:rsid w:val="226F59C9"/>
    <w:rsid w:val="22D621F8"/>
    <w:rsid w:val="22D93281"/>
    <w:rsid w:val="231F37F0"/>
    <w:rsid w:val="236D4B9E"/>
    <w:rsid w:val="242E1E2C"/>
    <w:rsid w:val="24416CFC"/>
    <w:rsid w:val="25522E6A"/>
    <w:rsid w:val="25A14E02"/>
    <w:rsid w:val="25F001BE"/>
    <w:rsid w:val="262963EC"/>
    <w:rsid w:val="2657258B"/>
    <w:rsid w:val="26A8390B"/>
    <w:rsid w:val="27427842"/>
    <w:rsid w:val="276A22B1"/>
    <w:rsid w:val="2772564D"/>
    <w:rsid w:val="282A13EE"/>
    <w:rsid w:val="289718EF"/>
    <w:rsid w:val="28D452F5"/>
    <w:rsid w:val="294D446C"/>
    <w:rsid w:val="29684D4A"/>
    <w:rsid w:val="29C451CC"/>
    <w:rsid w:val="29F57F4A"/>
    <w:rsid w:val="29FA1DF1"/>
    <w:rsid w:val="2A160B2C"/>
    <w:rsid w:val="2A9151B0"/>
    <w:rsid w:val="2AAE1599"/>
    <w:rsid w:val="2B324CED"/>
    <w:rsid w:val="2CC81899"/>
    <w:rsid w:val="2CD148D2"/>
    <w:rsid w:val="2D1550E6"/>
    <w:rsid w:val="2E7F1003"/>
    <w:rsid w:val="2EAB3EEC"/>
    <w:rsid w:val="2EC91D42"/>
    <w:rsid w:val="30172798"/>
    <w:rsid w:val="30581534"/>
    <w:rsid w:val="31223CB5"/>
    <w:rsid w:val="31665DE4"/>
    <w:rsid w:val="31FC59E8"/>
    <w:rsid w:val="340D28AB"/>
    <w:rsid w:val="35085ED6"/>
    <w:rsid w:val="356C183F"/>
    <w:rsid w:val="35707622"/>
    <w:rsid w:val="3868289A"/>
    <w:rsid w:val="38B117EE"/>
    <w:rsid w:val="38DB41FD"/>
    <w:rsid w:val="393A3FD6"/>
    <w:rsid w:val="39BB034B"/>
    <w:rsid w:val="3A1B1D78"/>
    <w:rsid w:val="3A693BD9"/>
    <w:rsid w:val="3A945DCD"/>
    <w:rsid w:val="3A9946FA"/>
    <w:rsid w:val="3ABA3C27"/>
    <w:rsid w:val="3BB77873"/>
    <w:rsid w:val="3CA84371"/>
    <w:rsid w:val="3CCE314A"/>
    <w:rsid w:val="3D1050CA"/>
    <w:rsid w:val="3D4700A1"/>
    <w:rsid w:val="3D6A1A71"/>
    <w:rsid w:val="3D9275F3"/>
    <w:rsid w:val="3DDF29D6"/>
    <w:rsid w:val="3ED32DF4"/>
    <w:rsid w:val="3F1E48F3"/>
    <w:rsid w:val="3F997637"/>
    <w:rsid w:val="40361334"/>
    <w:rsid w:val="41EF4EDB"/>
    <w:rsid w:val="420C165B"/>
    <w:rsid w:val="421B0C07"/>
    <w:rsid w:val="425B66AD"/>
    <w:rsid w:val="43F02307"/>
    <w:rsid w:val="44EE49AD"/>
    <w:rsid w:val="458F7A2C"/>
    <w:rsid w:val="45B60769"/>
    <w:rsid w:val="45FB4E52"/>
    <w:rsid w:val="460C0124"/>
    <w:rsid w:val="46FC4EC9"/>
    <w:rsid w:val="472C1E97"/>
    <w:rsid w:val="47361D3E"/>
    <w:rsid w:val="47FC50B2"/>
    <w:rsid w:val="48057B93"/>
    <w:rsid w:val="48A703C1"/>
    <w:rsid w:val="48C21D8C"/>
    <w:rsid w:val="48E80EAF"/>
    <w:rsid w:val="496D2B10"/>
    <w:rsid w:val="4A44069E"/>
    <w:rsid w:val="4A7F5C95"/>
    <w:rsid w:val="4B560E4C"/>
    <w:rsid w:val="4BAC4B91"/>
    <w:rsid w:val="4BB25600"/>
    <w:rsid w:val="4C84142B"/>
    <w:rsid w:val="4CC80785"/>
    <w:rsid w:val="4CEA2A92"/>
    <w:rsid w:val="4D827A64"/>
    <w:rsid w:val="4DA851D4"/>
    <w:rsid w:val="4DAB136A"/>
    <w:rsid w:val="4E4F1D74"/>
    <w:rsid w:val="4E8F7925"/>
    <w:rsid w:val="4ED254FB"/>
    <w:rsid w:val="4FBE2AA9"/>
    <w:rsid w:val="4FC56E06"/>
    <w:rsid w:val="4FDA5ED8"/>
    <w:rsid w:val="50185AC0"/>
    <w:rsid w:val="502258A2"/>
    <w:rsid w:val="5043342A"/>
    <w:rsid w:val="50B1127D"/>
    <w:rsid w:val="514E3059"/>
    <w:rsid w:val="518645B1"/>
    <w:rsid w:val="51D018EB"/>
    <w:rsid w:val="520F0873"/>
    <w:rsid w:val="52640183"/>
    <w:rsid w:val="537852F0"/>
    <w:rsid w:val="53AA016C"/>
    <w:rsid w:val="53CB623A"/>
    <w:rsid w:val="540A79D3"/>
    <w:rsid w:val="54B278AC"/>
    <w:rsid w:val="56A67315"/>
    <w:rsid w:val="56DD5FC1"/>
    <w:rsid w:val="572025D7"/>
    <w:rsid w:val="5819148A"/>
    <w:rsid w:val="59BF471C"/>
    <w:rsid w:val="5A752698"/>
    <w:rsid w:val="5A9170E5"/>
    <w:rsid w:val="5B1E091F"/>
    <w:rsid w:val="5B5C58C5"/>
    <w:rsid w:val="5CB24388"/>
    <w:rsid w:val="5D233A63"/>
    <w:rsid w:val="5D89625B"/>
    <w:rsid w:val="5F0B2D3D"/>
    <w:rsid w:val="5FA46C47"/>
    <w:rsid w:val="5FC16770"/>
    <w:rsid w:val="60A5562D"/>
    <w:rsid w:val="612F2016"/>
    <w:rsid w:val="61CB0884"/>
    <w:rsid w:val="628A3138"/>
    <w:rsid w:val="628B5501"/>
    <w:rsid w:val="6308031A"/>
    <w:rsid w:val="642F74AA"/>
    <w:rsid w:val="64D220E5"/>
    <w:rsid w:val="65090DBE"/>
    <w:rsid w:val="663D4018"/>
    <w:rsid w:val="6A162F50"/>
    <w:rsid w:val="6BAF5CDF"/>
    <w:rsid w:val="6C66522E"/>
    <w:rsid w:val="6C6B05AB"/>
    <w:rsid w:val="6CFE32A5"/>
    <w:rsid w:val="6D5B1E5D"/>
    <w:rsid w:val="6D706CE1"/>
    <w:rsid w:val="6E967B26"/>
    <w:rsid w:val="6EBE6D1B"/>
    <w:rsid w:val="6EFC3574"/>
    <w:rsid w:val="6F1779D9"/>
    <w:rsid w:val="6FA10C25"/>
    <w:rsid w:val="70FD1558"/>
    <w:rsid w:val="72203046"/>
    <w:rsid w:val="722463E3"/>
    <w:rsid w:val="727803D5"/>
    <w:rsid w:val="72EA1610"/>
    <w:rsid w:val="7306269C"/>
    <w:rsid w:val="736D3D2B"/>
    <w:rsid w:val="73A120FE"/>
    <w:rsid w:val="74445321"/>
    <w:rsid w:val="748857EA"/>
    <w:rsid w:val="74BE0472"/>
    <w:rsid w:val="750603AA"/>
    <w:rsid w:val="752F4C54"/>
    <w:rsid w:val="75746DB0"/>
    <w:rsid w:val="760F66D2"/>
    <w:rsid w:val="762772D7"/>
    <w:rsid w:val="765C017C"/>
    <w:rsid w:val="768C2DB1"/>
    <w:rsid w:val="76D72660"/>
    <w:rsid w:val="76DA2C24"/>
    <w:rsid w:val="76E80E41"/>
    <w:rsid w:val="77B21C52"/>
    <w:rsid w:val="78942102"/>
    <w:rsid w:val="79191E4E"/>
    <w:rsid w:val="792F74BF"/>
    <w:rsid w:val="79E70253"/>
    <w:rsid w:val="79F11A22"/>
    <w:rsid w:val="7A4F4E21"/>
    <w:rsid w:val="7AB772D6"/>
    <w:rsid w:val="7B6D33DE"/>
    <w:rsid w:val="7BF25F0F"/>
    <w:rsid w:val="7CA40FD1"/>
    <w:rsid w:val="7DC23596"/>
    <w:rsid w:val="7E065CF7"/>
    <w:rsid w:val="7E451BB6"/>
    <w:rsid w:val="7E4B5AF4"/>
    <w:rsid w:val="7F101C22"/>
    <w:rsid w:val="7FEE45B6"/>
    <w:rsid w:val="E9FDAC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Emphasis"/>
    <w:basedOn w:val="6"/>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2021-04-30T19:09:00Z</dcterms:created>
  <dc:creator>熊石凤</dc:creator>
  <cp:lastModifiedBy>xiong</cp:lastModifiedBy>
  <cp:lastPrinted>2021-08-04T04:45:00Z</cp:lastPrinted>
  <dcterms:modified xsi:type="dcterms:W3CDTF">2022-07-07T16:10:12Z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0F7A328BCB4E4D04AC5B41F5F69AE5EC</vt:lpwstr>
  </property>
</Properties>
</file>