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60" w:lineRule="exact"/>
        <w:ind w:left="0" w:leftChars="0" w:firstLine="0" w:firstLineChars="0"/>
        <w:textAlignment w:val="auto"/>
        <w:rPr>
          <w:rFonts w:hint="eastAsia" w:ascii="黑体" w:hAnsi="黑体" w:eastAsia="黑体" w:cs="Arial"/>
          <w:color w:val="auto"/>
          <w:kern w:val="0"/>
          <w:szCs w:val="32"/>
          <w:lang w:eastAsia="zh-CN"/>
        </w:rPr>
      </w:pPr>
      <w:bookmarkStart w:id="0" w:name="_GoBack"/>
      <w:bookmarkEnd w:id="0"/>
      <w:r>
        <w:rPr>
          <w:rFonts w:hint="eastAsia" w:ascii="黑体" w:hAnsi="黑体" w:eastAsia="黑体" w:cs="Arial"/>
          <w:color w:val="auto"/>
          <w:kern w:val="0"/>
          <w:szCs w:val="32"/>
        </w:rPr>
        <w:t>附件</w:t>
      </w:r>
      <w:r>
        <w:rPr>
          <w:rFonts w:hint="eastAsia" w:ascii="黑体" w:hAnsi="黑体" w:eastAsia="黑体" w:cs="Arial"/>
          <w:color w:val="auto"/>
          <w:kern w:val="0"/>
          <w:szCs w:val="32"/>
          <w:lang w:val="en-US" w:eastAsia="zh-CN"/>
        </w:rPr>
        <w:t>2</w:t>
      </w:r>
    </w:p>
    <w:p>
      <w:pPr>
        <w:keepNext w:val="0"/>
        <w:keepLines w:val="0"/>
        <w:pageBreakBefore w:val="0"/>
        <w:kinsoku/>
        <w:wordWrap/>
        <w:overflowPunct/>
        <w:topLinePunct w:val="0"/>
        <w:autoSpaceDE/>
        <w:autoSpaceDN/>
        <w:bidi w:val="0"/>
        <w:adjustRightInd/>
        <w:snapToGrid/>
        <w:spacing w:line="560" w:lineRule="exact"/>
        <w:ind w:firstLine="832"/>
        <w:jc w:val="center"/>
        <w:textAlignment w:val="auto"/>
        <w:rPr>
          <w:rFonts w:ascii="方正小标宋简体" w:hAnsi="方正小标宋简体" w:eastAsia="方正小标宋简体" w:cs="方正小标宋简体"/>
          <w:color w:val="auto"/>
          <w:spacing w:val="-12"/>
          <w:sz w:val="44"/>
          <w:szCs w:val="44"/>
        </w:rPr>
      </w:pPr>
      <w:r>
        <w:rPr>
          <w:rFonts w:hint="eastAsia" w:ascii="华文中宋" w:hAnsi="华文中宋" w:eastAsia="华文中宋" w:cs="华文中宋"/>
          <w:color w:val="auto"/>
          <w:spacing w:val="-12"/>
          <w:sz w:val="44"/>
          <w:szCs w:val="44"/>
        </w:rPr>
        <w:t>部分不合格项目小知识</w:t>
      </w:r>
    </w:p>
    <w:p>
      <w:pPr>
        <w:pStyle w:val="11"/>
        <w:keepNext w:val="0"/>
        <w:keepLines w:val="0"/>
        <w:pageBreakBefore w:val="0"/>
        <w:kinsoku/>
        <w:wordWrap/>
        <w:overflowPunct/>
        <w:topLinePunct w:val="0"/>
        <w:autoSpaceDE/>
        <w:autoSpaceDN/>
        <w:bidi w:val="0"/>
        <w:adjustRightInd/>
        <w:snapToGrid/>
        <w:spacing w:after="0" w:line="560" w:lineRule="exact"/>
        <w:ind w:left="640" w:firstLine="480"/>
        <w:textAlignment w:val="auto"/>
        <w:rPr>
          <w:color w:val="auto"/>
        </w:rPr>
      </w:pPr>
    </w:p>
    <w:p>
      <w:pPr>
        <w:keepNext w:val="0"/>
        <w:keepLines w:val="0"/>
        <w:pageBreakBefore w:val="0"/>
        <w:kinsoku/>
        <w:wordWrap/>
        <w:overflowPunct/>
        <w:topLinePunct w:val="0"/>
        <w:autoSpaceDE/>
        <w:autoSpaceDN/>
        <w:bidi w:val="0"/>
        <w:adjustRightInd/>
        <w:snapToGrid/>
        <w:spacing w:line="560" w:lineRule="exact"/>
        <w:ind w:firstLine="643"/>
        <w:textAlignment w:val="auto"/>
        <w:rPr>
          <w:rFonts w:ascii="黑体" w:hAnsi="黑体" w:eastAsia="黑体" w:cs="黑体"/>
          <w:b w:val="0"/>
          <w:bCs w:val="0"/>
          <w:color w:val="auto"/>
          <w:szCs w:val="32"/>
        </w:rPr>
      </w:pPr>
      <w:r>
        <w:rPr>
          <w:rFonts w:hint="eastAsia" w:ascii="黑体" w:hAnsi="黑体" w:eastAsia="黑体" w:cs="黑体"/>
          <w:b w:val="0"/>
          <w:bCs w:val="0"/>
          <w:color w:val="auto"/>
          <w:szCs w:val="32"/>
        </w:rPr>
        <w:t>一、不合格项目小知识</w:t>
      </w:r>
    </w:p>
    <w:p>
      <w:pPr>
        <w:spacing w:line="560" w:lineRule="exact"/>
        <w:ind w:firstLine="642" w:firstLineChars="200"/>
        <w:rPr>
          <w:rFonts w:hint="eastAsia" w:ascii="楷体_GB2312" w:hAnsi="楷体" w:eastAsia="楷体_GB2312" w:cs="仿宋_GB2312"/>
          <w:b/>
          <w:color w:val="auto"/>
          <w:sz w:val="32"/>
          <w:szCs w:val="32"/>
          <w:lang w:eastAsia="zh-CN"/>
        </w:rPr>
      </w:pPr>
      <w:r>
        <w:rPr>
          <w:rFonts w:hint="eastAsia" w:ascii="楷体_GB2312" w:hAnsi="楷体" w:eastAsia="楷体_GB2312" w:cs="仿宋_GB2312"/>
          <w:b/>
          <w:color w:val="auto"/>
          <w:sz w:val="32"/>
          <w:szCs w:val="32"/>
          <w:lang w:eastAsia="zh-CN"/>
        </w:rPr>
        <w:t>（</w:t>
      </w:r>
      <w:r>
        <w:rPr>
          <w:rFonts w:hint="eastAsia" w:ascii="楷体_GB2312" w:hAnsi="楷体" w:eastAsia="楷体_GB2312" w:cs="仿宋_GB2312"/>
          <w:b/>
          <w:color w:val="auto"/>
          <w:sz w:val="32"/>
          <w:szCs w:val="32"/>
          <w:lang w:val="en-US" w:eastAsia="zh-CN"/>
        </w:rPr>
        <w:t>一</w:t>
      </w:r>
      <w:r>
        <w:rPr>
          <w:rFonts w:hint="eastAsia" w:ascii="楷体_GB2312" w:hAnsi="楷体" w:eastAsia="楷体_GB2312" w:cs="仿宋_GB2312"/>
          <w:b/>
          <w:color w:val="auto"/>
          <w:sz w:val="32"/>
          <w:szCs w:val="32"/>
          <w:lang w:eastAsia="zh-CN"/>
        </w:rPr>
        <w:t>）二氧化硫残留量</w:t>
      </w:r>
    </w:p>
    <w:p>
      <w:pPr>
        <w:spacing w:line="560" w:lineRule="exact"/>
        <w:ind w:firstLine="640" w:firstLineChars="200"/>
        <w:rPr>
          <w:color w:val="auto"/>
        </w:rPr>
      </w:pPr>
      <w:r>
        <w:rPr>
          <w:rFonts w:hint="eastAsia" w:ascii="仿宋_GB2312" w:hAnsi="仿宋" w:eastAsia="仿宋_GB2312" w:cs="宋体"/>
          <w:color w:val="auto"/>
          <w:kern w:val="0"/>
          <w:sz w:val="32"/>
          <w:szCs w:val="32"/>
        </w:rPr>
        <w:t>食品中的二氧化硫残留通常是指二氧化硫、硫磺以及焦亚硫酸钠、焦亚硫酸钾、亚硫酸钠、亚硫酸氢钠、低亚硫酸钠等无机亚硫酸盐残留的统称。</w:t>
      </w:r>
      <w:r>
        <w:rPr>
          <w:rFonts w:hint="eastAsia" w:ascii="仿宋_GB2312" w:hAnsi="仿宋" w:eastAsia="仿宋_GB2312"/>
          <w:color w:val="auto"/>
          <w:sz w:val="32"/>
          <w:szCs w:val="32"/>
        </w:rPr>
        <w:t>《食品安全国家标准 食品添加剂使用标准》（GB 2760-2014）中规定，干制蔬菜中二氧化硫残留量应≤0.2g/kg。</w:t>
      </w:r>
      <w:r>
        <w:rPr>
          <w:rFonts w:hint="eastAsia" w:ascii="仿宋_GB2312" w:hAnsi="仿宋" w:eastAsia="仿宋_GB2312" w:cs="宋体"/>
          <w:color w:val="auto"/>
          <w:kern w:val="0"/>
          <w:sz w:val="32"/>
          <w:szCs w:val="32"/>
        </w:rPr>
        <w:t>对二氧化硫有过敏反应的人（如哮喘病患者等）若食用二氧化硫超标的食物，可能会出现气喘、头痛或恶心等过敏症状。若长期大量摄入二氧化硫残留超标的食品，则可能对人体健康造成危害，其毒性表现为胃肠道反应，如恶心、呕吐等。此外，还会影响钙吸收，使机体钙丢失。</w:t>
      </w:r>
    </w:p>
    <w:p>
      <w:pPr>
        <w:spacing w:line="560" w:lineRule="exact"/>
        <w:ind w:firstLine="642" w:firstLineChars="200"/>
        <w:rPr>
          <w:rFonts w:hint="eastAsia" w:ascii="楷体_GB2312" w:hAnsi="楷体" w:eastAsia="楷体_GB2312" w:cs="仿宋_GB2312"/>
          <w:b/>
          <w:sz w:val="32"/>
          <w:szCs w:val="32"/>
          <w:lang w:eastAsia="zh-CN"/>
        </w:rPr>
      </w:pPr>
      <w:r>
        <w:rPr>
          <w:rFonts w:hint="eastAsia" w:ascii="楷体_GB2312" w:hAnsi="楷体" w:eastAsia="楷体_GB2312" w:cs="仿宋_GB2312"/>
          <w:b/>
          <w:sz w:val="32"/>
          <w:szCs w:val="32"/>
          <w:lang w:eastAsia="zh-CN"/>
        </w:rPr>
        <w:t>（</w:t>
      </w:r>
      <w:r>
        <w:rPr>
          <w:rFonts w:hint="eastAsia" w:ascii="楷体_GB2312" w:hAnsi="楷体" w:eastAsia="楷体_GB2312" w:cs="仿宋_GB2312"/>
          <w:b/>
          <w:sz w:val="32"/>
          <w:szCs w:val="32"/>
          <w:lang w:val="en-US" w:eastAsia="zh-CN"/>
        </w:rPr>
        <w:t>二</w:t>
      </w:r>
      <w:r>
        <w:rPr>
          <w:rFonts w:hint="eastAsia" w:ascii="楷体_GB2312" w:hAnsi="楷体" w:eastAsia="楷体_GB2312" w:cs="仿宋_GB2312"/>
          <w:b/>
          <w:sz w:val="32"/>
          <w:szCs w:val="32"/>
          <w:lang w:eastAsia="zh-CN"/>
        </w:rPr>
        <w:t>）大肠菌群</w:t>
      </w:r>
    </w:p>
    <w:p>
      <w:pPr>
        <w:widowControl/>
        <w:jc w:val="both"/>
        <w:rPr>
          <w:rFonts w:hint="eastAsia" w:ascii="仿宋_GB2312" w:hAnsi="仿宋" w:eastAsia="仿宋_GB2312"/>
          <w:color w:val="auto"/>
          <w:sz w:val="32"/>
          <w:szCs w:val="32"/>
        </w:rPr>
      </w:pPr>
      <w:r>
        <w:rPr>
          <w:rFonts w:ascii="仿宋_GB2312" w:hAnsi="仿宋" w:eastAsia="仿宋_GB2312"/>
          <w:sz w:val="32"/>
          <w:szCs w:val="32"/>
          <w:lang w:val="zh-CN"/>
        </w:rPr>
        <w:t>大肠菌群是国内外通用的食品污染常用指示菌之一。</w:t>
      </w:r>
      <w:r>
        <w:rPr>
          <w:rFonts w:hint="eastAsia" w:ascii="仿宋_GB2312" w:hAnsi="仿宋" w:eastAsia="仿宋_GB2312"/>
          <w:sz w:val="32"/>
          <w:szCs w:val="32"/>
          <w:lang w:val="zh-CN"/>
        </w:rPr>
        <w:t>食品中检出大肠菌群，提示被致病菌（如沙门氏菌、志贺氏菌、致病性大肠杆菌）污染的可能性较大。</w:t>
      </w:r>
      <w:r>
        <w:rPr>
          <w:rFonts w:ascii="仿宋_GB2312" w:hAnsi="仿宋" w:eastAsia="仿宋_GB2312"/>
          <w:sz w:val="32"/>
          <w:szCs w:val="32"/>
          <w:lang w:val="zh-CN"/>
        </w:rPr>
        <w:t>《食品安全国家标</w:t>
      </w:r>
      <w:r>
        <w:rPr>
          <w:rFonts w:hint="eastAsia" w:ascii="仿宋_GB2312" w:hAnsi="仿宋" w:eastAsia="仿宋_GB2312"/>
          <w:sz w:val="32"/>
          <w:szCs w:val="32"/>
          <w:lang w:val="zh-CN"/>
        </w:rPr>
        <w:t>准 消毒餐（饮）具</w:t>
      </w:r>
      <w:r>
        <w:rPr>
          <w:rFonts w:ascii="仿宋_GB2312" w:hAnsi="仿宋" w:eastAsia="仿宋_GB2312"/>
          <w:sz w:val="32"/>
          <w:szCs w:val="32"/>
          <w:lang w:val="zh-CN"/>
        </w:rPr>
        <w:t xml:space="preserve">》（GB </w:t>
      </w:r>
      <w:r>
        <w:rPr>
          <w:rFonts w:hint="eastAsia" w:ascii="仿宋_GB2312" w:hAnsi="仿宋" w:eastAsia="仿宋_GB2312"/>
          <w:sz w:val="32"/>
          <w:szCs w:val="32"/>
          <w:lang w:val="zh-CN"/>
        </w:rPr>
        <w:t>14934</w:t>
      </w:r>
      <w:r>
        <w:rPr>
          <w:rFonts w:hint="eastAsia" w:ascii="仿宋_GB2312" w:hAnsi="仿宋" w:eastAsia="仿宋_GB2312"/>
          <w:color w:val="auto"/>
          <w:sz w:val="32"/>
          <w:szCs w:val="32"/>
          <w:lang w:val="en-US" w:eastAsia="zh-CN"/>
        </w:rPr>
        <w:t>-</w:t>
      </w:r>
      <w:r>
        <w:rPr>
          <w:rFonts w:ascii="仿宋_GB2312" w:hAnsi="仿宋" w:eastAsia="仿宋_GB2312"/>
          <w:sz w:val="32"/>
          <w:szCs w:val="32"/>
          <w:lang w:val="zh-CN"/>
        </w:rPr>
        <w:t>201</w:t>
      </w:r>
      <w:r>
        <w:rPr>
          <w:rFonts w:hint="eastAsia" w:ascii="仿宋_GB2312" w:hAnsi="仿宋" w:eastAsia="仿宋_GB2312"/>
          <w:sz w:val="32"/>
          <w:szCs w:val="32"/>
          <w:lang w:val="zh-CN"/>
        </w:rPr>
        <w:t>6</w:t>
      </w:r>
      <w:r>
        <w:rPr>
          <w:rFonts w:ascii="仿宋_GB2312" w:hAnsi="仿宋" w:eastAsia="仿宋_GB2312"/>
          <w:sz w:val="32"/>
          <w:szCs w:val="32"/>
          <w:lang w:val="zh-CN"/>
        </w:rPr>
        <w:t>）中规定，</w:t>
      </w:r>
      <w:r>
        <w:rPr>
          <w:rFonts w:hint="eastAsia" w:ascii="仿宋_GB2312" w:hAnsi="仿宋" w:eastAsia="仿宋_GB2312"/>
          <w:sz w:val="32"/>
          <w:szCs w:val="32"/>
          <w:lang w:val="zh-CN"/>
        </w:rPr>
        <w:t>消毒餐（饮）具（每50</w:t>
      </w:r>
      <w:r>
        <w:rPr>
          <w:rFonts w:hint="eastAsia" w:ascii="仿宋_GB2312" w:hAnsi="仿宋" w:eastAsia="仿宋_GB2312"/>
          <w:sz w:val="32"/>
          <w:szCs w:val="32"/>
          <w:lang w:val="en-US" w:eastAsia="zh-CN"/>
        </w:rPr>
        <w:t>c</w:t>
      </w:r>
      <w:r>
        <w:rPr>
          <w:rFonts w:hint="eastAsia" w:ascii="仿宋_GB2312" w:hAnsi="仿宋" w:eastAsia="仿宋_GB2312"/>
          <w:sz w:val="32"/>
          <w:szCs w:val="32"/>
          <w:lang w:val="zh-CN"/>
        </w:rPr>
        <w:t>m</w:t>
      </w:r>
      <w:r>
        <w:rPr>
          <w:rFonts w:hint="eastAsia" w:ascii="仿宋_GB2312" w:hAnsi="仿宋" w:eastAsia="仿宋_GB2312"/>
          <w:color w:val="auto"/>
          <w:sz w:val="32"/>
          <w:szCs w:val="32"/>
          <w:vertAlign w:val="superscript"/>
          <w:lang w:val="zh-CN"/>
        </w:rPr>
        <w:t>2</w:t>
      </w:r>
      <w:r>
        <w:rPr>
          <w:rFonts w:hint="eastAsia" w:ascii="仿宋_GB2312" w:hAnsi="仿宋" w:eastAsia="仿宋_GB2312"/>
          <w:sz w:val="32"/>
          <w:szCs w:val="32"/>
          <w:lang w:val="zh-CN"/>
        </w:rPr>
        <w:t>）中不得检出大肠菌群。《食品安全国家标准 熟肉制品》</w:t>
      </w:r>
      <w:r>
        <w:rPr>
          <w:rFonts w:hint="eastAsia" w:ascii="仿宋_GB2312" w:hAnsi="仿宋" w:eastAsia="仿宋_GB2312"/>
          <w:sz w:val="32"/>
          <w:szCs w:val="32"/>
          <w:lang w:val="zh-CN" w:eastAsia="zh-CN"/>
        </w:rPr>
        <w:t>（</w:t>
      </w:r>
      <w:r>
        <w:rPr>
          <w:rFonts w:hint="eastAsia" w:ascii="仿宋_GB2312" w:hAnsi="仿宋" w:eastAsia="仿宋_GB2312"/>
          <w:sz w:val="32"/>
          <w:szCs w:val="32"/>
          <w:lang w:val="zh-CN"/>
        </w:rPr>
        <w:t>GB 2726-2016</w:t>
      </w:r>
      <w:r>
        <w:rPr>
          <w:rFonts w:hint="eastAsia" w:ascii="仿宋_GB2312" w:hAnsi="仿宋" w:eastAsia="仿宋_GB2312"/>
          <w:sz w:val="32"/>
          <w:szCs w:val="32"/>
          <w:lang w:val="zh-CN" w:eastAsia="zh-CN"/>
        </w:rPr>
        <w:t>）、</w:t>
      </w:r>
      <w:r>
        <w:rPr>
          <w:rFonts w:hint="eastAsia" w:ascii="仿宋_GB2312" w:hAnsi="仿宋" w:eastAsia="仿宋_GB2312"/>
          <w:sz w:val="32"/>
          <w:szCs w:val="32"/>
          <w:lang w:val="zh-CN"/>
        </w:rPr>
        <w:t xml:space="preserve">《食品安全国家标准 </w:t>
      </w:r>
      <w:r>
        <w:rPr>
          <w:rFonts w:hint="eastAsia" w:ascii="仿宋_GB2312" w:hAnsi="仿宋"/>
          <w:sz w:val="32"/>
          <w:szCs w:val="32"/>
          <w:lang w:val="en-US" w:eastAsia="zh-CN"/>
        </w:rPr>
        <w:t>糕点、面包</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GB </w:t>
      </w:r>
      <w:r>
        <w:rPr>
          <w:rFonts w:hint="eastAsia" w:ascii="仿宋_GB2312" w:hAnsi="仿宋"/>
          <w:sz w:val="32"/>
          <w:szCs w:val="32"/>
          <w:lang w:val="en-US" w:eastAsia="zh-CN"/>
        </w:rPr>
        <w:t>7099</w:t>
      </w:r>
      <w:r>
        <w:rPr>
          <w:rFonts w:hint="eastAsia" w:ascii="仿宋_GB2312" w:hAnsi="仿宋" w:eastAsia="仿宋_GB2312"/>
          <w:sz w:val="32"/>
          <w:szCs w:val="32"/>
        </w:rPr>
        <w:t>-2015</w:t>
      </w:r>
      <w:r>
        <w:rPr>
          <w:rFonts w:hint="eastAsia" w:ascii="仿宋_GB2312" w:hAnsi="仿宋" w:eastAsia="仿宋_GB2312"/>
          <w:sz w:val="32"/>
          <w:szCs w:val="32"/>
          <w:lang w:eastAsia="zh-CN"/>
        </w:rPr>
        <w:t>）中规定</w:t>
      </w:r>
      <w:r>
        <w:rPr>
          <w:rFonts w:hint="eastAsia" w:ascii="仿宋_GB2312" w:hAnsi="仿宋" w:eastAsia="仿宋_GB2312"/>
          <w:sz w:val="32"/>
          <w:szCs w:val="32"/>
        </w:rPr>
        <w:t>，从一批产品中采集5个样品，若5个样品的检验结果均小于或等于m值（≤</w:t>
      </w:r>
      <w:r>
        <w:rPr>
          <w:rFonts w:hint="eastAsia" w:ascii="仿宋_GB2312" w:hAnsi="仿宋" w:eastAsia="仿宋_GB2312"/>
          <w:color w:val="000000"/>
          <w:sz w:val="32"/>
          <w:szCs w:val="32"/>
        </w:rPr>
        <w:t>10</w:t>
      </w:r>
      <w:r>
        <w:rPr>
          <w:rFonts w:hint="eastAsia" w:ascii="仿宋_GB2312" w:hAnsi="仿宋" w:eastAsia="仿宋_GB2312"/>
          <w:sz w:val="32"/>
          <w:szCs w:val="32"/>
        </w:rPr>
        <w:t>CFU/g），则这种情况是允许的；若≤2个样品的结果（X）位于m值和M值之间（</w:t>
      </w:r>
      <w:r>
        <w:rPr>
          <w:rFonts w:hint="eastAsia" w:ascii="仿宋_GB2312" w:hAnsi="仿宋" w:eastAsia="仿宋_GB2312"/>
          <w:color w:val="000000"/>
          <w:sz w:val="32"/>
          <w:szCs w:val="32"/>
        </w:rPr>
        <w:t>10</w:t>
      </w:r>
      <w:r>
        <w:rPr>
          <w:rFonts w:hint="eastAsia" w:ascii="仿宋_GB2312" w:hAnsi="仿宋" w:eastAsia="仿宋_GB2312"/>
          <w:sz w:val="32"/>
          <w:szCs w:val="32"/>
        </w:rPr>
        <w:t>CFU/g＜X≤</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CFU/g）,则这种情况也是允许的；若有3个及以上的样品检验结果位于m值和M值之间，则这种情况是不允许的；若有任一样品的检验结果大于M值（＞</w:t>
      </w:r>
      <w:r>
        <w:rPr>
          <w:rFonts w:hint="eastAsia" w:ascii="仿宋_GB2312" w:hAnsi="仿宋" w:eastAsia="仿宋_GB2312"/>
          <w:color w:val="000000"/>
          <w:sz w:val="32"/>
          <w:szCs w:val="32"/>
        </w:rPr>
        <w:t>10</w:t>
      </w:r>
      <w:r>
        <w:rPr>
          <w:rFonts w:hint="eastAsia" w:ascii="仿宋_GB2312" w:hAnsi="仿宋" w:eastAsia="仿宋_GB2312"/>
          <w:color w:val="000000"/>
          <w:sz w:val="32"/>
          <w:szCs w:val="32"/>
          <w:vertAlign w:val="superscript"/>
        </w:rPr>
        <w:t>2</w:t>
      </w:r>
      <w:r>
        <w:rPr>
          <w:rFonts w:hint="eastAsia" w:ascii="仿宋_GB2312" w:hAnsi="仿宋" w:eastAsia="仿宋_GB2312"/>
          <w:sz w:val="32"/>
          <w:szCs w:val="32"/>
        </w:rPr>
        <w:t>CFU/g），则这种情况也是不允许的。</w:t>
      </w:r>
      <w:r>
        <w:rPr>
          <w:rFonts w:hint="eastAsia" w:ascii="仿宋_GB2312" w:hAnsi="仿宋" w:eastAsia="仿宋_GB2312"/>
          <w:color w:val="auto"/>
          <w:sz w:val="32"/>
          <w:szCs w:val="32"/>
        </w:rPr>
        <w:t>就餐者使用了大肠菌群不合格的餐饮具</w:t>
      </w:r>
      <w:r>
        <w:rPr>
          <w:rFonts w:hint="eastAsia" w:ascii="仿宋_GB2312" w:hAnsi="仿宋"/>
          <w:color w:val="auto"/>
          <w:sz w:val="32"/>
          <w:szCs w:val="32"/>
          <w:lang w:val="en-US" w:eastAsia="zh-CN"/>
        </w:rPr>
        <w:t>或食用了大肠菌群不合格的食品</w:t>
      </w:r>
      <w:r>
        <w:rPr>
          <w:rFonts w:hint="eastAsia" w:ascii="仿宋_GB2312" w:hAnsi="仿宋" w:eastAsia="仿宋_GB2312"/>
          <w:color w:val="auto"/>
          <w:sz w:val="32"/>
          <w:szCs w:val="32"/>
        </w:rPr>
        <w:t>，可能会出现呕吐、腹泻等消化道疾病。</w:t>
      </w:r>
    </w:p>
    <w:p>
      <w:pPr>
        <w:spacing w:line="560" w:lineRule="exact"/>
        <w:ind w:firstLine="642" w:firstLineChars="200"/>
        <w:rPr>
          <w:rFonts w:hint="eastAsia" w:ascii="方正楷体_GB2312" w:hAnsi="方正楷体_GB2312" w:eastAsia="方正楷体_GB2312" w:cs="方正楷体_GB2312"/>
          <w:b/>
          <w:sz w:val="32"/>
          <w:szCs w:val="32"/>
          <w:lang w:val="zh-CN" w:eastAsia="zh-CN"/>
        </w:rPr>
      </w:pPr>
      <w:r>
        <w:rPr>
          <w:rFonts w:hint="eastAsia" w:ascii="方正楷体_GB2312" w:hAnsi="方正楷体_GB2312" w:eastAsia="方正楷体_GB2312" w:cs="方正楷体_GB2312"/>
          <w:b/>
          <w:sz w:val="32"/>
          <w:szCs w:val="32"/>
          <w:lang w:val="zh-CN" w:eastAsia="zh-CN"/>
        </w:rPr>
        <w:t>（</w:t>
      </w:r>
      <w:r>
        <w:rPr>
          <w:rFonts w:hint="eastAsia" w:ascii="方正楷体_GB2312" w:hAnsi="方正楷体_GB2312" w:eastAsia="方正楷体_GB2312" w:cs="方正楷体_GB2312"/>
          <w:b/>
          <w:sz w:val="32"/>
          <w:szCs w:val="32"/>
          <w:lang w:val="en-US" w:eastAsia="zh-CN"/>
        </w:rPr>
        <w:t>三</w:t>
      </w:r>
      <w:r>
        <w:rPr>
          <w:rFonts w:hint="eastAsia" w:ascii="方正楷体_GB2312" w:hAnsi="方正楷体_GB2312" w:eastAsia="方正楷体_GB2312" w:cs="方正楷体_GB2312"/>
          <w:b/>
          <w:sz w:val="32"/>
          <w:szCs w:val="32"/>
          <w:lang w:val="zh-CN" w:eastAsia="zh-CN"/>
        </w:rPr>
        <w:t>）过氧化值</w:t>
      </w:r>
    </w:p>
    <w:p>
      <w:pPr>
        <w:spacing w:line="560" w:lineRule="exact"/>
        <w:ind w:firstLine="640" w:firstLineChars="200"/>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过氧化值主要反映食品中油脂是否氧化变质。随着油脂被氧化，过氧化值会逐步升高。</w:t>
      </w:r>
      <w:r>
        <w:rPr>
          <w:rFonts w:ascii="仿宋_GB2312" w:hAnsi="仿宋" w:eastAsia="仿宋_GB2312" w:cs="宋体"/>
          <w:kern w:val="0"/>
          <w:sz w:val="32"/>
          <w:szCs w:val="32"/>
          <w:lang w:val="zh-CN"/>
        </w:rPr>
        <w:t>《食品安全国家标准</w:t>
      </w:r>
      <w:r>
        <w:rPr>
          <w:rFonts w:hint="eastAsia" w:ascii="仿宋_GB2312" w:hAnsi="仿宋" w:eastAsia="仿宋_GB2312" w:cs="宋体"/>
          <w:kern w:val="0"/>
          <w:sz w:val="32"/>
          <w:szCs w:val="32"/>
          <w:lang w:val="zh-CN"/>
        </w:rPr>
        <w:t xml:space="preserve"> 坚果与籽类</w:t>
      </w:r>
      <w:r>
        <w:rPr>
          <w:rFonts w:ascii="仿宋_GB2312" w:hAnsi="仿宋" w:eastAsia="仿宋_GB2312" w:cs="宋体"/>
          <w:kern w:val="0"/>
          <w:sz w:val="32"/>
          <w:szCs w:val="32"/>
          <w:lang w:val="zh-CN"/>
        </w:rPr>
        <w:t>食品》（GB 1</w:t>
      </w:r>
      <w:r>
        <w:rPr>
          <w:rFonts w:hint="eastAsia" w:ascii="仿宋_GB2312" w:hAnsi="仿宋" w:eastAsia="仿宋_GB2312" w:cs="宋体"/>
          <w:kern w:val="0"/>
          <w:sz w:val="32"/>
          <w:szCs w:val="32"/>
          <w:lang w:val="zh-CN"/>
        </w:rPr>
        <w:t>9300-2014</w:t>
      </w:r>
      <w:r>
        <w:rPr>
          <w:rFonts w:ascii="仿宋_GB2312" w:hAnsi="仿宋" w:eastAsia="仿宋_GB2312" w:cs="宋体"/>
          <w:kern w:val="0"/>
          <w:sz w:val="32"/>
          <w:szCs w:val="32"/>
          <w:lang w:val="zh-CN"/>
        </w:rPr>
        <w:t>）中</w:t>
      </w:r>
      <w:r>
        <w:rPr>
          <w:rFonts w:hint="eastAsia" w:ascii="仿宋_GB2312" w:hAnsi="仿宋" w:eastAsia="仿宋_GB2312" w:cs="仿宋"/>
          <w:color w:val="auto"/>
          <w:kern w:val="2"/>
          <w:sz w:val="32"/>
          <w:szCs w:val="32"/>
          <w:lang w:val="zh-CN" w:eastAsia="zh-CN" w:bidi="ar-SA"/>
        </w:rPr>
        <w:t>规定，熟制葵花籽过氧化值应</w:t>
      </w:r>
      <w:r>
        <w:rPr>
          <w:rFonts w:hint="eastAsia" w:ascii="仿宋_GB2312" w:hAnsi="仿宋" w:eastAsia="仿宋_GB2312" w:cs="仿宋"/>
          <w:color w:val="auto"/>
          <w:kern w:val="2"/>
          <w:sz w:val="32"/>
          <w:szCs w:val="32"/>
          <w:lang w:val="en-US" w:eastAsia="zh-CN" w:bidi="ar-SA"/>
        </w:rPr>
        <w:t>≤0.80g/100g，其他熟制坚果和籽类食品</w:t>
      </w:r>
      <w:r>
        <w:rPr>
          <w:rFonts w:hint="eastAsia" w:ascii="仿宋_GB2312" w:hAnsi="仿宋" w:eastAsia="仿宋_GB2312" w:cs="仿宋"/>
          <w:color w:val="auto"/>
          <w:kern w:val="2"/>
          <w:sz w:val="32"/>
          <w:szCs w:val="32"/>
          <w:lang w:val="zh-CN" w:eastAsia="zh-CN" w:bidi="ar-SA"/>
        </w:rPr>
        <w:t>过氧化值应</w:t>
      </w:r>
      <w:r>
        <w:rPr>
          <w:rFonts w:hint="eastAsia" w:ascii="仿宋_GB2312" w:hAnsi="仿宋" w:eastAsia="仿宋_GB2312" w:cs="仿宋"/>
          <w:color w:val="auto"/>
          <w:kern w:val="2"/>
          <w:sz w:val="32"/>
          <w:szCs w:val="32"/>
          <w:lang w:val="en-US" w:eastAsia="zh-CN" w:bidi="ar-SA"/>
        </w:rPr>
        <w:t>≤0.50g/100g。食用过氧化值过高的食品可能会导致肠胃不适、腹泻等症状。</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四</w:t>
      </w:r>
      <w:r>
        <w:rPr>
          <w:rFonts w:hint="eastAsia" w:ascii="方正楷体_GB2312" w:hAnsi="方正楷体_GB2312" w:eastAsia="方正楷体_GB2312" w:cs="方正楷体_GB2312"/>
          <w:b/>
          <w:bCs w:val="0"/>
          <w:sz w:val="32"/>
          <w:szCs w:val="32"/>
          <w:lang w:val="zh-CN" w:eastAsia="zh-CN"/>
        </w:rPr>
        <w:t>）菌落总数</w:t>
      </w:r>
    </w:p>
    <w:p>
      <w:pPr>
        <w:spacing w:line="560" w:lineRule="exact"/>
        <w:ind w:firstLine="640" w:firstLineChars="200"/>
        <w:rPr>
          <w:rFonts w:hint="eastAsia" w:ascii="仿宋_GB2312" w:hAnsi="仿宋" w:eastAsia="仿宋_GB2312" w:cs="华文中宋"/>
          <w:color w:val="auto"/>
          <w:kern w:val="2"/>
          <w:sz w:val="32"/>
          <w:szCs w:val="32"/>
          <w:lang w:val="en-US" w:eastAsia="zh-CN" w:bidi="ar-SA"/>
        </w:rPr>
      </w:pPr>
      <w:r>
        <w:rPr>
          <w:rFonts w:hint="eastAsia" w:ascii="仿宋_GB2312" w:hAnsi="仿宋" w:eastAsia="仿宋_GB2312" w:cs="华文中宋"/>
          <w:color w:val="auto"/>
          <w:kern w:val="2"/>
          <w:sz w:val="32"/>
          <w:szCs w:val="32"/>
          <w:lang w:val="en-US" w:eastAsia="zh-CN" w:bidi="ar-SA"/>
        </w:rPr>
        <w:t>菌落总数是指示性微生物指标，并非致病菌指标，主要用来评价食品清洁度，反映食品在生产过程中是否符合卫生要求，一定程度上标志着食品卫生质量的优劣。</w:t>
      </w:r>
      <w:r>
        <w:rPr>
          <w:rFonts w:hint="eastAsia" w:ascii="仿宋_GB2312" w:hAnsi="仿宋" w:eastAsia="仿宋_GB2312" w:cs="仿宋"/>
          <w:sz w:val="32"/>
          <w:szCs w:val="32"/>
        </w:rPr>
        <w:t>《</w:t>
      </w:r>
      <w:r>
        <w:rPr>
          <w:rFonts w:hint="eastAsia" w:ascii="仿宋_GB2312" w:hAnsi="仿宋" w:eastAsia="仿宋_GB2312" w:cs="华文中宋"/>
          <w:color w:val="auto"/>
          <w:kern w:val="2"/>
          <w:sz w:val="32"/>
          <w:szCs w:val="32"/>
          <w:lang w:val="en-US" w:eastAsia="zh-CN" w:bidi="ar-SA"/>
        </w:rPr>
        <w:t>广东省食品安全地方标准 非预包装即食食品微生物限量》（DBS 44-2016）中规定，</w:t>
      </w:r>
      <w:r>
        <w:rPr>
          <w:rFonts w:hint="eastAsia" w:ascii="仿宋_GB2312" w:hAnsi="仿宋" w:cs="华文中宋"/>
          <w:color w:val="auto"/>
          <w:kern w:val="2"/>
          <w:sz w:val="32"/>
          <w:szCs w:val="32"/>
          <w:lang w:val="en-US" w:eastAsia="zh-CN" w:bidi="ar-SA"/>
        </w:rPr>
        <w:t>所有食物材料烹熟后立即食用或立即出售的即食食品（熟肉制品和熟制水产品除外）</w:t>
      </w:r>
      <w:r>
        <w:rPr>
          <w:rFonts w:hint="eastAsia" w:ascii="仿宋_GB2312" w:hAnsi="仿宋" w:eastAsia="仿宋_GB2312" w:cs="华文中宋"/>
          <w:color w:val="auto"/>
          <w:kern w:val="2"/>
          <w:sz w:val="32"/>
          <w:szCs w:val="32"/>
          <w:lang w:val="en-US" w:eastAsia="zh-CN" w:bidi="ar-SA"/>
        </w:rPr>
        <w:t>菌落总数＜10</w:t>
      </w:r>
      <w:r>
        <w:rPr>
          <w:rFonts w:hint="eastAsia" w:ascii="仿宋_GB2312" w:hAnsi="仿宋" w:eastAsia="仿宋_GB2312" w:cs="华文中宋"/>
          <w:color w:val="auto"/>
          <w:kern w:val="2"/>
          <w:sz w:val="32"/>
          <w:szCs w:val="32"/>
          <w:vertAlign w:val="superscript"/>
          <w:lang w:val="en-US" w:eastAsia="zh-CN" w:bidi="ar-SA"/>
        </w:rPr>
        <w:t>4</w:t>
      </w:r>
      <w:r>
        <w:rPr>
          <w:rFonts w:hint="eastAsia" w:ascii="仿宋_GB2312" w:hAnsi="仿宋" w:eastAsia="仿宋_GB2312" w:cs="华文中宋"/>
          <w:color w:val="auto"/>
          <w:kern w:val="2"/>
          <w:sz w:val="32"/>
          <w:szCs w:val="32"/>
          <w:lang w:val="en-US" w:eastAsia="zh-CN" w:bidi="ar-SA"/>
        </w:rPr>
        <w:t xml:space="preserve"> CFU/g为满意，10</w:t>
      </w:r>
      <w:r>
        <w:rPr>
          <w:rFonts w:hint="eastAsia" w:ascii="仿宋_GB2312" w:hAnsi="仿宋" w:eastAsia="仿宋_GB2312" w:cs="华文中宋"/>
          <w:color w:val="auto"/>
          <w:kern w:val="2"/>
          <w:sz w:val="32"/>
          <w:szCs w:val="32"/>
          <w:vertAlign w:val="superscript"/>
          <w:lang w:val="en-US" w:eastAsia="zh-CN" w:bidi="ar-SA"/>
        </w:rPr>
        <w:t>4</w:t>
      </w:r>
      <w:r>
        <w:rPr>
          <w:rFonts w:hint="eastAsia" w:ascii="仿宋_GB2312" w:hAnsi="仿宋" w:eastAsia="仿宋_GB2312" w:cs="华文中宋"/>
          <w:color w:val="auto"/>
          <w:kern w:val="2"/>
          <w:sz w:val="32"/>
          <w:szCs w:val="32"/>
          <w:lang w:val="en-US" w:eastAsia="zh-CN" w:bidi="ar-SA"/>
        </w:rPr>
        <w:t xml:space="preserve"> -＜10</w:t>
      </w:r>
      <w:r>
        <w:rPr>
          <w:rFonts w:hint="eastAsia" w:ascii="仿宋_GB2312" w:hAnsi="仿宋" w:eastAsia="仿宋_GB2312"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CFU/g为可接受，≥10</w:t>
      </w:r>
      <w:r>
        <w:rPr>
          <w:rFonts w:hint="eastAsia" w:ascii="仿宋_GB2312" w:hAnsi="仿宋" w:eastAsia="仿宋_GB2312"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CFU/g为不合格</w:t>
      </w:r>
      <w:r>
        <w:rPr>
          <w:rFonts w:hint="eastAsia" w:ascii="仿宋_GB2312" w:hAnsi="仿宋" w:cs="华文中宋"/>
          <w:color w:val="auto"/>
          <w:kern w:val="2"/>
          <w:sz w:val="32"/>
          <w:szCs w:val="32"/>
          <w:lang w:val="en-US" w:eastAsia="zh-CN" w:bidi="ar-SA"/>
        </w:rPr>
        <w:t>；熟肉制品和熟制水产品</w:t>
      </w:r>
      <w:r>
        <w:rPr>
          <w:rFonts w:hint="eastAsia" w:ascii="仿宋_GB2312" w:hAnsi="仿宋" w:eastAsia="仿宋_GB2312" w:cs="华文中宋"/>
          <w:color w:val="auto"/>
          <w:kern w:val="2"/>
          <w:sz w:val="32"/>
          <w:szCs w:val="32"/>
          <w:lang w:val="en-US" w:eastAsia="zh-CN" w:bidi="ar-SA"/>
        </w:rPr>
        <w:t>菌落总数＜10</w:t>
      </w:r>
      <w:r>
        <w:rPr>
          <w:rFonts w:hint="eastAsia" w:ascii="仿宋_GB2312" w:hAnsi="仿宋"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 xml:space="preserve"> CFU/g为满意，10</w:t>
      </w:r>
      <w:r>
        <w:rPr>
          <w:rFonts w:hint="eastAsia" w:ascii="仿宋_GB2312" w:hAnsi="仿宋" w:cs="华文中宋"/>
          <w:color w:val="auto"/>
          <w:kern w:val="2"/>
          <w:sz w:val="32"/>
          <w:szCs w:val="32"/>
          <w:vertAlign w:val="superscript"/>
          <w:lang w:val="en-US" w:eastAsia="zh-CN" w:bidi="ar-SA"/>
        </w:rPr>
        <w:t>5</w:t>
      </w:r>
      <w:r>
        <w:rPr>
          <w:rFonts w:hint="eastAsia" w:ascii="仿宋_GB2312" w:hAnsi="仿宋" w:eastAsia="仿宋_GB2312" w:cs="华文中宋"/>
          <w:color w:val="auto"/>
          <w:kern w:val="2"/>
          <w:sz w:val="32"/>
          <w:szCs w:val="32"/>
          <w:lang w:val="en-US" w:eastAsia="zh-CN" w:bidi="ar-SA"/>
        </w:rPr>
        <w:t xml:space="preserve"> -＜10</w:t>
      </w:r>
      <w:r>
        <w:rPr>
          <w:rFonts w:hint="eastAsia" w:ascii="仿宋_GB2312" w:hAnsi="仿宋" w:cs="华文中宋"/>
          <w:color w:val="auto"/>
          <w:kern w:val="2"/>
          <w:sz w:val="32"/>
          <w:szCs w:val="32"/>
          <w:vertAlign w:val="superscript"/>
          <w:lang w:val="en-US" w:eastAsia="zh-CN" w:bidi="ar-SA"/>
        </w:rPr>
        <w:t>6</w:t>
      </w:r>
      <w:r>
        <w:rPr>
          <w:rFonts w:hint="eastAsia" w:ascii="仿宋_GB2312" w:hAnsi="仿宋" w:eastAsia="仿宋_GB2312" w:cs="华文中宋"/>
          <w:color w:val="auto"/>
          <w:kern w:val="2"/>
          <w:sz w:val="32"/>
          <w:szCs w:val="32"/>
          <w:lang w:val="en-US" w:eastAsia="zh-CN" w:bidi="ar-SA"/>
        </w:rPr>
        <w:t>CFU/g为可接受，≥10</w:t>
      </w:r>
      <w:r>
        <w:rPr>
          <w:rFonts w:hint="eastAsia" w:ascii="仿宋_GB2312" w:hAnsi="仿宋" w:cs="华文中宋"/>
          <w:color w:val="auto"/>
          <w:kern w:val="2"/>
          <w:sz w:val="32"/>
          <w:szCs w:val="32"/>
          <w:vertAlign w:val="superscript"/>
          <w:lang w:val="en-US" w:eastAsia="zh-CN" w:bidi="ar-SA"/>
        </w:rPr>
        <w:t>6</w:t>
      </w:r>
      <w:r>
        <w:rPr>
          <w:rFonts w:hint="eastAsia" w:ascii="仿宋_GB2312" w:hAnsi="仿宋" w:eastAsia="仿宋_GB2312" w:cs="华文中宋"/>
          <w:color w:val="auto"/>
          <w:kern w:val="2"/>
          <w:sz w:val="32"/>
          <w:szCs w:val="32"/>
          <w:lang w:val="en-US" w:eastAsia="zh-CN" w:bidi="ar-SA"/>
        </w:rPr>
        <w:t>CFU/g为不合格。《冷藏调制食品》（SB/T 10648-2012）</w:t>
      </w:r>
      <w:r>
        <w:rPr>
          <w:rFonts w:hint="eastAsia" w:ascii="仿宋_GB2312" w:hAnsi="仿宋" w:cs="华文中宋"/>
          <w:color w:val="auto"/>
          <w:kern w:val="2"/>
          <w:sz w:val="32"/>
          <w:szCs w:val="32"/>
          <w:lang w:val="en-US" w:eastAsia="zh-CN" w:bidi="ar-SA"/>
        </w:rPr>
        <w:t>、</w:t>
      </w:r>
      <w:r>
        <w:rPr>
          <w:rFonts w:hint="eastAsia" w:ascii="仿宋_GB2312" w:hAnsi="仿宋" w:eastAsia="仿宋_GB2312"/>
          <w:color w:val="000000" w:themeColor="text1"/>
          <w:sz w:val="32"/>
          <w:szCs w:val="32"/>
          <w14:textFill>
            <w14:solidFill>
              <w14:schemeClr w14:val="tx1"/>
            </w14:solidFill>
          </w14:textFill>
        </w:rPr>
        <w:t>《食品安全国家标准 熟肉制品》</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color w:val="000000" w:themeColor="text1"/>
          <w:sz w:val="32"/>
          <w:szCs w:val="32"/>
          <w14:textFill>
            <w14:solidFill>
              <w14:schemeClr w14:val="tx1"/>
            </w14:solidFill>
          </w14:textFill>
        </w:rPr>
        <w:t>GB 2726-2016</w:t>
      </w:r>
      <w:r>
        <w:rPr>
          <w:rFonts w:hint="eastAsia" w:ascii="仿宋_GB2312" w:hAnsi="仿宋" w:eastAsia="仿宋_GB2312"/>
          <w:color w:val="000000" w:themeColor="text1"/>
          <w:sz w:val="32"/>
          <w:szCs w:val="32"/>
          <w:lang w:eastAsia="zh-CN"/>
          <w14:textFill>
            <w14:solidFill>
              <w14:schemeClr w14:val="tx1"/>
            </w14:solidFill>
          </w14:textFill>
        </w:rPr>
        <w:t>）、</w:t>
      </w:r>
      <w:r>
        <w:rPr>
          <w:rFonts w:hint="eastAsia" w:ascii="仿宋_GB2312" w:hAnsi="仿宋" w:eastAsia="仿宋_GB2312"/>
          <w:sz w:val="32"/>
          <w:szCs w:val="32"/>
          <w:lang w:val="zh-CN"/>
        </w:rPr>
        <w:t xml:space="preserve">《食品安全国家标准 </w:t>
      </w:r>
      <w:r>
        <w:rPr>
          <w:rFonts w:hint="eastAsia" w:ascii="仿宋_GB2312" w:hAnsi="仿宋"/>
          <w:sz w:val="32"/>
          <w:szCs w:val="32"/>
          <w:lang w:val="en-US" w:eastAsia="zh-CN"/>
        </w:rPr>
        <w:t>糕点、面包</w:t>
      </w:r>
      <w:r>
        <w:rPr>
          <w:rFonts w:hint="eastAsia" w:ascii="仿宋_GB2312" w:hAnsi="仿宋" w:eastAsia="仿宋_GB2312"/>
          <w:sz w:val="32"/>
          <w:szCs w:val="32"/>
        </w:rPr>
        <w:t>》</w:t>
      </w:r>
      <w:r>
        <w:rPr>
          <w:rFonts w:hint="eastAsia" w:ascii="仿宋_GB2312" w:hAnsi="仿宋" w:eastAsia="仿宋_GB2312"/>
          <w:sz w:val="32"/>
          <w:szCs w:val="32"/>
          <w:lang w:eastAsia="zh-CN"/>
        </w:rPr>
        <w:t>（</w:t>
      </w:r>
      <w:r>
        <w:rPr>
          <w:rFonts w:hint="eastAsia" w:ascii="仿宋_GB2312" w:hAnsi="仿宋" w:eastAsia="仿宋_GB2312"/>
          <w:sz w:val="32"/>
          <w:szCs w:val="32"/>
        </w:rPr>
        <w:t xml:space="preserve">GB </w:t>
      </w:r>
      <w:r>
        <w:rPr>
          <w:rFonts w:hint="eastAsia" w:ascii="仿宋_GB2312" w:hAnsi="仿宋"/>
          <w:sz w:val="32"/>
          <w:szCs w:val="32"/>
          <w:lang w:val="en-US" w:eastAsia="zh-CN"/>
        </w:rPr>
        <w:t>7099</w:t>
      </w:r>
      <w:r>
        <w:rPr>
          <w:rFonts w:hint="eastAsia" w:ascii="仿宋_GB2312" w:hAnsi="仿宋" w:eastAsia="仿宋_GB2312"/>
          <w:sz w:val="32"/>
          <w:szCs w:val="32"/>
        </w:rPr>
        <w:t>-2015</w:t>
      </w:r>
      <w:r>
        <w:rPr>
          <w:rFonts w:hint="eastAsia" w:ascii="仿宋_GB2312" w:hAnsi="仿宋" w:eastAsia="仿宋_GB2312"/>
          <w:sz w:val="32"/>
          <w:szCs w:val="32"/>
          <w:lang w:eastAsia="zh-CN"/>
        </w:rPr>
        <w:t>）</w:t>
      </w:r>
      <w:r>
        <w:rPr>
          <w:rFonts w:hint="eastAsia" w:ascii="仿宋_GB2312" w:hAnsi="仿宋"/>
          <w:sz w:val="32"/>
          <w:szCs w:val="32"/>
          <w:lang w:eastAsia="zh-CN"/>
        </w:rPr>
        <w:t>、</w:t>
      </w:r>
      <w:r>
        <w:rPr>
          <w:rFonts w:hint="eastAsia" w:ascii="仿宋_GB2312" w:hAnsi="仿宋" w:eastAsia="仿宋_GB2312" w:cs="华文中宋"/>
          <w:color w:val="auto"/>
          <w:kern w:val="2"/>
          <w:sz w:val="32"/>
          <w:szCs w:val="32"/>
          <w:lang w:val="en-US" w:eastAsia="zh-CN" w:bidi="ar-SA"/>
        </w:rPr>
        <w:t>《食品馅料》（GB/T 21270-2007）中规定，</w:t>
      </w:r>
      <w:r>
        <w:rPr>
          <w:rFonts w:hint="eastAsia" w:ascii="仿宋_GB2312" w:hAnsi="仿宋" w:eastAsia="仿宋_GB2312"/>
          <w:color w:val="000000" w:themeColor="text1"/>
          <w:sz w:val="32"/>
          <w:szCs w:val="32"/>
          <w14:textFill>
            <w14:solidFill>
              <w14:schemeClr w14:val="tx1"/>
            </w14:solidFill>
          </w14:textFill>
        </w:rPr>
        <w:t>从一批产品中采集5个样品，若5个样品的检验结果均小于或等于m值（≤1</w:t>
      </w:r>
      <w:r>
        <w:rPr>
          <w:rFonts w:hint="eastAsia" w:ascii="仿宋_GB2312" w:hAnsi="仿宋"/>
          <w:color w:val="000000" w:themeColor="text1"/>
          <w:sz w:val="32"/>
          <w:szCs w:val="32"/>
          <w:lang w:val="en-US" w:eastAsia="zh-CN"/>
          <w14:textFill>
            <w14:solidFill>
              <w14:schemeClr w14:val="tx1"/>
            </w14:solidFill>
          </w14:textFill>
        </w:rPr>
        <w:t>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CFU/g），则这种情况是允许的；若</w:t>
      </w:r>
      <w:r>
        <w:rPr>
          <w:rFonts w:hint="eastAsia" w:ascii="仿宋_GB2312" w:hAnsi="仿宋"/>
          <w:color w:val="000000" w:themeColor="text1"/>
          <w:sz w:val="32"/>
          <w:szCs w:val="32"/>
          <w:lang w:val="en-US" w:eastAsia="zh-CN"/>
          <w14:textFill>
            <w14:solidFill>
              <w14:schemeClr w14:val="tx1"/>
            </w14:solidFill>
          </w14:textFill>
        </w:rPr>
        <w:t>有2</w:t>
      </w:r>
      <w:r>
        <w:rPr>
          <w:rFonts w:hint="eastAsia" w:ascii="仿宋_GB2312" w:hAnsi="仿宋" w:eastAsia="仿宋_GB2312"/>
          <w:color w:val="000000" w:themeColor="text1"/>
          <w:sz w:val="32"/>
          <w:szCs w:val="32"/>
          <w14:textFill>
            <w14:solidFill>
              <w14:schemeClr w14:val="tx1"/>
            </w14:solidFill>
          </w14:textFill>
        </w:rPr>
        <w:t>个样品的结果（X）位于m值和M值之间（10</w:t>
      </w:r>
      <w:r>
        <w:rPr>
          <w:rFonts w:hint="eastAsia" w:ascii="仿宋_GB2312" w:hAnsi="仿宋"/>
          <w:color w:val="000000" w:themeColor="text1"/>
          <w:sz w:val="32"/>
          <w:szCs w:val="32"/>
          <w:vertAlign w:val="superscript"/>
          <w:lang w:val="en-US" w:eastAsia="zh-CN"/>
          <w14:textFill>
            <w14:solidFill>
              <w14:schemeClr w14:val="tx1"/>
            </w14:solidFill>
          </w14:textFill>
        </w:rPr>
        <w:t>4</w:t>
      </w:r>
      <w:r>
        <w:rPr>
          <w:rFonts w:hint="eastAsia" w:ascii="仿宋_GB2312" w:hAnsi="仿宋" w:eastAsia="仿宋_GB2312"/>
          <w:color w:val="000000" w:themeColor="text1"/>
          <w:sz w:val="32"/>
          <w:szCs w:val="32"/>
          <w14:textFill>
            <w14:solidFill>
              <w14:schemeClr w14:val="tx1"/>
            </w14:solidFill>
          </w14:textFill>
        </w:rPr>
        <w:t>FU/g＜X≤10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CFU/g）,则这种情况也是允许的；若有</w:t>
      </w:r>
      <w:r>
        <w:rPr>
          <w:rFonts w:hint="eastAsia" w:ascii="仿宋_GB2312" w:hAnsi="仿宋"/>
          <w:color w:val="000000" w:themeColor="text1"/>
          <w:sz w:val="32"/>
          <w:szCs w:val="32"/>
          <w:lang w:val="en-US" w:eastAsia="zh-CN"/>
          <w14:textFill>
            <w14:solidFill>
              <w14:schemeClr w14:val="tx1"/>
            </w14:solidFill>
          </w14:textFill>
        </w:rPr>
        <w:t>2</w:t>
      </w:r>
      <w:r>
        <w:rPr>
          <w:rFonts w:hint="eastAsia" w:ascii="仿宋_GB2312" w:hAnsi="仿宋" w:eastAsia="仿宋_GB2312"/>
          <w:color w:val="000000" w:themeColor="text1"/>
          <w:sz w:val="32"/>
          <w:szCs w:val="32"/>
          <w14:textFill>
            <w14:solidFill>
              <w14:schemeClr w14:val="tx1"/>
            </w14:solidFill>
          </w14:textFill>
        </w:rPr>
        <w:t>个以上的样品检验结果位于m值和M值之间，则这种情况是不允许的；若有任一样品的检验结果大于M值（＞</w:t>
      </w:r>
      <w:r>
        <w:rPr>
          <w:rFonts w:hint="eastAsia" w:ascii="仿宋_GB2312" w:hAnsi="仿宋"/>
          <w:color w:val="000000" w:themeColor="text1"/>
          <w:sz w:val="32"/>
          <w:szCs w:val="32"/>
          <w:lang w:val="en-US" w:eastAsia="zh-CN"/>
          <w14:textFill>
            <w14:solidFill>
              <w14:schemeClr w14:val="tx1"/>
            </w14:solidFill>
          </w14:textFill>
        </w:rPr>
        <w:t>10</w:t>
      </w:r>
      <w:r>
        <w:rPr>
          <w:rFonts w:hint="eastAsia" w:ascii="仿宋_GB2312" w:hAnsi="仿宋"/>
          <w:color w:val="000000" w:themeColor="text1"/>
          <w:sz w:val="32"/>
          <w:szCs w:val="32"/>
          <w:vertAlign w:val="superscript"/>
          <w:lang w:val="en-US" w:eastAsia="zh-CN"/>
          <w14:textFill>
            <w14:solidFill>
              <w14:schemeClr w14:val="tx1"/>
            </w14:solidFill>
          </w14:textFill>
        </w:rPr>
        <w:t>5</w:t>
      </w:r>
      <w:r>
        <w:rPr>
          <w:rFonts w:hint="eastAsia" w:ascii="仿宋_GB2312" w:hAnsi="仿宋" w:eastAsia="仿宋_GB2312"/>
          <w:color w:val="000000" w:themeColor="text1"/>
          <w:sz w:val="32"/>
          <w:szCs w:val="32"/>
          <w14:textFill>
            <w14:solidFill>
              <w14:schemeClr w14:val="tx1"/>
            </w14:solidFill>
          </w14:textFill>
        </w:rPr>
        <w:t>CFU/g），则这种情况也是不允许的</w:t>
      </w:r>
      <w:r>
        <w:rPr>
          <w:rFonts w:hint="eastAsia" w:ascii="仿宋_GB2312" w:hAnsi="仿宋" w:eastAsia="仿宋_GB2312" w:cs="华文中宋"/>
          <w:color w:val="auto"/>
          <w:kern w:val="2"/>
          <w:sz w:val="32"/>
          <w:szCs w:val="32"/>
          <w:lang w:val="en-US" w:eastAsia="zh-CN" w:bidi="ar-SA"/>
        </w:rPr>
        <w:t>。食品的菌落总数超标，说明其产品的卫生状况达不到基本的卫生要求，将会破坏食品的营养成分，加速食品的腐败变质，使食品失去食用价值。消费者食用菌落总数超标严重的食品，容易患痢疾等肠道疾病，会引起呕吐、腹泻等症状。</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（五）铝的残留量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华文中宋"/>
          <w:color w:val="auto"/>
          <w:kern w:val="2"/>
          <w:sz w:val="32"/>
          <w:szCs w:val="32"/>
          <w:lang w:val="zh-CN" w:eastAsia="zh-CN" w:bidi="ar-SA"/>
        </w:rPr>
      </w:pPr>
      <w:r>
        <w:rPr>
          <w:rFonts w:hint="eastAsia" w:ascii="仿宋_GB2312" w:hAnsi="仿宋" w:eastAsia="仿宋_GB2312" w:cs="华文中宋"/>
          <w:color w:val="auto"/>
          <w:kern w:val="2"/>
          <w:sz w:val="32"/>
          <w:szCs w:val="32"/>
          <w:lang w:val="en-US" w:eastAsia="zh-CN" w:bidi="ar-SA"/>
        </w:rPr>
        <w:t>铝作为食品添加剂硫酸铝钾/硫酸铝铵的重要成分，经常会添加在食物中作为膨松剂或稳定剂。《食品安全国家标准 食品添加剂使用标准》（GB 2760-2014）中规定，豆制品中铝的残留量(干样品，以Al计)应≤100mg/kg。铝有一定的慢性毒性，摄入铝超标的食品，在体内可造成铝的蓄积，轻者会使食欲减退，引起贫血，重者引起运动失调等健康危害。</w:t>
      </w:r>
    </w:p>
    <w:p>
      <w:pPr>
        <w:spacing w:line="560" w:lineRule="exact"/>
        <w:ind w:firstLine="642"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（六）毒死蜱</w:t>
      </w:r>
    </w:p>
    <w:p>
      <w:pPr>
        <w:pStyle w:val="20"/>
        <w:spacing w:line="560" w:lineRule="exact"/>
        <w:ind w:firstLine="640"/>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毒死蜱是一种具有触杀、胃毒和熏蒸作用的有机磷杀虫剂。《食品安全国家标准 食品中农药最大残留限量》（GB 2763-2021）中规定，</w:t>
      </w:r>
      <w:r>
        <w:rPr>
          <w:rFonts w:hint="eastAsia" w:ascii="仿宋_GB2312" w:hAnsi="仿宋" w:cs="Times New Roman"/>
          <w:color w:val="000000" w:themeColor="text1"/>
          <w:kern w:val="2"/>
          <w:sz w:val="32"/>
          <w:szCs w:val="32"/>
          <w:lang w:val="en-US" w:eastAsia="zh-CN" w:bidi="ar-SA"/>
          <w14:textFill>
            <w14:solidFill>
              <w14:schemeClr w14:val="tx1"/>
            </w14:solidFill>
          </w14:textFill>
        </w:rPr>
        <w:t>根茎类和薯芋类</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蔬菜的毒死蜱残留限量值</w:t>
      </w:r>
      <w:r>
        <w:rPr>
          <w:rFonts w:hint="eastAsia" w:ascii="仿宋_GB2312" w:hAnsi="仿宋" w:cs="Times New Roman"/>
          <w:color w:val="000000" w:themeColor="text1"/>
          <w:kern w:val="2"/>
          <w:sz w:val="32"/>
          <w:szCs w:val="32"/>
          <w:lang w:val="en-US" w:eastAsia="zh-CN" w:bidi="ar-SA"/>
          <w14:textFill>
            <w14:solidFill>
              <w14:schemeClr w14:val="tx1"/>
            </w14:solidFill>
          </w14:textFill>
        </w:rPr>
        <w:t>应</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0.02mg/kg。毒死蜱属中毒农药，在叶片上残留期一般为5至7天，在土壤中残留期较长，对鱼类及水生生物毒性较高，对蜜蜂有毒。长期暴露在含有毒死蜱的环境中，可能会导致神经毒性、生殖毒性，并会影响胚胎的生长发育。</w:t>
      </w:r>
    </w:p>
    <w:p>
      <w:pPr>
        <w:spacing w:line="560" w:lineRule="exact"/>
        <w:ind w:firstLine="642"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（七）克百威</w:t>
      </w:r>
    </w:p>
    <w:p>
      <w:pPr>
        <w:pStyle w:val="20"/>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克百威是一种具有内吸、触杀和胃毒作用的氨基甲酸酯类杀虫剂。《食品安全国家标准 食品中农药最大残留限量》（GB 2763-2021）中规定，豆类蔬菜中克百威（克百威和3-羟基克百威之和，以克百威计）</w:t>
      </w:r>
      <w:r>
        <w:rPr>
          <w:rFonts w:hint="eastAsia" w:ascii="仿宋_GB2312" w:hAnsi="仿宋" w:cs="Times New Roman"/>
          <w:color w:val="000000" w:themeColor="text1"/>
          <w:kern w:val="2"/>
          <w:sz w:val="32"/>
          <w:szCs w:val="32"/>
          <w:lang w:val="en-US" w:eastAsia="zh-CN" w:bidi="ar-SA"/>
          <w14:textFill>
            <w14:solidFill>
              <w14:schemeClr w14:val="tx1"/>
            </w14:solidFill>
          </w14:textFill>
        </w:rPr>
        <w:t>残留限量值</w:t>
      </w:r>
      <w:r>
        <w:rPr>
          <w:rFonts w:hint="eastAsia" w:ascii="仿宋_GB2312" w:hAnsi="仿宋" w:eastAsia="仿宋_GB2312" w:cs="Times New Roman"/>
          <w:color w:val="000000" w:themeColor="text1"/>
          <w:kern w:val="2"/>
          <w:sz w:val="32"/>
          <w:szCs w:val="32"/>
          <w:lang w:val="en-US" w:eastAsia="zh-CN" w:bidi="ar-SA"/>
          <w14:textFill>
            <w14:solidFill>
              <w14:schemeClr w14:val="tx1"/>
            </w14:solidFill>
          </w14:textFill>
        </w:rPr>
        <w:t>应≤0.02mg/kg。克百威对鱼类、鸟类及野生动物有害。对在施药区觅食的鸟类可能致命，这种误食致死的鸟尸可能还会对其他鹰类及肉食鸟类造成危险，并且该农药不易降解，容易造成环境污染。</w:t>
      </w:r>
    </w:p>
    <w:p>
      <w:pPr>
        <w:spacing w:line="560" w:lineRule="exact"/>
        <w:ind w:firstLine="642"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（八）灭蝇胺</w:t>
      </w:r>
    </w:p>
    <w:p>
      <w:pPr>
        <w:spacing w:line="560" w:lineRule="exact"/>
        <w:ind w:left="0" w:leftChars="0" w:firstLine="640" w:firstLineChars="200"/>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pP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灭蝇胺又名环丙氨嗪，为一种新型高效、低毒、含氮杂环类杀虫剂，是目前防治双翅目昆虫病虫害效果较好的生态农药。《食品安全国家标准</w:t>
      </w:r>
      <w:r>
        <w:rPr>
          <w:rFonts w:hint="eastAsia" w:ascii="仿宋_GB2312" w:hAnsi="仿宋"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 w:eastAsia="仿宋_GB2312" w:cs="Times New Roman"/>
          <w:b w:val="0"/>
          <w:bCs w:val="0"/>
          <w:color w:val="auto"/>
          <w:kern w:val="2"/>
          <w:sz w:val="32"/>
          <w:szCs w:val="32"/>
          <w:lang w:val="zh-CN" w:eastAsia="zh-CN" w:bidi="ar-SA"/>
        </w:rPr>
        <w:t>食</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品中农药最大残留限量》（GB</w:t>
      </w:r>
      <w:r>
        <w:rPr>
          <w:rFonts w:hint="eastAsia" w:ascii="仿宋_GB2312" w:hAnsi="仿宋" w:cs="Times New Roman"/>
          <w:color w:val="000000" w:themeColor="text1"/>
          <w:kern w:val="2"/>
          <w:sz w:val="32"/>
          <w:szCs w:val="32"/>
          <w:lang w:val="en-US" w:eastAsia="zh-CN" w:bidi="ar-SA"/>
          <w14:textFill>
            <w14:solidFill>
              <w14:schemeClr w14:val="tx1"/>
            </w14:solidFill>
          </w14:textFill>
        </w:rPr>
        <w:t xml:space="preserve"> </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2763</w:t>
      </w:r>
      <w:r>
        <w:rPr>
          <w:rFonts w:hint="eastAsia" w:ascii="仿宋_GB2312" w:hAnsi="仿宋" w:cs="Times New Roman"/>
          <w:color w:val="000000" w:themeColor="text1"/>
          <w:kern w:val="2"/>
          <w:sz w:val="32"/>
          <w:szCs w:val="32"/>
          <w:lang w:val="en-US" w:eastAsia="zh-CN" w:bidi="ar-SA"/>
          <w14:textFill>
            <w14:solidFill>
              <w14:schemeClr w14:val="tx1"/>
            </w14:solidFill>
          </w14:textFill>
        </w:rPr>
        <w:t>-</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20</w:t>
      </w:r>
      <w:r>
        <w:rPr>
          <w:rFonts w:hint="eastAsia" w:ascii="仿宋_GB2312" w:hAnsi="仿宋" w:cs="Times New Roman"/>
          <w:color w:val="000000" w:themeColor="text1"/>
          <w:kern w:val="2"/>
          <w:sz w:val="32"/>
          <w:szCs w:val="32"/>
          <w:lang w:val="en-US" w:eastAsia="zh-CN" w:bidi="ar-SA"/>
          <w14:textFill>
            <w14:solidFill>
              <w14:schemeClr w14:val="tx1"/>
            </w14:solidFill>
          </w14:textFill>
        </w:rPr>
        <w:t>21</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）中规定，豇豆中灭蝇胺残留限量</w:t>
      </w:r>
      <w:r>
        <w:rPr>
          <w:rFonts w:hint="eastAsia" w:ascii="仿宋_GB2312" w:hAnsi="仿宋" w:cs="Times New Roman"/>
          <w:color w:val="000000" w:themeColor="text1"/>
          <w:kern w:val="2"/>
          <w:sz w:val="32"/>
          <w:szCs w:val="32"/>
          <w:lang w:val="en-US" w:eastAsia="zh-CN" w:bidi="ar-SA"/>
          <w14:textFill>
            <w14:solidFill>
              <w14:schemeClr w14:val="tx1"/>
            </w14:solidFill>
          </w14:textFill>
        </w:rPr>
        <w:t>值应</w:t>
      </w:r>
      <w:r>
        <w:rPr>
          <w:rFonts w:hint="eastAsia" w:ascii="仿宋_GB2312" w:hAnsi="仿宋" w:eastAsia="仿宋_GB2312"/>
          <w:sz w:val="32"/>
          <w:szCs w:val="32"/>
        </w:rPr>
        <w:t>≤</w:t>
      </w:r>
      <w:r>
        <w:rPr>
          <w:rFonts w:hint="eastAsia" w:ascii="仿宋_GB2312" w:hAnsi="仿宋" w:eastAsia="仿宋_GB2312" w:cs="Times New Roman"/>
          <w:color w:val="000000" w:themeColor="text1"/>
          <w:kern w:val="2"/>
          <w:sz w:val="32"/>
          <w:szCs w:val="32"/>
          <w:lang w:val="zh-CN" w:eastAsia="zh-CN" w:bidi="ar-SA"/>
          <w14:textFill>
            <w14:solidFill>
              <w14:schemeClr w14:val="tx1"/>
            </w14:solidFill>
          </w14:textFill>
        </w:rPr>
        <w:t>0.5mg/kg。少量的农药残留不会引起人体急性中毒，但长期食用农药残留超标的食品，对人体健康有一定影响。</w:t>
      </w:r>
    </w:p>
    <w:p>
      <w:pPr>
        <w:spacing w:line="560" w:lineRule="exact"/>
        <w:ind w:firstLine="642" w:firstLineChars="200"/>
        <w:rPr>
          <w:rFonts w:ascii="楷体_GB2312" w:hAnsi="楷体" w:eastAsia="楷体_GB2312" w:cs="Arial"/>
          <w:b/>
          <w:sz w:val="32"/>
          <w:szCs w:val="32"/>
          <w:shd w:val="clear" w:color="auto" w:fill="FFFFFF"/>
        </w:rPr>
      </w:pPr>
      <w:r>
        <w:rPr>
          <w:rFonts w:hint="eastAsia" w:ascii="方正楷体_GB2312" w:hAnsi="方正楷体_GB2312" w:eastAsia="方正楷体_GB2312" w:cs="方正楷体_GB2312"/>
          <w:b/>
          <w:bCs w:val="0"/>
          <w:sz w:val="32"/>
          <w:szCs w:val="32"/>
          <w:lang w:val="en-US" w:eastAsia="zh-CN"/>
        </w:rPr>
        <w:t>（九）氧乐果</w:t>
      </w:r>
    </w:p>
    <w:p>
      <w:pPr>
        <w:spacing w:line="560" w:lineRule="exact"/>
        <w:ind w:firstLine="640" w:firstLineChars="200"/>
        <w:rPr>
          <w:rFonts w:ascii="仿宋_GB2312" w:hAnsi="楷体" w:eastAsia="仿宋_GB2312" w:cs="Arial"/>
          <w:b/>
          <w:sz w:val="32"/>
          <w:szCs w:val="32"/>
          <w:shd w:val="clear" w:color="auto" w:fill="FFFFFF"/>
        </w:rPr>
      </w:pPr>
      <w:r>
        <w:rPr>
          <w:rFonts w:hint="eastAsia" w:ascii="仿宋_GB2312" w:hAnsi="仿宋" w:eastAsia="仿宋_GB2312"/>
          <w:sz w:val="32"/>
          <w:szCs w:val="32"/>
        </w:rPr>
        <w:t>氧乐果是一种内吸性强，杀虫活性高的杀虫剂。《食品安全国家标准 食品中农药最大残留限量》（GB 2763-20</w:t>
      </w:r>
      <w:r>
        <w:rPr>
          <w:rFonts w:hint="eastAsia" w:ascii="仿宋_GB2312" w:hAnsi="仿宋" w:eastAsia="仿宋_GB2312"/>
          <w:sz w:val="32"/>
          <w:szCs w:val="32"/>
          <w:lang w:val="en-US" w:eastAsia="zh-CN"/>
        </w:rPr>
        <w:t>21</w:t>
      </w:r>
      <w:r>
        <w:rPr>
          <w:rFonts w:hint="eastAsia" w:ascii="仿宋_GB2312" w:hAnsi="仿宋" w:eastAsia="仿宋_GB2312"/>
          <w:sz w:val="32"/>
          <w:szCs w:val="32"/>
        </w:rPr>
        <w:t>）中规定，豆类蔬菜中氧乐果残留限量值应≤0.02mg/kg。大部分喷洒的氧乐果会逸散在周围的土壤、大气、水体中，造成生态系统的污染，有可能会对环境生物产生潜在危害；蔬菜、</w:t>
      </w:r>
      <w:r>
        <w:rPr>
          <w:rFonts w:hint="eastAsia" w:ascii="仿宋_GB2312" w:hAnsi="仿宋" w:eastAsia="仿宋_GB2312"/>
          <w:color w:val="auto"/>
          <w:sz w:val="32"/>
          <w:szCs w:val="32"/>
        </w:rPr>
        <w:t>水果中</w:t>
      </w:r>
      <w:r>
        <w:rPr>
          <w:rFonts w:hint="eastAsia" w:ascii="仿宋_GB2312" w:hAnsi="仿宋" w:eastAsia="仿宋_GB2312"/>
          <w:sz w:val="32"/>
          <w:szCs w:val="32"/>
        </w:rPr>
        <w:t>残留的氧乐果进入人体后对体内胆碱酯酶有抑制作用，可能会对人体造成各种急慢性毒性。</w:t>
      </w:r>
    </w:p>
    <w:p>
      <w:pPr>
        <w:spacing w:line="560" w:lineRule="exact"/>
        <w:ind w:firstLine="642" w:firstLineChars="200"/>
        <w:rPr>
          <w:rFonts w:hint="eastAsia" w:ascii="方正楷体_GB2312" w:hAnsi="方正楷体_GB2312" w:eastAsia="方正楷体_GB2312" w:cs="方正楷体_GB2312"/>
          <w:b/>
          <w:bCs w:val="0"/>
          <w:sz w:val="32"/>
          <w:szCs w:val="32"/>
          <w:lang w:val="en-US" w:eastAsia="zh-CN"/>
        </w:rPr>
      </w:pPr>
      <w:r>
        <w:rPr>
          <w:rFonts w:hint="eastAsia" w:ascii="方正楷体_GB2312" w:hAnsi="方正楷体_GB2312" w:eastAsia="方正楷体_GB2312" w:cs="方正楷体_GB2312"/>
          <w:b/>
          <w:bCs w:val="0"/>
          <w:sz w:val="32"/>
          <w:szCs w:val="32"/>
          <w:lang w:val="en-US" w:eastAsia="zh-CN"/>
        </w:rPr>
        <w:t>（十）磺胺类（总量）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sz w:val="32"/>
          <w:szCs w:val="32"/>
        </w:rPr>
        <w:t>磺胺类药物是一种人工合成的抗菌药，具有抗菌谱较广、性质稳定、使用简便等特性，对大多数革兰氏阳性菌和阴性菌都有较强抑制作用，广泛用于防治鸡球虫病。《食品安全国家标准 食品中兽药最大残留限量》（GB 31650-2019）规定，磺胺类在所有食品动物中残留限量值应≤100μg/kg。长期摄入磺胺类超标的动物性食品，可能导致泌尿系统和肝脏损伤等健康危害。</w:t>
      </w:r>
    </w:p>
    <w:p>
      <w:p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（十</w:t>
      </w:r>
      <w:r>
        <w:rPr>
          <w:rFonts w:hint="eastAsia" w:ascii="方正楷体_GB2312" w:hAnsi="方正楷体_GB2312" w:eastAsia="方正楷体_GB2312" w:cs="方正楷体_GB2312"/>
          <w:b/>
          <w:bCs w:val="0"/>
          <w:sz w:val="32"/>
          <w:szCs w:val="32"/>
          <w:lang w:val="en-US" w:eastAsia="zh-CN"/>
        </w:rPr>
        <w:t>一</w:t>
      </w:r>
      <w:r>
        <w:rPr>
          <w:rFonts w:hint="eastAsia" w:ascii="方正楷体_GB2312" w:hAnsi="方正楷体_GB2312" w:eastAsia="方正楷体_GB2312" w:cs="方正楷体_GB2312"/>
          <w:b/>
          <w:bCs w:val="0"/>
          <w:sz w:val="32"/>
          <w:szCs w:val="32"/>
          <w:lang w:val="zh-CN" w:eastAsia="zh-CN"/>
        </w:rPr>
        <w:t>）甲硝唑</w:t>
      </w:r>
    </w:p>
    <w:p>
      <w:pPr>
        <w:pStyle w:val="10"/>
        <w:ind w:left="0" w:leftChars="0" w:firstLine="640" w:firstLineChars="200"/>
        <w:jc w:val="both"/>
        <w:rPr>
          <w:rFonts w:hint="eastAsia" w:ascii="仿宋_GB2312" w:hAnsi="仿宋" w:eastAsia="仿宋_GB2312" w:cs="Times New Roman"/>
          <w:kern w:val="2"/>
          <w:sz w:val="32"/>
          <w:szCs w:val="32"/>
          <w:lang w:val="zh-CN" w:eastAsia="zh-CN" w:bidi="ar-SA"/>
        </w:rPr>
      </w:pPr>
      <w:r>
        <w:rPr>
          <w:rFonts w:hint="eastAsia" w:ascii="仿宋_GB2312" w:hAnsi="仿宋" w:eastAsia="仿宋_GB2312" w:cs="Times New Roman"/>
          <w:kern w:val="2"/>
          <w:sz w:val="32"/>
          <w:szCs w:val="32"/>
          <w:lang w:val="zh-CN" w:eastAsia="zh-CN" w:bidi="ar-SA"/>
        </w:rPr>
        <w:t>甲硝唑是一种抗生素和抗原虫剂，有强大的杀灭滴虫的作用，对厌氧微生物有杀灭作用，广泛地应用于抗厌氧菌感染。《食品安全国家标准 食品中兽药最大残留限量》（GB</w:t>
      </w:r>
      <w:r>
        <w:rPr>
          <w:rFonts w:hint="eastAsia" w:ascii="仿宋_GB2312" w:hAnsi="仿宋" w:cs="Times New Roman"/>
          <w:kern w:val="2"/>
          <w:sz w:val="32"/>
          <w:szCs w:val="32"/>
          <w:lang w:val="en-US" w:eastAsia="zh-CN" w:bidi="ar-SA"/>
        </w:rPr>
        <w:t xml:space="preserve"> </w:t>
      </w:r>
      <w:r>
        <w:rPr>
          <w:rFonts w:hint="eastAsia" w:ascii="仿宋_GB2312" w:hAnsi="仿宋" w:eastAsia="仿宋_GB2312" w:cs="Times New Roman"/>
          <w:kern w:val="2"/>
          <w:sz w:val="32"/>
          <w:szCs w:val="32"/>
          <w:lang w:val="zh-CN" w:eastAsia="zh-CN" w:bidi="ar-SA"/>
        </w:rPr>
        <w:t>31650-2019）中规定，甲硝唑不得在动物性食品中检出。长期食用甲硝唑超标的食品可能会引起胃肠道反应恶心、呕吐、食欲不振、腹胀、腹泻等。</w:t>
      </w:r>
    </w:p>
    <w:p>
      <w:pPr>
        <w:numPr>
          <w:ilvl w:val="0"/>
          <w:numId w:val="1"/>
        </w:numPr>
        <w:spacing w:line="560" w:lineRule="exact"/>
        <w:ind w:firstLine="642" w:firstLineChars="200"/>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五氯酚酸钠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 w:eastAsia="仿宋_GB2312"/>
          <w:sz w:val="32"/>
          <w:szCs w:val="32"/>
        </w:rPr>
      </w:pPr>
      <w:r>
        <w:rPr>
          <w:rFonts w:hint="eastAsia" w:ascii="仿宋_GB2312" w:hAnsi="仿宋" w:eastAsia="仿宋_GB2312" w:cs="Times New Roman"/>
          <w:kern w:val="2"/>
          <w:sz w:val="32"/>
          <w:szCs w:val="32"/>
          <w:lang w:val="zh-CN" w:eastAsia="zh-CN" w:bidi="ar-SA"/>
        </w:rPr>
        <w:t>五氯酚酸钠属于有机氯农药，是氯代烃类杀虫剂和杀真菌剂。《中华人民共和国农业农村部公告第250号》中规定，五氯酚酸钠为禁止使用的药物，在动物性食品中不得检出。五氯酚酸钠能抑制生物代谢过程中氧化磷酸化作用, 会造成人体的肝、肾及中枢神经系统的损害</w:t>
      </w:r>
      <w:r>
        <w:rPr>
          <w:rFonts w:hint="eastAsia" w:ascii="仿宋_GB2312" w:hAnsi="仿宋" w:eastAsia="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方正楷体_GB2312" w:hAnsi="方正楷体_GB2312" w:eastAsia="方正楷体_GB2312" w:cs="方正楷体_GB2312"/>
          <w:b/>
          <w:bCs w:val="0"/>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十三</w:t>
      </w:r>
      <w:r>
        <w:rPr>
          <w:rFonts w:hint="eastAsia" w:ascii="方正楷体_GB2312" w:hAnsi="方正楷体_GB2312" w:eastAsia="方正楷体_GB2312" w:cs="方正楷体_GB2312"/>
          <w:b/>
          <w:bCs w:val="0"/>
          <w:sz w:val="32"/>
          <w:szCs w:val="32"/>
          <w:lang w:val="zh-CN" w:eastAsia="zh-CN"/>
        </w:rPr>
        <w:t>）沙门氏菌</w:t>
      </w:r>
    </w:p>
    <w:p>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jc w:val="both"/>
        <w:textAlignment w:val="auto"/>
        <w:rPr>
          <w:rFonts w:hint="eastAsia" w:ascii="仿宋_GB2312" w:hAnsi="仿宋" w:eastAsia="仿宋_GB2312" w:cs="Times New Roman"/>
          <w:b w:val="0"/>
          <w:kern w:val="2"/>
          <w:sz w:val="32"/>
          <w:szCs w:val="32"/>
          <w:lang w:val="zh-CN" w:eastAsia="zh-CN" w:bidi="ar-SA"/>
        </w:rPr>
      </w:pPr>
      <w:r>
        <w:rPr>
          <w:rFonts w:hint="eastAsia" w:ascii="仿宋_GB2312" w:hAnsi="仿宋" w:eastAsia="仿宋_GB2312" w:cs="Times New Roman"/>
          <w:b w:val="0"/>
          <w:kern w:val="2"/>
          <w:sz w:val="32"/>
          <w:szCs w:val="32"/>
          <w:lang w:val="zh-CN" w:eastAsia="zh-CN" w:bidi="ar-SA"/>
        </w:rPr>
        <w:t>沙门氏菌是一种常见的食源性致病菌，是引起急性胃肠炎的主要病原菌，感染后的典型症状包括发热、腹泻和呕吐等。《食品安全国家标准 预包装食品中致病菌限量》（GB 29921-2021）</w:t>
      </w:r>
      <w:r>
        <w:rPr>
          <w:rFonts w:hint="eastAsia" w:ascii="仿宋_GB2312" w:hAnsi="仿宋" w:eastAsia="仿宋_GB2312" w:cs="Times New Roman"/>
          <w:b w:val="0"/>
          <w:color w:val="auto"/>
          <w:kern w:val="2"/>
          <w:sz w:val="32"/>
          <w:szCs w:val="32"/>
          <w:lang w:val="zh-CN" w:eastAsia="zh-CN" w:bidi="ar-SA"/>
        </w:rPr>
        <w:t>中</w:t>
      </w:r>
      <w:r>
        <w:rPr>
          <w:rFonts w:hint="eastAsia" w:ascii="仿宋_GB2312" w:hAnsi="仿宋" w:eastAsia="仿宋_GB2312" w:cs="Times New Roman"/>
          <w:b w:val="0"/>
          <w:kern w:val="2"/>
          <w:sz w:val="32"/>
          <w:szCs w:val="32"/>
          <w:lang w:val="zh-CN" w:eastAsia="zh-CN" w:bidi="ar-SA"/>
        </w:rPr>
        <w:t>规定，从一批预包装肉制品中采集5个样品，若任一个样品检出（每25g）沙门氏菌，则这种情况是不允许的。人体在摄入被沙门氏菌污染的食物后通常在12～14小时出现症状，主要表现为恶心、呕吐、腹痛、头痛、寒战、腹泻等，同时伴有疲倦、乏力、头晕、低烧、烦躁和嗜睡，症状通常持续2～3天。虽然沙门氏菌通常能较快从肠道中消失，但约5%的病人在康复后会成为病原体的携带者。</w:t>
      </w:r>
    </w:p>
    <w:p>
      <w:pPr>
        <w:keepNext w:val="0"/>
        <w:keepLines w:val="0"/>
        <w:pageBreakBefore w:val="0"/>
        <w:kinsoku/>
        <w:wordWrap/>
        <w:overflowPunct/>
        <w:topLinePunct w:val="0"/>
        <w:autoSpaceDE/>
        <w:autoSpaceDN/>
        <w:bidi w:val="0"/>
        <w:adjustRightInd/>
        <w:snapToGrid/>
        <w:spacing w:line="560" w:lineRule="exact"/>
        <w:ind w:firstLine="642" w:firstLineChars="200"/>
        <w:textAlignment w:val="auto"/>
        <w:rPr>
          <w:rFonts w:hint="eastAsia" w:ascii="楷体_GB2312" w:hAnsi="楷体" w:eastAsia="楷体_GB2312" w:cs="仿宋_GB2312"/>
          <w:b/>
          <w:sz w:val="32"/>
          <w:szCs w:val="32"/>
          <w:lang w:val="zh-CN" w:eastAsia="zh-CN"/>
        </w:rPr>
      </w:pPr>
      <w:r>
        <w:rPr>
          <w:rFonts w:hint="eastAsia" w:ascii="方正楷体_GB2312" w:hAnsi="方正楷体_GB2312" w:eastAsia="方正楷体_GB2312" w:cs="方正楷体_GB2312"/>
          <w:b/>
          <w:bCs w:val="0"/>
          <w:sz w:val="32"/>
          <w:szCs w:val="32"/>
          <w:lang w:val="zh-CN" w:eastAsia="zh-CN"/>
        </w:rPr>
        <w:t>（</w:t>
      </w:r>
      <w:r>
        <w:rPr>
          <w:rFonts w:hint="eastAsia" w:ascii="方正楷体_GB2312" w:hAnsi="方正楷体_GB2312" w:eastAsia="方正楷体_GB2312" w:cs="方正楷体_GB2312"/>
          <w:b/>
          <w:bCs w:val="0"/>
          <w:sz w:val="32"/>
          <w:szCs w:val="32"/>
          <w:lang w:val="en-US" w:eastAsia="zh-CN"/>
        </w:rPr>
        <w:t>十四</w:t>
      </w:r>
      <w:r>
        <w:rPr>
          <w:rFonts w:hint="eastAsia" w:ascii="方正楷体_GB2312" w:hAnsi="方正楷体_GB2312" w:eastAsia="方正楷体_GB2312" w:cs="方正楷体_GB2312"/>
          <w:b/>
          <w:bCs w:val="0"/>
          <w:sz w:val="32"/>
          <w:szCs w:val="32"/>
          <w:lang w:val="zh-CN" w:eastAsia="zh-CN"/>
        </w:rPr>
        <w:t>）阴离子合成洗涤剂</w:t>
      </w:r>
      <w:r>
        <w:rPr>
          <w:rFonts w:hint="eastAsia" w:ascii="楷体_GB2312" w:hAnsi="楷体" w:eastAsia="楷体_GB2312" w:cs="仿宋_GB2312"/>
          <w:b/>
          <w:sz w:val="32"/>
          <w:szCs w:val="32"/>
          <w:lang w:val="zh-CN" w:eastAsia="zh-CN"/>
        </w:rPr>
        <w:t>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 w:eastAsia="仿宋_GB2312" w:cs="仿宋"/>
          <w:color w:val="auto"/>
          <w:kern w:val="2"/>
          <w:sz w:val="32"/>
          <w:szCs w:val="32"/>
          <w:lang w:val="en-US" w:eastAsia="zh-CN" w:bidi="ar-SA"/>
        </w:rPr>
      </w:pPr>
      <w:r>
        <w:rPr>
          <w:rFonts w:hint="eastAsia" w:ascii="仿宋_GB2312" w:hAnsi="仿宋" w:eastAsia="仿宋_GB2312" w:cs="仿宋"/>
          <w:color w:val="auto"/>
          <w:kern w:val="2"/>
          <w:sz w:val="32"/>
          <w:szCs w:val="32"/>
          <w:lang w:val="en-US" w:eastAsia="zh-CN" w:bidi="ar-SA"/>
        </w:rPr>
        <w:t>阴离子合成洗涤剂，即我们日常生活中经常用到的洗衣粉、洗洁精、洗衣液、肥皂等洗涤剂的主要成分，其起效成分十二烷基磺酸钠，是一种低毒物质,因其使用方便、易溶解、稳定性好、成本低等优点,在消毒企业中广泛使用。</w:t>
      </w:r>
      <w:r>
        <w:rPr>
          <w:rFonts w:hint="eastAsia" w:ascii="仿宋_GB2312" w:hAnsi="仿宋" w:eastAsia="仿宋_GB2312" w:cs="仿宋"/>
          <w:color w:val="auto"/>
          <w:kern w:val="2"/>
          <w:sz w:val="32"/>
          <w:szCs w:val="32"/>
          <w:lang w:val="zh-CN" w:eastAsia="zh-CN" w:bidi="ar-SA"/>
        </w:rPr>
        <w:t>食品安全国家标准 消毒餐（饮）具》（GB 14934</w:t>
      </w:r>
      <w:r>
        <w:rPr>
          <w:rFonts w:hint="eastAsia" w:ascii="仿宋_GB2312" w:hAnsi="仿宋" w:eastAsia="仿宋_GB2312" w:cs="仿宋"/>
          <w:color w:val="auto"/>
          <w:kern w:val="2"/>
          <w:sz w:val="32"/>
          <w:szCs w:val="32"/>
          <w:lang w:val="en-US" w:eastAsia="zh-CN" w:bidi="ar-SA"/>
        </w:rPr>
        <w:t>-</w:t>
      </w:r>
      <w:r>
        <w:rPr>
          <w:rFonts w:hint="eastAsia" w:ascii="仿宋_GB2312" w:hAnsi="仿宋" w:eastAsia="仿宋_GB2312" w:cs="仿宋"/>
          <w:color w:val="auto"/>
          <w:kern w:val="2"/>
          <w:sz w:val="32"/>
          <w:szCs w:val="32"/>
          <w:lang w:val="zh-CN" w:eastAsia="zh-CN" w:bidi="ar-SA"/>
        </w:rPr>
        <w:t>2016）中规定，消毒餐（饮）具中不得检出</w:t>
      </w:r>
      <w:r>
        <w:rPr>
          <w:rFonts w:hint="eastAsia" w:ascii="仿宋_GB2312" w:hAnsi="仿宋" w:eastAsia="仿宋_GB2312" w:cs="仿宋"/>
          <w:color w:val="auto"/>
          <w:kern w:val="2"/>
          <w:sz w:val="32"/>
          <w:szCs w:val="32"/>
          <w:lang w:val="en-US" w:eastAsia="zh-CN" w:bidi="ar-SA"/>
        </w:rPr>
        <w:t>阴离子合成洗涤剂(以十二烷基苯磺酸钠计)</w:t>
      </w:r>
      <w:r>
        <w:rPr>
          <w:rFonts w:hint="eastAsia" w:ascii="仿宋_GB2312" w:hAnsi="仿宋" w:eastAsia="仿宋_GB2312" w:cs="仿宋"/>
          <w:color w:val="auto"/>
          <w:kern w:val="2"/>
          <w:sz w:val="32"/>
          <w:szCs w:val="32"/>
          <w:lang w:val="zh-CN" w:eastAsia="zh-CN" w:bidi="ar-SA"/>
        </w:rPr>
        <w:t>。</w:t>
      </w:r>
      <w:r>
        <w:rPr>
          <w:rFonts w:hint="eastAsia" w:ascii="仿宋_GB2312" w:hAnsi="仿宋" w:eastAsia="仿宋_GB2312" w:cs="华文中宋"/>
          <w:color w:val="auto"/>
          <w:kern w:val="2"/>
          <w:sz w:val="32"/>
          <w:szCs w:val="32"/>
          <w:lang w:val="en-US" w:eastAsia="zh-CN" w:bidi="ar-SA"/>
        </w:rPr>
        <w:t>部分餐饮从业人员卫生意识不强，用洗涤剂浸泡餐（饮）具后，未用清水冲刷或者冲刷时间较短易导致洗涤剂残留。长期使用十二烷基苯磺酸钠超</w:t>
      </w:r>
      <w:r>
        <w:rPr>
          <w:rFonts w:hint="eastAsia" w:ascii="仿宋_GB2312" w:hAnsi="仿宋" w:eastAsia="仿宋_GB2312" w:cs="仿宋"/>
          <w:color w:val="auto"/>
          <w:kern w:val="2"/>
          <w:sz w:val="32"/>
          <w:szCs w:val="32"/>
          <w:lang w:val="en-US" w:eastAsia="zh-CN" w:bidi="ar-SA"/>
        </w:rPr>
        <w:t>标的餐（饮）具，可能容易引起呼吸系统过敏性反应。</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ascii="黑体" w:hAnsi="黑体" w:eastAsia="黑体" w:cs="仿宋_GB2312"/>
          <w:color w:val="auto"/>
          <w:sz w:val="32"/>
          <w:szCs w:val="32"/>
        </w:rPr>
        <w:t>二、建议</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706" w:firstLineChars="22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（一）加强原辅料的把控</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仿宋_GB2312" w:hAnsi="仿宋" w:eastAsia="仿宋_GB2312"/>
          <w:color w:val="auto"/>
          <w:sz w:val="32"/>
          <w:szCs w:val="32"/>
        </w:rPr>
      </w:pPr>
      <w:r>
        <w:rPr>
          <w:rFonts w:hint="eastAsia" w:ascii="仿宋_GB2312" w:hAnsi="仿宋" w:eastAsia="仿宋_GB2312"/>
          <w:color w:val="auto"/>
          <w:sz w:val="32"/>
          <w:szCs w:val="32"/>
        </w:rPr>
        <w:t>食品原料的质量与卫生是食品质量安全的前提。食品生产经营单位应加强对所使用的原材料的质量管理，建立进货查验、索证索票和进货台账制度，查验供货者的许可证和包含必要检验项目的食品合格证明文件，不得采购腐败变质、发霉、质量不新鲜的食品原料，确保各种原辅料的质量符合标准的有关规定和要求。</w:t>
      </w:r>
    </w:p>
    <w:p>
      <w:pPr>
        <w:pStyle w:val="9"/>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560" w:lineRule="exact"/>
        <w:ind w:left="961" w:leftChars="200" w:hanging="321" w:hangingChars="100"/>
        <w:textAlignment w:val="auto"/>
        <w:rPr>
          <w:rFonts w:hint="eastAsia" w:ascii="楷体_GB2312" w:hAnsi="楷体" w:eastAsia="楷体_GB2312"/>
          <w:b/>
          <w:color w:val="auto"/>
          <w:sz w:val="32"/>
          <w:szCs w:val="32"/>
        </w:rPr>
      </w:pPr>
      <w:r>
        <w:rPr>
          <w:rFonts w:hint="eastAsia" w:ascii="楷体_GB2312" w:hAnsi="楷体" w:eastAsia="楷体_GB2312"/>
          <w:b/>
          <w:color w:val="auto"/>
          <w:sz w:val="32"/>
          <w:szCs w:val="32"/>
        </w:rPr>
        <w:t>加强</w:t>
      </w:r>
      <w:r>
        <w:rPr>
          <w:rFonts w:hint="eastAsia" w:ascii="楷体_GB2312" w:hAnsi="楷体" w:eastAsia="楷体_GB2312"/>
          <w:b/>
          <w:color w:val="auto"/>
          <w:sz w:val="32"/>
          <w:szCs w:val="32"/>
          <w:lang w:eastAsia="zh-CN"/>
        </w:rPr>
        <w:t>运输、存储环境</w:t>
      </w:r>
      <w:r>
        <w:rPr>
          <w:rFonts w:hint="eastAsia" w:ascii="楷体_GB2312" w:hAnsi="楷体" w:eastAsia="楷体_GB2312"/>
          <w:b/>
          <w:color w:val="auto"/>
          <w:sz w:val="32"/>
          <w:szCs w:val="32"/>
        </w:rPr>
        <w:t>控制</w:t>
      </w:r>
    </w:p>
    <w:p>
      <w:pPr>
        <w:pStyle w:val="9"/>
        <w:shd w:val="clear" w:color="auto" w:fill="FFFFFF"/>
        <w:spacing w:before="0" w:beforeAutospacing="0" w:after="0" w:afterAutospacing="0" w:line="560" w:lineRule="exact"/>
        <w:ind w:firstLine="640" w:firstLineChars="200"/>
        <w:rPr>
          <w:rFonts w:hint="eastAsia" w:ascii="仿宋_GB2312" w:hAnsi="仿宋" w:eastAsia="仿宋_GB2312"/>
          <w:color w:val="auto"/>
          <w:sz w:val="32"/>
          <w:szCs w:val="32"/>
        </w:rPr>
      </w:pPr>
      <w:r>
        <w:rPr>
          <w:rFonts w:hint="eastAsia" w:ascii="仿宋_GB2312" w:hAnsi="仿宋" w:eastAsia="仿宋_GB2312"/>
          <w:color w:val="auto"/>
          <w:sz w:val="32"/>
          <w:szCs w:val="32"/>
        </w:rPr>
        <w:t>食品经营者应保证运输和装卸食品的容器、工具和设备清洁、无害，保证食品的经营环境和储存环境等符合与食品所需的环境，并及时清理变质、超过保质期及其他不符合标准要求的食品；针对特殊贮存要求的食品，食品经营者在运输、贮藏时应当符合食品安全所需要的温度、空间隔离等特殊要求，防止交叉污染。</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textAlignment w:val="auto"/>
        <w:rPr>
          <w:rFonts w:ascii="楷体_GB2312" w:hAnsi="楷体" w:eastAsia="楷体_GB2312"/>
          <w:b/>
          <w:color w:val="auto"/>
          <w:sz w:val="32"/>
          <w:szCs w:val="32"/>
        </w:rPr>
      </w:pPr>
      <w:r>
        <w:rPr>
          <w:rFonts w:hint="eastAsia" w:ascii="楷体_GB2312" w:hAnsi="楷体" w:eastAsia="楷体_GB2312"/>
          <w:b/>
          <w:color w:val="auto"/>
          <w:sz w:val="32"/>
          <w:szCs w:val="32"/>
        </w:rPr>
        <w:t>（</w:t>
      </w:r>
      <w:r>
        <w:rPr>
          <w:rFonts w:hint="eastAsia" w:ascii="楷体_GB2312" w:hAnsi="楷体" w:eastAsia="楷体_GB2312"/>
          <w:b/>
          <w:color w:val="auto"/>
          <w:sz w:val="32"/>
          <w:szCs w:val="32"/>
          <w:lang w:eastAsia="zh-CN"/>
        </w:rPr>
        <w:t>三</w:t>
      </w:r>
      <w:r>
        <w:rPr>
          <w:rFonts w:hint="eastAsia" w:ascii="楷体_GB2312" w:hAnsi="楷体" w:eastAsia="楷体_GB2312"/>
          <w:b/>
          <w:color w:val="auto"/>
          <w:sz w:val="32"/>
          <w:szCs w:val="32"/>
        </w:rPr>
        <w:t>）加强食品出厂检验</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ascii="黑体" w:hAnsi="黑体" w:eastAsia="黑体" w:cs="仿宋_GB2312"/>
          <w:color w:val="auto"/>
          <w:sz w:val="32"/>
          <w:szCs w:val="32"/>
        </w:rPr>
      </w:pPr>
      <w:r>
        <w:rPr>
          <w:rFonts w:hint="eastAsia" w:eastAsia="仿宋_GB2312"/>
          <w:color w:val="auto"/>
          <w:sz w:val="32"/>
          <w:szCs w:val="32"/>
        </w:rPr>
        <w:t>食品生产企业要强化重视出厂检验的意识，制定切合自身且不断完善的出厂检验制度；建立完善的检测条件对产品进行日常监管，制定出厂检验计划并严格执行，确保生产合格的产品；加强对生产成品的检测频率，进行自检或送往具有相关资质的检测机构进行检测；建立</w:t>
      </w:r>
      <w:r>
        <w:rPr>
          <w:rFonts w:hint="eastAsia" w:eastAsia="仿宋_GB2312"/>
          <w:color w:val="auto"/>
          <w:sz w:val="32"/>
          <w:szCs w:val="32"/>
          <w:lang w:eastAsia="zh-CN"/>
        </w:rPr>
        <w:t>及</w:t>
      </w:r>
      <w:r>
        <w:rPr>
          <w:rFonts w:hint="eastAsia" w:eastAsia="仿宋_GB2312"/>
          <w:color w:val="auto"/>
          <w:sz w:val="32"/>
          <w:szCs w:val="32"/>
        </w:rPr>
        <w:t>健全产品召回机制，</w:t>
      </w:r>
      <w:r>
        <w:rPr>
          <w:rFonts w:hint="eastAsia" w:eastAsia="仿宋_GB2312"/>
          <w:color w:val="auto"/>
          <w:sz w:val="32"/>
          <w:szCs w:val="32"/>
          <w:lang w:eastAsia="zh-CN"/>
        </w:rPr>
        <w:t>以</w:t>
      </w:r>
      <w:r>
        <w:rPr>
          <w:rFonts w:hint="eastAsia" w:eastAsia="仿宋_GB2312"/>
          <w:color w:val="auto"/>
          <w:sz w:val="32"/>
          <w:szCs w:val="32"/>
        </w:rPr>
        <w:t>应对突发产品质量问题。</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2" w:firstLineChars="200"/>
        <w:jc w:val="both"/>
        <w:textAlignment w:val="auto"/>
        <w:rPr>
          <w:rStyle w:val="14"/>
          <w:rFonts w:ascii="楷体_GB2312" w:hAnsi="楷体" w:eastAsia="楷体_GB2312"/>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四</w:t>
      </w:r>
      <w:r>
        <w:rPr>
          <w:rStyle w:val="14"/>
          <w:rFonts w:hint="eastAsia" w:ascii="楷体_GB2312" w:hAnsi="楷体" w:eastAsia="楷体_GB2312"/>
          <w:color w:val="auto"/>
          <w:sz w:val="32"/>
          <w:szCs w:val="32"/>
          <w:highlight w:val="none"/>
        </w:rPr>
        <w:t>）提高食品添加剂安全使用意识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部分食品生产经营者为了追求经济效益，对食品添加剂过于依赖，但对食品添加剂使用要求却执行不到位。因此</w:t>
      </w:r>
      <w:r>
        <w:rPr>
          <w:rFonts w:hint="eastAsia" w:ascii="仿宋_GB2312" w:hAnsi="仿宋" w:eastAsia="仿宋_GB2312"/>
          <w:color w:val="auto"/>
          <w:sz w:val="32"/>
          <w:szCs w:val="32"/>
          <w:highlight w:val="none"/>
          <w:lang w:eastAsia="zh-CN"/>
        </w:rPr>
        <w:t>应</w:t>
      </w:r>
      <w:r>
        <w:rPr>
          <w:rFonts w:hint="eastAsia" w:ascii="仿宋_GB2312" w:hAnsi="仿宋" w:eastAsia="仿宋_GB2312"/>
          <w:color w:val="auto"/>
          <w:sz w:val="32"/>
          <w:szCs w:val="32"/>
          <w:highlight w:val="none"/>
        </w:rPr>
        <w:t>落实企业主体，加大对食品生产企业关于食品添加剂的相关法律法规和国家标准知识的宣传力度，进一步宣贯违法添加和滥用食品添加剂行为的危害性以及通过加大惩处等措施来提高食品生产企业食品添加剂安全使用意识。</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left="640" w:leftChars="200" w:firstLine="0" w:firstLineChars="0"/>
        <w:jc w:val="both"/>
        <w:textAlignment w:val="auto"/>
        <w:rPr>
          <w:rStyle w:val="14"/>
          <w:rFonts w:hint="eastAsia" w:ascii="楷体_GB2312" w:hAnsi="楷体" w:eastAsia="楷体_GB2312" w:cs="Times New Roman"/>
          <w:color w:val="auto"/>
          <w:sz w:val="32"/>
          <w:szCs w:val="32"/>
          <w:highlight w:val="none"/>
        </w:rPr>
      </w:pPr>
      <w:r>
        <w:rPr>
          <w:rStyle w:val="14"/>
          <w:rFonts w:hint="eastAsia" w:ascii="楷体_GB2312" w:hAnsi="楷体" w:eastAsia="楷体_GB2312"/>
          <w:color w:val="auto"/>
          <w:sz w:val="32"/>
          <w:szCs w:val="32"/>
          <w:highlight w:val="none"/>
        </w:rPr>
        <w:t>（</w:t>
      </w:r>
      <w:r>
        <w:rPr>
          <w:rStyle w:val="14"/>
          <w:rFonts w:hint="eastAsia" w:ascii="楷体_GB2312" w:hAnsi="楷体" w:eastAsia="楷体_GB2312"/>
          <w:color w:val="auto"/>
          <w:sz w:val="32"/>
          <w:szCs w:val="32"/>
          <w:highlight w:val="none"/>
          <w:lang w:eastAsia="zh-CN"/>
        </w:rPr>
        <w:t>五</w:t>
      </w:r>
      <w:r>
        <w:rPr>
          <w:rStyle w:val="14"/>
          <w:rFonts w:hint="eastAsia" w:ascii="楷体_GB2312" w:hAnsi="楷体" w:eastAsia="楷体_GB2312"/>
          <w:color w:val="auto"/>
          <w:sz w:val="32"/>
          <w:szCs w:val="32"/>
          <w:highlight w:val="none"/>
        </w:rPr>
        <w:t>）</w:t>
      </w:r>
      <w:r>
        <w:rPr>
          <w:rStyle w:val="14"/>
          <w:rFonts w:hint="eastAsia" w:ascii="楷体_GB2312" w:hAnsi="楷体" w:eastAsia="楷体_GB2312" w:cs="Times New Roman"/>
          <w:color w:val="auto"/>
          <w:sz w:val="32"/>
          <w:szCs w:val="32"/>
          <w:highlight w:val="none"/>
        </w:rPr>
        <w:t>规范</w:t>
      </w:r>
      <w:r>
        <w:rPr>
          <w:rStyle w:val="14"/>
          <w:rFonts w:hint="eastAsia" w:ascii="楷体_GB2312" w:hAnsi="楷体" w:eastAsia="楷体_GB2312" w:cs="Times New Roman"/>
          <w:color w:val="auto"/>
          <w:sz w:val="32"/>
          <w:szCs w:val="32"/>
          <w:highlight w:val="none"/>
          <w:lang w:eastAsia="zh-CN"/>
        </w:rPr>
        <w:t>食用农产品</w:t>
      </w:r>
      <w:r>
        <w:rPr>
          <w:rStyle w:val="14"/>
          <w:rFonts w:hint="eastAsia" w:ascii="楷体_GB2312" w:hAnsi="楷体" w:eastAsia="楷体_GB2312" w:cs="Times New Roman"/>
          <w:color w:val="auto"/>
          <w:sz w:val="32"/>
          <w:szCs w:val="32"/>
          <w:highlight w:val="none"/>
        </w:rPr>
        <w:t>药物</w:t>
      </w:r>
      <w:r>
        <w:rPr>
          <w:rStyle w:val="14"/>
          <w:rFonts w:hint="eastAsia" w:ascii="楷体_GB2312" w:hAnsi="楷体" w:eastAsia="楷体_GB2312" w:cs="Times New Roman"/>
          <w:color w:val="auto"/>
          <w:sz w:val="32"/>
          <w:szCs w:val="32"/>
          <w:highlight w:val="none"/>
          <w:lang w:eastAsia="zh-CN"/>
        </w:rPr>
        <w:t>的</w:t>
      </w:r>
      <w:r>
        <w:rPr>
          <w:rStyle w:val="14"/>
          <w:rFonts w:hint="eastAsia" w:ascii="楷体_GB2312" w:hAnsi="楷体" w:eastAsia="楷体_GB2312" w:cs="Times New Roman"/>
          <w:color w:val="auto"/>
          <w:sz w:val="32"/>
          <w:szCs w:val="32"/>
          <w:highlight w:val="none"/>
        </w:rPr>
        <w:t>使用</w:t>
      </w:r>
    </w:p>
    <w:p>
      <w:pPr>
        <w:pStyle w:val="9"/>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560" w:lineRule="exact"/>
        <w:ind w:firstLine="640" w:firstLineChars="200"/>
        <w:jc w:val="both"/>
        <w:textAlignment w:val="auto"/>
        <w:rPr>
          <w:rFonts w:hint="eastAsia" w:ascii="仿宋_GB2312" w:hAnsi="仿宋" w:eastAsia="仿宋_GB2312"/>
          <w:color w:val="auto"/>
          <w:sz w:val="32"/>
          <w:szCs w:val="32"/>
          <w:highlight w:val="none"/>
        </w:rPr>
      </w:pPr>
      <w:r>
        <w:rPr>
          <w:rFonts w:hint="eastAsia" w:ascii="仿宋_GB2312" w:hAnsi="仿宋" w:eastAsia="仿宋_GB2312"/>
          <w:color w:val="auto"/>
          <w:sz w:val="32"/>
          <w:szCs w:val="32"/>
          <w:highlight w:val="none"/>
        </w:rPr>
        <w:t>针对</w:t>
      </w:r>
      <w:r>
        <w:rPr>
          <w:rFonts w:hint="eastAsia" w:ascii="仿宋_GB2312" w:hAnsi="仿宋" w:eastAsia="仿宋_GB2312"/>
          <w:color w:val="auto"/>
          <w:sz w:val="32"/>
          <w:szCs w:val="32"/>
          <w:highlight w:val="none"/>
          <w:lang w:eastAsia="zh-CN"/>
        </w:rPr>
        <w:t>种植养殖</w:t>
      </w:r>
      <w:r>
        <w:rPr>
          <w:rFonts w:hint="eastAsia" w:ascii="仿宋_GB2312" w:hAnsi="仿宋" w:eastAsia="仿宋_GB2312"/>
          <w:color w:val="auto"/>
          <w:sz w:val="32"/>
          <w:szCs w:val="32"/>
          <w:highlight w:val="none"/>
        </w:rPr>
        <w:t>环节，</w:t>
      </w:r>
      <w:r>
        <w:rPr>
          <w:rFonts w:hint="eastAsia" w:ascii="仿宋_GB2312" w:hAnsi="仿宋" w:eastAsia="仿宋_GB2312"/>
          <w:color w:val="auto"/>
          <w:sz w:val="32"/>
          <w:szCs w:val="32"/>
          <w:highlight w:val="none"/>
          <w:lang w:eastAsia="zh-CN"/>
        </w:rPr>
        <w:t>种植养殖</w:t>
      </w:r>
      <w:r>
        <w:rPr>
          <w:rFonts w:hint="eastAsia" w:ascii="仿宋_GB2312" w:hAnsi="仿宋" w:eastAsia="仿宋_GB2312"/>
          <w:color w:val="auto"/>
          <w:sz w:val="32"/>
          <w:szCs w:val="32"/>
          <w:highlight w:val="none"/>
        </w:rPr>
        <w:t>户应严格按照药物说明书进行规范用药。加大对生产经营人员专业知识的培训，对</w:t>
      </w:r>
      <w:r>
        <w:rPr>
          <w:rFonts w:hint="eastAsia" w:ascii="仿宋_GB2312" w:hAnsi="仿宋" w:eastAsia="仿宋_GB2312"/>
          <w:color w:val="auto"/>
          <w:sz w:val="32"/>
          <w:szCs w:val="32"/>
          <w:highlight w:val="none"/>
          <w:lang w:eastAsia="zh-CN"/>
        </w:rPr>
        <w:t>种植养殖</w:t>
      </w:r>
      <w:r>
        <w:rPr>
          <w:rFonts w:hint="eastAsia" w:ascii="仿宋_GB2312" w:hAnsi="仿宋" w:eastAsia="仿宋_GB2312"/>
          <w:color w:val="auto"/>
          <w:sz w:val="32"/>
          <w:szCs w:val="32"/>
          <w:highlight w:val="none"/>
        </w:rPr>
        <w:t>基地、农户进行药物使用知识的培训力度，加强</w:t>
      </w:r>
      <w:r>
        <w:rPr>
          <w:rFonts w:hint="eastAsia" w:ascii="仿宋_GB2312" w:hAnsi="仿宋" w:eastAsia="仿宋_GB2312"/>
          <w:color w:val="auto"/>
          <w:sz w:val="32"/>
          <w:szCs w:val="32"/>
          <w:highlight w:val="none"/>
          <w:lang w:eastAsia="zh-CN"/>
        </w:rPr>
        <w:t>种植养殖</w:t>
      </w:r>
      <w:r>
        <w:rPr>
          <w:rFonts w:hint="eastAsia" w:ascii="仿宋_GB2312" w:hAnsi="仿宋" w:eastAsia="仿宋_GB2312"/>
          <w:color w:val="auto"/>
          <w:sz w:val="32"/>
          <w:szCs w:val="32"/>
          <w:highlight w:val="none"/>
        </w:rPr>
        <w:t>户对不同季节、不同农作物使用农药和畜禽使用兽药情况的了解。同时，建议有关部门加大对深圳各场所农产品的抽检力度，对发现的违法用药行为进行严厉处罚，并进一步加强对非食用物质的监管，加大针对性抽检的力度。</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40"/>
      </w:pPr>
      <w:r>
        <w:separator/>
      </w:r>
    </w:p>
  </w:endnote>
  <w:endnote w:type="continuationSeparator" w:id="1">
    <w:p>
      <w:pPr>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方正小标宋简体">
    <w:panose1 w:val="02000000000000000000"/>
    <w:charset w:val="86"/>
    <w:family w:val="script"/>
    <w:pitch w:val="default"/>
    <w:sig w:usb0="A00002BF" w:usb1="184F6CFA" w:usb2="00000012" w:usb3="00000000" w:csb0="00040001"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楷体_GB2312">
    <w:altName w:val="方正楷体_GBK"/>
    <w:panose1 w:val="02000000000000000000"/>
    <w:charset w:val="86"/>
    <w:family w:val="auto"/>
    <w:pitch w:val="default"/>
    <w:sig w:usb0="00000000" w:usb1="00000000" w:usb2="00000012" w:usb3="00000000" w:csb0="00040001" w:csb1="00000000"/>
  </w:font>
  <w:font w:name="方正楷体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40"/>
      </w:pPr>
      <w:r>
        <w:separator/>
      </w:r>
    </w:p>
  </w:footnote>
  <w:footnote w:type="continuationSeparator" w:id="1">
    <w:p>
      <w:pPr>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C1F12C7"/>
    <w:multiLevelType w:val="singleLevel"/>
    <w:tmpl w:val="3C1F12C7"/>
    <w:lvl w:ilvl="0" w:tentative="0">
      <w:start w:val="12"/>
      <w:numFmt w:val="chineseCounting"/>
      <w:suff w:val="nothing"/>
      <w:lvlText w:val="（%1）"/>
      <w:lvlJc w:val="left"/>
      <w:rPr>
        <w:rFonts w:hint="eastAsia"/>
      </w:rPr>
    </w:lvl>
  </w:abstractNum>
  <w:abstractNum w:abstractNumId="1">
    <w:nsid w:val="5BB36E8D"/>
    <w:multiLevelType w:val="singleLevel"/>
    <w:tmpl w:val="5BB36E8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NWY3MDE3M2RiODhiZTRhOWM0N2VmNTEzZWI5MGUifQ=="/>
  </w:docVars>
  <w:rsids>
    <w:rsidRoot w:val="010D4506"/>
    <w:rsid w:val="000139C9"/>
    <w:rsid w:val="005363F0"/>
    <w:rsid w:val="006B1DCC"/>
    <w:rsid w:val="00724BD2"/>
    <w:rsid w:val="008D6C99"/>
    <w:rsid w:val="00B977A2"/>
    <w:rsid w:val="00BE4BAD"/>
    <w:rsid w:val="00CD6745"/>
    <w:rsid w:val="010D4506"/>
    <w:rsid w:val="01565C22"/>
    <w:rsid w:val="017D0269"/>
    <w:rsid w:val="01880CE2"/>
    <w:rsid w:val="01D53863"/>
    <w:rsid w:val="01DD3C4D"/>
    <w:rsid w:val="03365C46"/>
    <w:rsid w:val="034743C9"/>
    <w:rsid w:val="034F1986"/>
    <w:rsid w:val="03E020C5"/>
    <w:rsid w:val="03FD00B3"/>
    <w:rsid w:val="0453793B"/>
    <w:rsid w:val="04977BD5"/>
    <w:rsid w:val="055921C9"/>
    <w:rsid w:val="055A195A"/>
    <w:rsid w:val="0597115B"/>
    <w:rsid w:val="06261016"/>
    <w:rsid w:val="06585F98"/>
    <w:rsid w:val="066C5CEA"/>
    <w:rsid w:val="06894B40"/>
    <w:rsid w:val="06F0528D"/>
    <w:rsid w:val="06F3181D"/>
    <w:rsid w:val="07486F42"/>
    <w:rsid w:val="07C82C95"/>
    <w:rsid w:val="07E04EFC"/>
    <w:rsid w:val="081209FA"/>
    <w:rsid w:val="081B38E6"/>
    <w:rsid w:val="08AD06EB"/>
    <w:rsid w:val="08F00F9F"/>
    <w:rsid w:val="091C5D20"/>
    <w:rsid w:val="099F35F4"/>
    <w:rsid w:val="0A101FAB"/>
    <w:rsid w:val="0A416AB6"/>
    <w:rsid w:val="0A545255"/>
    <w:rsid w:val="0AEA5DCE"/>
    <w:rsid w:val="0B66492E"/>
    <w:rsid w:val="0B6F4B3F"/>
    <w:rsid w:val="0C083FBC"/>
    <w:rsid w:val="0C0C4E1D"/>
    <w:rsid w:val="0C455D22"/>
    <w:rsid w:val="0C6F4539"/>
    <w:rsid w:val="0C760736"/>
    <w:rsid w:val="0CD4225F"/>
    <w:rsid w:val="0D1C5633"/>
    <w:rsid w:val="0D6C4E32"/>
    <w:rsid w:val="0E431583"/>
    <w:rsid w:val="0EA926E5"/>
    <w:rsid w:val="0EA93008"/>
    <w:rsid w:val="0EC839C2"/>
    <w:rsid w:val="0F261454"/>
    <w:rsid w:val="0F567840"/>
    <w:rsid w:val="0FE51EE1"/>
    <w:rsid w:val="108B31AA"/>
    <w:rsid w:val="10AD16A7"/>
    <w:rsid w:val="10BA4D47"/>
    <w:rsid w:val="1162065F"/>
    <w:rsid w:val="11B32DA0"/>
    <w:rsid w:val="11BA183E"/>
    <w:rsid w:val="11CE6913"/>
    <w:rsid w:val="11E172CB"/>
    <w:rsid w:val="11F21CEC"/>
    <w:rsid w:val="1210526E"/>
    <w:rsid w:val="12AF7645"/>
    <w:rsid w:val="12B51B83"/>
    <w:rsid w:val="12D976B3"/>
    <w:rsid w:val="137821D3"/>
    <w:rsid w:val="139A1CB2"/>
    <w:rsid w:val="13E774D5"/>
    <w:rsid w:val="141B2394"/>
    <w:rsid w:val="14292A97"/>
    <w:rsid w:val="1499532A"/>
    <w:rsid w:val="1512088F"/>
    <w:rsid w:val="155219D3"/>
    <w:rsid w:val="15FE7C46"/>
    <w:rsid w:val="16396F4B"/>
    <w:rsid w:val="164E1FAB"/>
    <w:rsid w:val="165773C2"/>
    <w:rsid w:val="16A102CE"/>
    <w:rsid w:val="16A52765"/>
    <w:rsid w:val="176818BF"/>
    <w:rsid w:val="17C62E78"/>
    <w:rsid w:val="17CA0823"/>
    <w:rsid w:val="17FA5E44"/>
    <w:rsid w:val="181E6360"/>
    <w:rsid w:val="182C56B9"/>
    <w:rsid w:val="18F91C2D"/>
    <w:rsid w:val="18FA3DC4"/>
    <w:rsid w:val="199008F8"/>
    <w:rsid w:val="19EB104A"/>
    <w:rsid w:val="1A19393D"/>
    <w:rsid w:val="1A2F146E"/>
    <w:rsid w:val="1A81096D"/>
    <w:rsid w:val="1A84029D"/>
    <w:rsid w:val="1AB574C5"/>
    <w:rsid w:val="1AC759AF"/>
    <w:rsid w:val="1AE32ACD"/>
    <w:rsid w:val="1B042E72"/>
    <w:rsid w:val="1B7E0D88"/>
    <w:rsid w:val="1C2B3ECE"/>
    <w:rsid w:val="1C354059"/>
    <w:rsid w:val="1D3D5D17"/>
    <w:rsid w:val="1DB57EDF"/>
    <w:rsid w:val="1E3C794C"/>
    <w:rsid w:val="1EFD4E3F"/>
    <w:rsid w:val="1F120F82"/>
    <w:rsid w:val="1F456A61"/>
    <w:rsid w:val="1FEA3D63"/>
    <w:rsid w:val="200B2815"/>
    <w:rsid w:val="20303594"/>
    <w:rsid w:val="208760C8"/>
    <w:rsid w:val="208E2538"/>
    <w:rsid w:val="2103478D"/>
    <w:rsid w:val="21415B46"/>
    <w:rsid w:val="219C06C7"/>
    <w:rsid w:val="22F15479"/>
    <w:rsid w:val="231A399D"/>
    <w:rsid w:val="24415E66"/>
    <w:rsid w:val="248553AF"/>
    <w:rsid w:val="249A66FD"/>
    <w:rsid w:val="24F01236"/>
    <w:rsid w:val="25131149"/>
    <w:rsid w:val="255973C6"/>
    <w:rsid w:val="255D305C"/>
    <w:rsid w:val="257D0D7B"/>
    <w:rsid w:val="25D84592"/>
    <w:rsid w:val="262E6380"/>
    <w:rsid w:val="26635934"/>
    <w:rsid w:val="26D25598"/>
    <w:rsid w:val="27084E46"/>
    <w:rsid w:val="270C1F17"/>
    <w:rsid w:val="274815F0"/>
    <w:rsid w:val="27537B32"/>
    <w:rsid w:val="27786C5E"/>
    <w:rsid w:val="27D171E0"/>
    <w:rsid w:val="282A264F"/>
    <w:rsid w:val="28664823"/>
    <w:rsid w:val="28EE2E75"/>
    <w:rsid w:val="2928376B"/>
    <w:rsid w:val="29292876"/>
    <w:rsid w:val="295771E6"/>
    <w:rsid w:val="29DF09A6"/>
    <w:rsid w:val="2A012B32"/>
    <w:rsid w:val="2A2E5413"/>
    <w:rsid w:val="2A706ED1"/>
    <w:rsid w:val="2A95365C"/>
    <w:rsid w:val="2ACC6C6B"/>
    <w:rsid w:val="2B0D6532"/>
    <w:rsid w:val="2BA5399C"/>
    <w:rsid w:val="2C6F3579"/>
    <w:rsid w:val="2C784420"/>
    <w:rsid w:val="2D2D024C"/>
    <w:rsid w:val="2DA27B95"/>
    <w:rsid w:val="2DCA4231"/>
    <w:rsid w:val="2E172668"/>
    <w:rsid w:val="2E6B3A9D"/>
    <w:rsid w:val="2E871900"/>
    <w:rsid w:val="2F085758"/>
    <w:rsid w:val="2F3F7F56"/>
    <w:rsid w:val="2F4F707A"/>
    <w:rsid w:val="2FD45D99"/>
    <w:rsid w:val="2FFC71C6"/>
    <w:rsid w:val="307B5CC3"/>
    <w:rsid w:val="308A4336"/>
    <w:rsid w:val="30B3361E"/>
    <w:rsid w:val="31044F7C"/>
    <w:rsid w:val="31200851"/>
    <w:rsid w:val="31831750"/>
    <w:rsid w:val="3189778C"/>
    <w:rsid w:val="31AA7543"/>
    <w:rsid w:val="31EA5456"/>
    <w:rsid w:val="31EF1FC4"/>
    <w:rsid w:val="323F00BC"/>
    <w:rsid w:val="324700B2"/>
    <w:rsid w:val="330F0153"/>
    <w:rsid w:val="33132CF8"/>
    <w:rsid w:val="3334531C"/>
    <w:rsid w:val="336A3327"/>
    <w:rsid w:val="33713745"/>
    <w:rsid w:val="34264611"/>
    <w:rsid w:val="343E30F0"/>
    <w:rsid w:val="348E513C"/>
    <w:rsid w:val="34A77C54"/>
    <w:rsid w:val="34B74329"/>
    <w:rsid w:val="34FF4C0B"/>
    <w:rsid w:val="354F3FC5"/>
    <w:rsid w:val="35BC7A15"/>
    <w:rsid w:val="36A26439"/>
    <w:rsid w:val="36A86284"/>
    <w:rsid w:val="372845B2"/>
    <w:rsid w:val="37790A88"/>
    <w:rsid w:val="3787038C"/>
    <w:rsid w:val="37CC35F3"/>
    <w:rsid w:val="37DD6246"/>
    <w:rsid w:val="37FC2378"/>
    <w:rsid w:val="382D7593"/>
    <w:rsid w:val="38622AFA"/>
    <w:rsid w:val="387272BF"/>
    <w:rsid w:val="38865B2F"/>
    <w:rsid w:val="38E250CA"/>
    <w:rsid w:val="391B060E"/>
    <w:rsid w:val="39264334"/>
    <w:rsid w:val="39275408"/>
    <w:rsid w:val="3949339B"/>
    <w:rsid w:val="39824C43"/>
    <w:rsid w:val="398B0B0F"/>
    <w:rsid w:val="39C64A66"/>
    <w:rsid w:val="3AB301FA"/>
    <w:rsid w:val="3B1904CB"/>
    <w:rsid w:val="3B2518DE"/>
    <w:rsid w:val="3B504FA6"/>
    <w:rsid w:val="3BAB1A67"/>
    <w:rsid w:val="3BFE4DC9"/>
    <w:rsid w:val="3C064771"/>
    <w:rsid w:val="3C8F2962"/>
    <w:rsid w:val="3CA67A9F"/>
    <w:rsid w:val="3CDD7A17"/>
    <w:rsid w:val="3DBC0B10"/>
    <w:rsid w:val="3DF44DD4"/>
    <w:rsid w:val="3E051E67"/>
    <w:rsid w:val="3E1079E4"/>
    <w:rsid w:val="3E182457"/>
    <w:rsid w:val="3E88008E"/>
    <w:rsid w:val="3E984FE9"/>
    <w:rsid w:val="3EC80CDE"/>
    <w:rsid w:val="3F033412"/>
    <w:rsid w:val="3F0B45B6"/>
    <w:rsid w:val="3F685D87"/>
    <w:rsid w:val="3F7A3AC2"/>
    <w:rsid w:val="40191044"/>
    <w:rsid w:val="42016010"/>
    <w:rsid w:val="428251DB"/>
    <w:rsid w:val="42C23130"/>
    <w:rsid w:val="42D71D53"/>
    <w:rsid w:val="43974288"/>
    <w:rsid w:val="439F5506"/>
    <w:rsid w:val="440F147B"/>
    <w:rsid w:val="44141429"/>
    <w:rsid w:val="44896D41"/>
    <w:rsid w:val="44D452BA"/>
    <w:rsid w:val="45104BE6"/>
    <w:rsid w:val="460F4F06"/>
    <w:rsid w:val="464A4562"/>
    <w:rsid w:val="46CC6013"/>
    <w:rsid w:val="482B56E1"/>
    <w:rsid w:val="4848609B"/>
    <w:rsid w:val="4852746A"/>
    <w:rsid w:val="4864409A"/>
    <w:rsid w:val="48961A2D"/>
    <w:rsid w:val="48E60C18"/>
    <w:rsid w:val="49346CC6"/>
    <w:rsid w:val="49664C37"/>
    <w:rsid w:val="499A7ACA"/>
    <w:rsid w:val="4AF350DE"/>
    <w:rsid w:val="4B223C16"/>
    <w:rsid w:val="4B37566A"/>
    <w:rsid w:val="4B3F5F2B"/>
    <w:rsid w:val="4BCB614C"/>
    <w:rsid w:val="4BDC5663"/>
    <w:rsid w:val="4C7A639D"/>
    <w:rsid w:val="4CE91A69"/>
    <w:rsid w:val="4CF5205D"/>
    <w:rsid w:val="4DAC348D"/>
    <w:rsid w:val="4E0D626A"/>
    <w:rsid w:val="4E183BFE"/>
    <w:rsid w:val="4E403AAD"/>
    <w:rsid w:val="4EAD6BF5"/>
    <w:rsid w:val="4EBC0748"/>
    <w:rsid w:val="4ECB0493"/>
    <w:rsid w:val="4ECC3762"/>
    <w:rsid w:val="4F2F4720"/>
    <w:rsid w:val="4F4940D8"/>
    <w:rsid w:val="4FE23640"/>
    <w:rsid w:val="4FED4605"/>
    <w:rsid w:val="50023AE7"/>
    <w:rsid w:val="503305EE"/>
    <w:rsid w:val="50561BEF"/>
    <w:rsid w:val="51F5342B"/>
    <w:rsid w:val="52332F51"/>
    <w:rsid w:val="528B5881"/>
    <w:rsid w:val="52A0415B"/>
    <w:rsid w:val="52E13353"/>
    <w:rsid w:val="52FE47AC"/>
    <w:rsid w:val="533A17A5"/>
    <w:rsid w:val="53465E28"/>
    <w:rsid w:val="534B1050"/>
    <w:rsid w:val="5370241B"/>
    <w:rsid w:val="53785E73"/>
    <w:rsid w:val="538B58DC"/>
    <w:rsid w:val="539260FB"/>
    <w:rsid w:val="53FD7C6B"/>
    <w:rsid w:val="54487F56"/>
    <w:rsid w:val="548A3477"/>
    <w:rsid w:val="54AF0073"/>
    <w:rsid w:val="550906E8"/>
    <w:rsid w:val="551B6EF1"/>
    <w:rsid w:val="552160C4"/>
    <w:rsid w:val="557E5EAF"/>
    <w:rsid w:val="55961D9B"/>
    <w:rsid w:val="55F22D46"/>
    <w:rsid w:val="56D02FB6"/>
    <w:rsid w:val="56FE090D"/>
    <w:rsid w:val="5737759B"/>
    <w:rsid w:val="577D74E9"/>
    <w:rsid w:val="57FE2087"/>
    <w:rsid w:val="586B71C9"/>
    <w:rsid w:val="590154BD"/>
    <w:rsid w:val="59527B6B"/>
    <w:rsid w:val="59956CCF"/>
    <w:rsid w:val="59AF7439"/>
    <w:rsid w:val="59CC251A"/>
    <w:rsid w:val="59E33FF0"/>
    <w:rsid w:val="59EA54F5"/>
    <w:rsid w:val="5A5B4E1E"/>
    <w:rsid w:val="5A607799"/>
    <w:rsid w:val="5AED1980"/>
    <w:rsid w:val="5B13142F"/>
    <w:rsid w:val="5B4B2BCB"/>
    <w:rsid w:val="5B98016E"/>
    <w:rsid w:val="5C000884"/>
    <w:rsid w:val="5C224F8E"/>
    <w:rsid w:val="5C240B88"/>
    <w:rsid w:val="5C317F92"/>
    <w:rsid w:val="5E0606ED"/>
    <w:rsid w:val="5E0D1B19"/>
    <w:rsid w:val="5E214E94"/>
    <w:rsid w:val="5E275C6B"/>
    <w:rsid w:val="5E553A15"/>
    <w:rsid w:val="5E5703AB"/>
    <w:rsid w:val="5E7004E1"/>
    <w:rsid w:val="5E7F3F9B"/>
    <w:rsid w:val="5E9E3209"/>
    <w:rsid w:val="5EB7431F"/>
    <w:rsid w:val="5ECD4C7F"/>
    <w:rsid w:val="5EEC66E6"/>
    <w:rsid w:val="5F093C78"/>
    <w:rsid w:val="5F5A1107"/>
    <w:rsid w:val="5F7E1BB9"/>
    <w:rsid w:val="5F831A12"/>
    <w:rsid w:val="5FB95F86"/>
    <w:rsid w:val="5FF94275"/>
    <w:rsid w:val="601163AE"/>
    <w:rsid w:val="6048573D"/>
    <w:rsid w:val="60FF5FDD"/>
    <w:rsid w:val="617E5460"/>
    <w:rsid w:val="61E02C8B"/>
    <w:rsid w:val="625323D6"/>
    <w:rsid w:val="62547A4D"/>
    <w:rsid w:val="626C415C"/>
    <w:rsid w:val="62813E61"/>
    <w:rsid w:val="6300246C"/>
    <w:rsid w:val="638239E5"/>
    <w:rsid w:val="638C3D00"/>
    <w:rsid w:val="63E10B0C"/>
    <w:rsid w:val="63F3279C"/>
    <w:rsid w:val="640059A5"/>
    <w:rsid w:val="640612C6"/>
    <w:rsid w:val="647A6E52"/>
    <w:rsid w:val="64EE5D8F"/>
    <w:rsid w:val="6500065A"/>
    <w:rsid w:val="6537764C"/>
    <w:rsid w:val="65E578BD"/>
    <w:rsid w:val="666A4D62"/>
    <w:rsid w:val="668A5EDC"/>
    <w:rsid w:val="66927680"/>
    <w:rsid w:val="66D06442"/>
    <w:rsid w:val="67180D7A"/>
    <w:rsid w:val="6756300A"/>
    <w:rsid w:val="67663F7B"/>
    <w:rsid w:val="6792245C"/>
    <w:rsid w:val="67AC56C6"/>
    <w:rsid w:val="6801069F"/>
    <w:rsid w:val="680F265C"/>
    <w:rsid w:val="687D6CC8"/>
    <w:rsid w:val="68BA7C55"/>
    <w:rsid w:val="68E66C0F"/>
    <w:rsid w:val="690A7BA1"/>
    <w:rsid w:val="69113DCA"/>
    <w:rsid w:val="69130912"/>
    <w:rsid w:val="69CB77D8"/>
    <w:rsid w:val="69D6627D"/>
    <w:rsid w:val="6A323B2C"/>
    <w:rsid w:val="6A524C0E"/>
    <w:rsid w:val="6AC33480"/>
    <w:rsid w:val="6B1806CB"/>
    <w:rsid w:val="6C2646D1"/>
    <w:rsid w:val="6C5A3FCD"/>
    <w:rsid w:val="6C721C9A"/>
    <w:rsid w:val="6C942E03"/>
    <w:rsid w:val="6CB62996"/>
    <w:rsid w:val="6D731B27"/>
    <w:rsid w:val="6D76258B"/>
    <w:rsid w:val="6E7050A9"/>
    <w:rsid w:val="6E7A59CD"/>
    <w:rsid w:val="6E9610D2"/>
    <w:rsid w:val="6E9C25A7"/>
    <w:rsid w:val="6ECD36FF"/>
    <w:rsid w:val="6F1957D5"/>
    <w:rsid w:val="70254438"/>
    <w:rsid w:val="70810F1E"/>
    <w:rsid w:val="71754C6E"/>
    <w:rsid w:val="71DB6825"/>
    <w:rsid w:val="72014BAF"/>
    <w:rsid w:val="7275613E"/>
    <w:rsid w:val="72A04A1F"/>
    <w:rsid w:val="72F24D9D"/>
    <w:rsid w:val="733275F5"/>
    <w:rsid w:val="738026E3"/>
    <w:rsid w:val="73A979E7"/>
    <w:rsid w:val="73F31987"/>
    <w:rsid w:val="74104D2B"/>
    <w:rsid w:val="7432739D"/>
    <w:rsid w:val="744F4674"/>
    <w:rsid w:val="747927C4"/>
    <w:rsid w:val="74F11C15"/>
    <w:rsid w:val="754B170B"/>
    <w:rsid w:val="755146AE"/>
    <w:rsid w:val="756E5C26"/>
    <w:rsid w:val="756F7B86"/>
    <w:rsid w:val="75915D7B"/>
    <w:rsid w:val="759F6029"/>
    <w:rsid w:val="75A82AC5"/>
    <w:rsid w:val="75CA36CA"/>
    <w:rsid w:val="760E66A5"/>
    <w:rsid w:val="762460E6"/>
    <w:rsid w:val="763955BF"/>
    <w:rsid w:val="773A01B0"/>
    <w:rsid w:val="779A49A3"/>
    <w:rsid w:val="77BF6833"/>
    <w:rsid w:val="77FC16E5"/>
    <w:rsid w:val="78810DF7"/>
    <w:rsid w:val="78BC4EF9"/>
    <w:rsid w:val="78C17088"/>
    <w:rsid w:val="78C82F23"/>
    <w:rsid w:val="78FE0A2F"/>
    <w:rsid w:val="792F0912"/>
    <w:rsid w:val="79EE50D0"/>
    <w:rsid w:val="7A383D5A"/>
    <w:rsid w:val="7A7C11A9"/>
    <w:rsid w:val="7A895DC7"/>
    <w:rsid w:val="7AC47EB7"/>
    <w:rsid w:val="7AC64F5C"/>
    <w:rsid w:val="7B4B68E6"/>
    <w:rsid w:val="7B5E04A9"/>
    <w:rsid w:val="7BE41421"/>
    <w:rsid w:val="7C073518"/>
    <w:rsid w:val="7C4079FA"/>
    <w:rsid w:val="7C8F2CF0"/>
    <w:rsid w:val="7F270D2A"/>
    <w:rsid w:val="7FD46120"/>
    <w:rsid w:val="9A3F8C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40" w:firstLineChars="200"/>
      <w:jc w:val="both"/>
    </w:pPr>
    <w:rPr>
      <w:rFonts w:ascii="Calibri" w:hAnsi="Calibri" w:eastAsia="仿宋_GB2312" w:cs="Times New Roman"/>
      <w:kern w:val="2"/>
      <w:sz w:val="32"/>
      <w:szCs w:val="22"/>
      <w:lang w:val="en-US" w:eastAsia="zh-CN" w:bidi="ar-SA"/>
    </w:rPr>
  </w:style>
  <w:style w:type="paragraph" w:styleId="3">
    <w:name w:val="heading 1"/>
    <w:basedOn w:val="1"/>
    <w:next w:val="1"/>
    <w:qFormat/>
    <w:uiPriority w:val="0"/>
    <w:pPr>
      <w:keepNext/>
      <w:keepLines/>
      <w:spacing w:before="340" w:after="330" w:line="576" w:lineRule="auto"/>
      <w:outlineLvl w:val="0"/>
    </w:pPr>
    <w:rPr>
      <w:rFonts w:eastAsia="楷体_GB2312"/>
      <w:b/>
      <w:kern w:val="44"/>
    </w:rPr>
  </w:style>
  <w:style w:type="paragraph" w:styleId="4">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2">
    <w:name w:val="heading 3"/>
    <w:basedOn w:val="1"/>
    <w:next w:val="1"/>
    <w:link w:val="21"/>
    <w:semiHidden/>
    <w:unhideWhenUsed/>
    <w:qFormat/>
    <w:uiPriority w:val="0"/>
    <w:pPr>
      <w:keepNext/>
      <w:keepLines/>
      <w:spacing w:before="200" w:beforeLines="0" w:beforeAutospacing="0" w:after="60" w:afterLines="0" w:afterAutospacing="0" w:line="420" w:lineRule="exact"/>
      <w:ind w:firstLine="0" w:firstLineChars="0"/>
      <w:jc w:val="left"/>
      <w:outlineLvl w:val="2"/>
    </w:pPr>
    <w:rPr>
      <w:rFonts w:hint="eastAsia" w:ascii="宋体" w:hAnsi="宋体" w:cs="Times New Roman"/>
      <w:b/>
      <w:szCs w:val="24"/>
    </w:rPr>
  </w:style>
  <w:style w:type="character" w:default="1" w:styleId="13">
    <w:name w:val="Default Paragraph Font"/>
    <w:semiHidden/>
    <w:unhideWhenUsed/>
    <w:qFormat/>
    <w:uiPriority w:val="1"/>
  </w:style>
  <w:style w:type="table" w:default="1" w:styleId="12">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5">
    <w:name w:val="Body Text"/>
    <w:basedOn w:val="1"/>
    <w:qFormat/>
    <w:uiPriority w:val="0"/>
    <w:rPr>
      <w:sz w:val="28"/>
    </w:rPr>
  </w:style>
  <w:style w:type="paragraph" w:styleId="6">
    <w:name w:val="Body Text Indent"/>
    <w:basedOn w:val="1"/>
    <w:qFormat/>
    <w:uiPriority w:val="0"/>
    <w:pPr>
      <w:spacing w:before="120" w:after="120"/>
      <w:ind w:firstLine="480"/>
    </w:pPr>
    <w:rPr>
      <w:rFonts w:ascii="宋体" w:hAnsi="宋体"/>
      <w:sz w:val="24"/>
      <w:szCs w:val="20"/>
    </w:rPr>
  </w:style>
  <w:style w:type="paragraph" w:styleId="7">
    <w:name w:val="footer"/>
    <w:basedOn w:val="1"/>
    <w:link w:val="18"/>
    <w:qFormat/>
    <w:uiPriority w:val="0"/>
    <w:pPr>
      <w:tabs>
        <w:tab w:val="center" w:pos="4153"/>
        <w:tab w:val="right" w:pos="8306"/>
      </w:tabs>
      <w:snapToGrid w:val="0"/>
      <w:jc w:val="left"/>
    </w:pPr>
    <w:rPr>
      <w:sz w:val="18"/>
      <w:szCs w:val="18"/>
    </w:rPr>
  </w:style>
  <w:style w:type="paragraph" w:styleId="8">
    <w:name w:val="header"/>
    <w:basedOn w:val="1"/>
    <w:link w:val="17"/>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99"/>
    <w:pPr>
      <w:widowControl/>
      <w:spacing w:before="100" w:beforeAutospacing="1" w:after="100" w:afterAutospacing="1"/>
      <w:ind w:firstLine="0" w:firstLineChars="0"/>
      <w:jc w:val="left"/>
    </w:pPr>
    <w:rPr>
      <w:rFonts w:ascii="宋体" w:hAnsi="宋体" w:eastAsia="宋体" w:cs="宋体"/>
      <w:kern w:val="0"/>
      <w:sz w:val="24"/>
      <w:szCs w:val="24"/>
    </w:rPr>
  </w:style>
  <w:style w:type="paragraph" w:styleId="10">
    <w:name w:val="Body Text First Indent"/>
    <w:basedOn w:val="5"/>
    <w:qFormat/>
    <w:uiPriority w:val="0"/>
    <w:pPr>
      <w:ind w:firstLine="420" w:firstLineChars="100"/>
    </w:pPr>
  </w:style>
  <w:style w:type="paragraph" w:styleId="11">
    <w:name w:val="Body Text First Indent 2"/>
    <w:basedOn w:val="6"/>
    <w:next w:val="10"/>
    <w:qFormat/>
    <w:uiPriority w:val="0"/>
    <w:pPr>
      <w:spacing w:before="0"/>
      <w:ind w:left="420" w:leftChars="200" w:firstLine="420"/>
    </w:pPr>
  </w:style>
  <w:style w:type="character" w:styleId="14">
    <w:name w:val="Strong"/>
    <w:basedOn w:val="13"/>
    <w:qFormat/>
    <w:uiPriority w:val="22"/>
    <w:rPr>
      <w:b/>
      <w:bCs/>
    </w:rPr>
  </w:style>
  <w:style w:type="character" w:styleId="15">
    <w:name w:val="Hyperlink"/>
    <w:basedOn w:val="13"/>
    <w:qFormat/>
    <w:uiPriority w:val="0"/>
    <w:rPr>
      <w:color w:val="0000FF"/>
      <w:u w:val="single"/>
    </w:rPr>
  </w:style>
  <w:style w:type="paragraph" w:customStyle="1" w:styleId="16">
    <w:name w:val="本文正文"/>
    <w:basedOn w:val="1"/>
    <w:qFormat/>
    <w:uiPriority w:val="0"/>
    <w:pPr>
      <w:spacing w:line="360" w:lineRule="auto"/>
      <w:ind w:firstLine="803"/>
    </w:pPr>
    <w:rPr>
      <w:rFonts w:ascii="宋体" w:hAnsi="宋体"/>
      <w:sz w:val="24"/>
    </w:rPr>
  </w:style>
  <w:style w:type="character" w:customStyle="1" w:styleId="17">
    <w:name w:val="页眉 字符"/>
    <w:basedOn w:val="13"/>
    <w:link w:val="8"/>
    <w:qFormat/>
    <w:uiPriority w:val="0"/>
    <w:rPr>
      <w:rFonts w:ascii="Calibri" w:hAnsi="Calibri" w:eastAsia="仿宋_GB2312"/>
      <w:kern w:val="2"/>
      <w:sz w:val="18"/>
      <w:szCs w:val="18"/>
    </w:rPr>
  </w:style>
  <w:style w:type="character" w:customStyle="1" w:styleId="18">
    <w:name w:val="页脚 字符"/>
    <w:basedOn w:val="13"/>
    <w:link w:val="7"/>
    <w:qFormat/>
    <w:uiPriority w:val="0"/>
    <w:rPr>
      <w:rFonts w:ascii="Calibri" w:hAnsi="Calibri" w:eastAsia="仿宋_GB2312"/>
      <w:kern w:val="2"/>
      <w:sz w:val="18"/>
      <w:szCs w:val="18"/>
    </w:rPr>
  </w:style>
  <w:style w:type="character" w:customStyle="1" w:styleId="19">
    <w:name w:val="标题 2 字符"/>
    <w:basedOn w:val="13"/>
    <w:link w:val="4"/>
    <w:semiHidden/>
    <w:qFormat/>
    <w:uiPriority w:val="0"/>
    <w:rPr>
      <w:rFonts w:asciiTheme="majorHAnsi" w:hAnsiTheme="majorHAnsi" w:eastAsiaTheme="majorEastAsia" w:cstheme="majorBidi"/>
      <w:b/>
      <w:bCs/>
      <w:kern w:val="2"/>
      <w:sz w:val="32"/>
      <w:szCs w:val="32"/>
    </w:rPr>
  </w:style>
  <w:style w:type="paragraph" w:customStyle="1" w:styleId="20">
    <w:name w:val="列出段落2"/>
    <w:basedOn w:val="1"/>
    <w:qFormat/>
    <w:uiPriority w:val="34"/>
    <w:pPr>
      <w:ind w:firstLine="420" w:firstLineChars="200"/>
    </w:pPr>
  </w:style>
  <w:style w:type="character" w:customStyle="1" w:styleId="21">
    <w:name w:val="标题 3 字符"/>
    <w:basedOn w:val="13"/>
    <w:link w:val="2"/>
    <w:qFormat/>
    <w:uiPriority w:val="0"/>
    <w:rPr>
      <w:rFonts w:hint="default" w:ascii="Calibri" w:hAnsi="Calibri" w:cs="Calibri"/>
      <w:b/>
      <w:kern w:val="2"/>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华测检测认证集团股份有限公司</Company>
  <Pages>8</Pages>
  <Words>3857</Words>
  <Characters>4207</Characters>
  <Lines>28</Lines>
  <Paragraphs>8</Paragraphs>
  <TotalTime>0</TotalTime>
  <ScaleCrop>false</ScaleCrop>
  <LinksUpToDate>false</LinksUpToDate>
  <CharactersWithSpaces>4246</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2020-12-18T22:54:00Z</dcterms:created>
  <dc:creator>zhenyongwen</dc:creator>
  <cp:lastModifiedBy>chenkang1</cp:lastModifiedBy>
  <dcterms:modified xsi:type="dcterms:W3CDTF">2022-09-22T17:19:03Z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EF2F45C89DCE4DD2AC6320B968FDE8BF</vt:lpwstr>
  </property>
  <property fmtid="{D5CDD505-2E9C-101B-9397-08002B2CF9AE}" pid="4" name="commondata">
    <vt:lpwstr>eyJoZGlkIjoiMzFkNWY3MDE3M2RiODhiZTRhOWM0N2VmNTEzZWI5MGUifQ==</vt:lpwstr>
  </property>
</Properties>
</file>