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深圳市龙华区司法局20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次“双随机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一公开”检查结果公示</w:t>
      </w:r>
    </w:p>
    <w:p>
      <w:pPr>
        <w:spacing w:line="560" w:lineRule="exact"/>
      </w:pPr>
    </w:p>
    <w:p>
      <w:pPr>
        <w:spacing w:line="560" w:lineRule="exact"/>
        <w:rPr>
          <w:rFonts w:ascii="仿宋_GB2312" w:eastAsia="仿宋_GB2312"/>
          <w:sz w:val="32"/>
          <w:szCs w:val="32"/>
        </w:r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一公开”监管工作的通知》（深府办〔2016〕220号）和《深圳市司法局关于印发大力推广随机抽查规范事中事后监管工作实施方案（修订）的通知》（深司〔2017〕123号）文件要求，做好我局20</w:t>
      </w:r>
      <w:r>
        <w:rPr>
          <w:rFonts w:hint="eastAsia" w:ascii="仿宋_GB2312" w:eastAsia="仿宋_GB2312"/>
          <w:sz w:val="32"/>
          <w:szCs w:val="32"/>
          <w:lang w:val="en-US" w:eastAsia="zh-CN"/>
        </w:rPr>
        <w:t>20</w:t>
      </w:r>
      <w:r>
        <w:rPr>
          <w:rFonts w:hint="eastAsia" w:ascii="仿宋_GB2312" w:eastAsia="仿宋_GB2312"/>
          <w:sz w:val="32"/>
          <w:szCs w:val="32"/>
        </w:rPr>
        <w:t>年度“双随机</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一公开”工作，我局于20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15日</w:t>
      </w:r>
      <w:r>
        <w:rPr>
          <w:rFonts w:hint="eastAsia" w:ascii="仿宋_GB2312" w:eastAsia="仿宋_GB2312"/>
          <w:sz w:val="32"/>
          <w:szCs w:val="32"/>
        </w:rPr>
        <w:t>联合龙华区</w:t>
      </w:r>
      <w:r>
        <w:rPr>
          <w:rFonts w:hint="eastAsia" w:ascii="仿宋_GB2312" w:eastAsia="仿宋_GB2312"/>
          <w:sz w:val="32"/>
          <w:szCs w:val="32"/>
          <w:lang w:eastAsia="zh-CN"/>
        </w:rPr>
        <w:t>财政</w:t>
      </w:r>
      <w:r>
        <w:rPr>
          <w:rFonts w:hint="eastAsia" w:ascii="仿宋_GB2312" w:eastAsia="仿宋_GB2312"/>
          <w:sz w:val="32"/>
          <w:szCs w:val="32"/>
        </w:rPr>
        <w:t>局执法人员对本次抽签选定的</w:t>
      </w:r>
      <w:r>
        <w:rPr>
          <w:rFonts w:hint="eastAsia" w:ascii="仿宋_GB2312" w:eastAsia="仿宋_GB2312"/>
          <w:sz w:val="32"/>
          <w:szCs w:val="32"/>
          <w:lang w:val="en-US" w:eastAsia="zh-CN"/>
        </w:rPr>
        <w:t>3</w:t>
      </w:r>
      <w:r>
        <w:rPr>
          <w:rFonts w:hint="eastAsia" w:ascii="仿宋_GB2312" w:eastAsia="仿宋_GB2312"/>
          <w:sz w:val="32"/>
          <w:szCs w:val="32"/>
        </w:rPr>
        <w:t>家律师事务所进行了检查，现将检查结果</w:t>
      </w:r>
      <w:r>
        <w:rPr>
          <w:rFonts w:ascii="仿宋_GB2312" w:eastAsia="仿宋_GB2312"/>
          <w:sz w:val="32"/>
          <w:szCs w:val="32"/>
        </w:rPr>
        <w:t>予以公布。</w:t>
      </w:r>
    </w:p>
    <w:p>
      <w:pPr>
        <w:widowControl/>
        <w:jc w:val="left"/>
      </w:pPr>
      <w:r>
        <w:br w:type="page"/>
      </w:r>
    </w:p>
    <w:p>
      <w:pPr>
        <w:ind w:firstLine="1260" w:firstLineChars="350"/>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龙华区20</w:t>
      </w:r>
      <w:r>
        <w:rPr>
          <w:rFonts w:hint="eastAsia" w:ascii="华文中宋" w:hAnsi="华文中宋" w:eastAsia="华文中宋" w:cs="宋体"/>
          <w:b/>
          <w:bCs/>
          <w:kern w:val="0"/>
          <w:sz w:val="36"/>
          <w:szCs w:val="36"/>
          <w:lang w:val="en-US" w:eastAsia="zh-CN"/>
        </w:rPr>
        <w:t>20</w:t>
      </w:r>
      <w:r>
        <w:rPr>
          <w:rFonts w:hint="eastAsia" w:ascii="华文中宋" w:hAnsi="华文中宋" w:eastAsia="华文中宋" w:cs="宋体"/>
          <w:b/>
          <w:bCs/>
          <w:kern w:val="0"/>
          <w:sz w:val="36"/>
          <w:szCs w:val="36"/>
        </w:rPr>
        <w:t>年第</w:t>
      </w:r>
      <w:r>
        <w:rPr>
          <w:rFonts w:hint="eastAsia" w:ascii="华文中宋" w:hAnsi="华文中宋" w:eastAsia="华文中宋" w:cs="宋体"/>
          <w:b/>
          <w:bCs/>
          <w:kern w:val="0"/>
          <w:sz w:val="36"/>
          <w:szCs w:val="36"/>
          <w:lang w:eastAsia="zh-CN"/>
        </w:rPr>
        <w:t>一</w:t>
      </w:r>
      <w:r>
        <w:rPr>
          <w:rFonts w:hint="eastAsia" w:ascii="华文中宋" w:hAnsi="华文中宋" w:eastAsia="华文中宋" w:cs="宋体"/>
          <w:b/>
          <w:bCs/>
          <w:kern w:val="0"/>
          <w:sz w:val="36"/>
          <w:szCs w:val="36"/>
        </w:rPr>
        <w:t>次“双随机”检查结果公示表</w:t>
      </w:r>
    </w:p>
    <w:tbl>
      <w:tblPr>
        <w:tblStyle w:val="4"/>
        <w:tblW w:w="1616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5"/>
        <w:gridCol w:w="3255"/>
        <w:gridCol w:w="1300"/>
        <w:gridCol w:w="1234"/>
        <w:gridCol w:w="69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抽查对象</w:t>
            </w:r>
          </w:p>
        </w:tc>
        <w:tc>
          <w:tcPr>
            <w:tcW w:w="325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抽查事项</w:t>
            </w:r>
          </w:p>
        </w:tc>
        <w:tc>
          <w:tcPr>
            <w:tcW w:w="1300"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抽查部门</w:t>
            </w:r>
          </w:p>
        </w:tc>
        <w:tc>
          <w:tcPr>
            <w:tcW w:w="1234"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抽查人员</w:t>
            </w:r>
          </w:p>
        </w:tc>
        <w:tc>
          <w:tcPr>
            <w:tcW w:w="696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抽查结果</w:t>
            </w:r>
          </w:p>
        </w:tc>
        <w:tc>
          <w:tcPr>
            <w:tcW w:w="1418" w:type="dxa"/>
            <w:vAlign w:val="center"/>
          </w:tcPr>
          <w:p>
            <w:pPr>
              <w:spacing w:line="400" w:lineRule="exact"/>
              <w:ind w:firstLine="120" w:firstLineChar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exact"/>
        </w:trPr>
        <w:tc>
          <w:tcPr>
            <w:tcW w:w="699"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5" w:type="dxa"/>
            <w:vAlign w:val="center"/>
          </w:tcPr>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广东</w:t>
            </w:r>
            <w:r>
              <w:rPr>
                <w:rFonts w:hint="eastAsia" w:ascii="仿宋_GB2312" w:hAnsi="宋体" w:eastAsia="仿宋_GB2312" w:cs="宋体"/>
                <w:color w:val="000000"/>
                <w:szCs w:val="21"/>
                <w:lang w:eastAsia="zh-CN"/>
              </w:rPr>
              <w:t>贞邦</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255" w:type="dxa"/>
            <w:vMerge w:val="restart"/>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2.律师事务所内部管理制度的建立和实施情况；3.律师事务所、律师受行政奖惩、行业奖惩的情况；4.律师事务所开展律师执业年度考核和上报年度执业总结的情况；5.律师事务所、律师履行行政处罚和实行整改的情况；6.律师事务所的党建工作情况。</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w:t>
            </w:r>
            <w:r>
              <w:rPr>
                <w:rFonts w:hint="eastAsia" w:ascii="仿宋_GB2312" w:hAnsi="宋体" w:eastAsia="仿宋_GB2312" w:cs="宋体"/>
                <w:b/>
                <w:color w:val="000000"/>
                <w:szCs w:val="21"/>
                <w:lang w:eastAsia="zh-CN"/>
              </w:rPr>
              <w:t>会计监督检查</w:t>
            </w:r>
            <w:r>
              <w:rPr>
                <w:rFonts w:hint="eastAsia" w:ascii="仿宋_GB2312" w:hAnsi="宋体" w:eastAsia="仿宋_GB2312" w:cs="宋体"/>
                <w:b/>
                <w:color w:val="000000"/>
                <w:szCs w:val="21"/>
              </w:rPr>
              <w:t>：</w:t>
            </w:r>
          </w:p>
          <w:p>
            <w:pPr>
              <w:spacing w:line="36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1.是否依法设置会计账簿；2.会计凭证、会计账簿、财务会计报告和其他会计资料是否真实、完整；3.会计核算是否符合本法和国家统一的会计制度的规定；4.从事会计工作的人员是否具备从业资格；5.使用会计软件是否符合规范要求。</w:t>
            </w:r>
          </w:p>
        </w:tc>
        <w:tc>
          <w:tcPr>
            <w:tcW w:w="1300" w:type="dxa"/>
            <w:vMerge w:val="restart"/>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深圳市龙华区司法局、</w:t>
            </w:r>
          </w:p>
          <w:p>
            <w:pPr>
              <w:spacing w:line="360" w:lineRule="exact"/>
              <w:jc w:val="center"/>
              <w:rPr>
                <w:rFonts w:ascii="仿宋_GB2312" w:hAnsi="宋体" w:eastAsia="仿宋_GB2312" w:cs="宋体"/>
                <w:color w:val="000000"/>
                <w:szCs w:val="21"/>
              </w:rPr>
            </w:pPr>
            <w:r>
              <w:rPr>
                <w:rFonts w:hint="eastAsia" w:ascii="仿宋_GB2312" w:hAnsi="仿宋_GB2312" w:eastAsia="仿宋_GB2312" w:cs="仿宋_GB2312"/>
                <w:color w:val="000000"/>
                <w:szCs w:val="21"/>
              </w:rPr>
              <w:t>深圳市龙华区</w:t>
            </w:r>
            <w:r>
              <w:rPr>
                <w:rFonts w:hint="eastAsia" w:ascii="仿宋_GB2312" w:hAnsi="仿宋_GB2312" w:eastAsia="仿宋_GB2312" w:cs="仿宋_GB2312"/>
                <w:color w:val="000000"/>
                <w:szCs w:val="21"/>
                <w:lang w:eastAsia="zh-CN"/>
              </w:rPr>
              <w:t>财政</w:t>
            </w:r>
            <w:r>
              <w:rPr>
                <w:rFonts w:hint="eastAsia" w:ascii="仿宋_GB2312" w:hAnsi="仿宋_GB2312" w:eastAsia="仿宋_GB2312" w:cs="仿宋_GB2312"/>
                <w:color w:val="000000"/>
                <w:szCs w:val="21"/>
              </w:rPr>
              <w:t>局</w:t>
            </w:r>
          </w:p>
        </w:tc>
        <w:tc>
          <w:tcPr>
            <w:tcW w:w="1234" w:type="dxa"/>
            <w:vMerge w:val="restart"/>
            <w:vAlign w:val="center"/>
          </w:tcPr>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罗伟洵</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eastAsia="zh-CN"/>
              </w:rPr>
              <w:t>文晶</w:t>
            </w:r>
          </w:p>
        </w:tc>
        <w:tc>
          <w:tcPr>
            <w:tcW w:w="6969"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1.律所</w:t>
            </w:r>
            <w:r>
              <w:rPr>
                <w:rFonts w:hint="eastAsia" w:ascii="仿宋_GB2312" w:hAnsi="宋体" w:eastAsia="仿宋_GB2312" w:cs="宋体"/>
                <w:color w:val="000000"/>
                <w:szCs w:val="21"/>
                <w:lang w:val="en-US" w:eastAsia="zh-CN"/>
              </w:rPr>
              <w:t>1名执业律师，2019年以来担任2家企业法律顾问</w:t>
            </w:r>
            <w:r>
              <w:rPr>
                <w:rFonts w:hint="eastAsia" w:ascii="仿宋_GB2312" w:hAnsi="宋体" w:eastAsia="仿宋_GB2312" w:cs="宋体"/>
                <w:color w:val="000000"/>
                <w:szCs w:val="21"/>
              </w:rPr>
              <w:t>，共受理了</w:t>
            </w:r>
            <w:r>
              <w:rPr>
                <w:rFonts w:hint="eastAsia" w:ascii="仿宋_GB2312" w:hAnsi="宋体" w:eastAsia="仿宋_GB2312" w:cs="宋体"/>
                <w:color w:val="000000"/>
                <w:szCs w:val="21"/>
                <w:lang w:val="en-US" w:eastAsia="zh-CN"/>
              </w:rPr>
              <w:t>14</w:t>
            </w:r>
            <w:r>
              <w:rPr>
                <w:rFonts w:hint="eastAsia" w:ascii="仿宋_GB2312" w:hAnsi="宋体" w:eastAsia="仿宋_GB2312" w:cs="宋体"/>
                <w:color w:val="000000"/>
                <w:szCs w:val="21"/>
              </w:rPr>
              <w:t>宗案件；</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w:t>
            </w:r>
            <w:r>
              <w:rPr>
                <w:rFonts w:hint="eastAsia" w:ascii="仿宋_GB2312" w:hAnsi="宋体" w:eastAsia="仿宋_GB2312" w:cs="宋体"/>
                <w:color w:val="000000"/>
                <w:szCs w:val="21"/>
                <w:lang w:eastAsia="zh-CN"/>
              </w:rPr>
              <w:t>建立律所基本管理、业务管理和行政管理等制度</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w:t>
            </w:r>
            <w:r>
              <w:rPr>
                <w:rFonts w:hint="eastAsia" w:ascii="仿宋_GB2312" w:hAnsi="宋体" w:eastAsia="仿宋_GB2312" w:cs="宋体"/>
                <w:color w:val="000000"/>
                <w:szCs w:val="21"/>
                <w:lang w:val="en-US" w:eastAsia="zh-CN"/>
              </w:rPr>
              <w:t>2019年年度检查考核材料</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.律所</w:t>
            </w:r>
            <w:r>
              <w:rPr>
                <w:rFonts w:hint="eastAsia" w:ascii="仿宋_GB2312" w:hAnsi="宋体" w:eastAsia="仿宋_GB2312" w:cs="宋体"/>
                <w:color w:val="000000"/>
                <w:szCs w:val="21"/>
                <w:lang w:val="en-US" w:eastAsia="zh-CN"/>
              </w:rPr>
              <w:t>无</w:t>
            </w:r>
            <w:r>
              <w:rPr>
                <w:rFonts w:hint="eastAsia" w:ascii="仿宋_GB2312" w:hAnsi="宋体" w:eastAsia="仿宋_GB2312" w:cs="宋体"/>
                <w:color w:val="000000"/>
                <w:szCs w:val="21"/>
                <w:lang w:eastAsia="zh-CN"/>
              </w:rPr>
              <w:t>中共</w:t>
            </w:r>
            <w:r>
              <w:rPr>
                <w:rFonts w:hint="eastAsia" w:ascii="仿宋_GB2312" w:hAnsi="宋体" w:eastAsia="仿宋_GB2312" w:cs="宋体"/>
                <w:color w:val="000000"/>
                <w:szCs w:val="21"/>
              </w:rPr>
              <w:t>党员</w:t>
            </w:r>
            <w:r>
              <w:rPr>
                <w:rFonts w:hint="eastAsia" w:ascii="仿宋_GB2312" w:hAnsi="宋体" w:eastAsia="仿宋_GB2312" w:cs="宋体"/>
                <w:color w:val="000000"/>
                <w:szCs w:val="21"/>
                <w:lang w:eastAsia="zh-CN"/>
              </w:rPr>
              <w:t>。</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w:t>
            </w:r>
            <w:r>
              <w:rPr>
                <w:rFonts w:hint="eastAsia" w:ascii="仿宋_GB2312" w:hAnsi="宋体" w:eastAsia="仿宋_GB2312" w:cs="宋体"/>
                <w:b/>
                <w:color w:val="000000"/>
                <w:szCs w:val="21"/>
                <w:lang w:eastAsia="zh-CN"/>
              </w:rPr>
              <w:t>会计监督检查</w:t>
            </w:r>
            <w:r>
              <w:rPr>
                <w:rFonts w:hint="eastAsia" w:ascii="仿宋_GB2312" w:hAnsi="宋体" w:eastAsia="仿宋_GB2312" w:cs="宋体"/>
                <w:b/>
                <w:color w:val="000000"/>
                <w:szCs w:val="21"/>
              </w:rPr>
              <w:t>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1.依法设置会计账簿；2.会计凭证、会计账簿、财务会计报告和其他会计资料真实、完整；3.会计核算符合本法和国家统一的会计制度的规定；4.从事会计工作的人员具备从业资格；5.使用会计软件符合规范要求。</w:t>
            </w:r>
          </w:p>
        </w:tc>
        <w:tc>
          <w:tcPr>
            <w:tcW w:w="1418"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exact"/>
        </w:trPr>
        <w:tc>
          <w:tcPr>
            <w:tcW w:w="699" w:type="dxa"/>
            <w:vAlign w:val="center"/>
          </w:tcPr>
          <w:p>
            <w:pPr>
              <w:spacing w:line="400" w:lineRule="exact"/>
              <w:jc w:val="center"/>
              <w:rPr>
                <w:rFonts w:hint="eastAsia"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2</w:t>
            </w:r>
          </w:p>
        </w:tc>
        <w:tc>
          <w:tcPr>
            <w:tcW w:w="1285"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广东厚道</w:t>
            </w:r>
          </w:p>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律师事务所</w:t>
            </w:r>
          </w:p>
        </w:tc>
        <w:tc>
          <w:tcPr>
            <w:tcW w:w="3255" w:type="dxa"/>
            <w:vMerge w:val="continue"/>
            <w:vAlign w:val="center"/>
          </w:tcPr>
          <w:p>
            <w:pPr>
              <w:spacing w:line="360" w:lineRule="exact"/>
              <w:rPr>
                <w:rFonts w:hint="eastAsia" w:ascii="仿宋_GB2312" w:hAnsi="宋体" w:eastAsia="仿宋_GB2312" w:cs="宋体"/>
                <w:color w:val="000000"/>
                <w:szCs w:val="21"/>
              </w:rPr>
            </w:pPr>
          </w:p>
        </w:tc>
        <w:tc>
          <w:tcPr>
            <w:tcW w:w="1300" w:type="dxa"/>
            <w:vMerge w:val="continue"/>
            <w:vAlign w:val="center"/>
          </w:tcPr>
          <w:p>
            <w:pPr>
              <w:spacing w:line="360" w:lineRule="exact"/>
              <w:jc w:val="center"/>
              <w:rPr>
                <w:rFonts w:ascii="仿宋_GB2312" w:hAnsi="宋体" w:eastAsia="仿宋_GB2312" w:cs="宋体"/>
                <w:color w:val="000000"/>
                <w:szCs w:val="21"/>
              </w:rPr>
            </w:pPr>
          </w:p>
        </w:tc>
        <w:tc>
          <w:tcPr>
            <w:tcW w:w="1234" w:type="dxa"/>
            <w:vMerge w:val="continue"/>
            <w:vAlign w:val="center"/>
          </w:tcPr>
          <w:p>
            <w:pPr>
              <w:spacing w:line="360" w:lineRule="exact"/>
              <w:ind w:firstLine="105" w:firstLineChars="50"/>
              <w:jc w:val="center"/>
              <w:rPr>
                <w:rFonts w:ascii="仿宋_GB2312" w:hAnsi="宋体" w:eastAsia="仿宋_GB2312" w:cs="宋体"/>
                <w:color w:val="000000"/>
                <w:szCs w:val="21"/>
              </w:rPr>
            </w:pPr>
          </w:p>
        </w:tc>
        <w:tc>
          <w:tcPr>
            <w:tcW w:w="6969"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1.律所</w:t>
            </w:r>
            <w:r>
              <w:rPr>
                <w:rFonts w:hint="eastAsia" w:ascii="仿宋_GB2312" w:hAnsi="宋体" w:eastAsia="仿宋_GB2312" w:cs="宋体"/>
                <w:color w:val="000000"/>
                <w:szCs w:val="21"/>
                <w:lang w:val="en-US" w:eastAsia="zh-CN"/>
              </w:rPr>
              <w:t>3名执业律师，2019年以来担任1家企业法律顾问</w:t>
            </w:r>
            <w:r>
              <w:rPr>
                <w:rFonts w:hint="eastAsia" w:ascii="仿宋_GB2312" w:hAnsi="宋体" w:eastAsia="仿宋_GB2312" w:cs="宋体"/>
                <w:color w:val="000000"/>
                <w:szCs w:val="21"/>
              </w:rPr>
              <w:t>，共受理了</w:t>
            </w:r>
            <w:r>
              <w:rPr>
                <w:rFonts w:hint="eastAsia" w:ascii="仿宋_GB2312" w:hAnsi="宋体" w:eastAsia="仿宋_GB2312" w:cs="宋体"/>
                <w:color w:val="000000"/>
                <w:szCs w:val="21"/>
                <w:lang w:val="en-US" w:eastAsia="zh-CN"/>
              </w:rPr>
              <w:t>23</w:t>
            </w:r>
            <w:r>
              <w:rPr>
                <w:rFonts w:hint="eastAsia" w:ascii="仿宋_GB2312" w:hAnsi="宋体" w:eastAsia="仿宋_GB2312" w:cs="宋体"/>
                <w:color w:val="000000"/>
                <w:szCs w:val="21"/>
              </w:rPr>
              <w:t>宗案件；</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w:t>
            </w:r>
            <w:r>
              <w:rPr>
                <w:rFonts w:hint="eastAsia" w:ascii="仿宋_GB2312" w:hAnsi="宋体" w:eastAsia="仿宋_GB2312" w:cs="宋体"/>
                <w:color w:val="000000"/>
                <w:szCs w:val="21"/>
                <w:lang w:eastAsia="zh-CN"/>
              </w:rPr>
              <w:t>建立律所基本管理、业务管理和行政管理等制度</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w:t>
            </w:r>
            <w:r>
              <w:rPr>
                <w:rFonts w:hint="eastAsia" w:ascii="仿宋_GB2312" w:hAnsi="宋体" w:eastAsia="仿宋_GB2312" w:cs="宋体"/>
                <w:color w:val="000000"/>
                <w:szCs w:val="21"/>
                <w:lang w:val="en-US" w:eastAsia="zh-CN"/>
              </w:rPr>
              <w:t>2019年年度检查考核材料</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.律所</w:t>
            </w:r>
            <w:r>
              <w:rPr>
                <w:rFonts w:hint="eastAsia" w:ascii="仿宋_GB2312" w:hAnsi="宋体" w:eastAsia="仿宋_GB2312" w:cs="宋体"/>
                <w:color w:val="000000"/>
                <w:szCs w:val="21"/>
                <w:lang w:val="en-US" w:eastAsia="zh-CN"/>
              </w:rPr>
              <w:t>无</w:t>
            </w:r>
            <w:r>
              <w:rPr>
                <w:rFonts w:hint="eastAsia" w:ascii="仿宋_GB2312" w:hAnsi="宋体" w:eastAsia="仿宋_GB2312" w:cs="宋体"/>
                <w:color w:val="000000"/>
                <w:szCs w:val="21"/>
                <w:lang w:eastAsia="zh-CN"/>
              </w:rPr>
              <w:t>中共</w:t>
            </w:r>
            <w:r>
              <w:rPr>
                <w:rFonts w:hint="eastAsia" w:ascii="仿宋_GB2312" w:hAnsi="宋体" w:eastAsia="仿宋_GB2312" w:cs="宋体"/>
                <w:color w:val="000000"/>
                <w:szCs w:val="21"/>
              </w:rPr>
              <w:t>党员</w:t>
            </w:r>
            <w:r>
              <w:rPr>
                <w:rFonts w:hint="eastAsia" w:ascii="仿宋_GB2312" w:hAnsi="宋体" w:eastAsia="仿宋_GB2312" w:cs="宋体"/>
                <w:color w:val="000000"/>
                <w:szCs w:val="21"/>
                <w:lang w:eastAsia="zh-CN"/>
              </w:rPr>
              <w:t>。</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w:t>
            </w:r>
            <w:r>
              <w:rPr>
                <w:rFonts w:hint="eastAsia" w:ascii="仿宋_GB2312" w:hAnsi="宋体" w:eastAsia="仿宋_GB2312" w:cs="宋体"/>
                <w:b/>
                <w:color w:val="000000"/>
                <w:szCs w:val="21"/>
                <w:lang w:eastAsia="zh-CN"/>
              </w:rPr>
              <w:t>会计监督检查</w:t>
            </w:r>
            <w:r>
              <w:rPr>
                <w:rFonts w:hint="eastAsia" w:ascii="仿宋_GB2312" w:hAnsi="宋体" w:eastAsia="仿宋_GB2312" w:cs="宋体"/>
                <w:b/>
                <w:color w:val="000000"/>
                <w:szCs w:val="21"/>
              </w:rPr>
              <w:t>情况：</w:t>
            </w:r>
          </w:p>
          <w:p>
            <w:pPr>
              <w:spacing w:line="360" w:lineRule="exact"/>
              <w:jc w:val="left"/>
              <w:rPr>
                <w:rFonts w:hint="eastAsia" w:ascii="仿宋_GB2312" w:hAnsi="宋体" w:eastAsia="仿宋_GB2312" w:cs="宋体"/>
                <w:color w:val="000000"/>
                <w:szCs w:val="21"/>
              </w:rPr>
            </w:pPr>
            <w:r>
              <w:rPr>
                <w:rFonts w:hint="eastAsia" w:ascii="仿宋_GB2312" w:hAnsi="宋体" w:eastAsia="仿宋_GB2312" w:cs="宋体"/>
                <w:color w:val="000000"/>
                <w:szCs w:val="21"/>
              </w:rPr>
              <w:t>1.依法设置会计账簿；2.会计凭证、会计账簿、财务会计报告和其他会计资料真实、完整；3.会计核算符合本法和国家统一的会计制度的规定；4.从事会计工作的人员具备从业资格；5.使用会计软件符合规范要求。</w:t>
            </w:r>
          </w:p>
        </w:tc>
        <w:tc>
          <w:tcPr>
            <w:tcW w:w="1418"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0" w:hRule="exact"/>
        </w:trPr>
        <w:tc>
          <w:tcPr>
            <w:tcW w:w="699" w:type="dxa"/>
            <w:vAlign w:val="center"/>
          </w:tcPr>
          <w:p>
            <w:pPr>
              <w:spacing w:line="400" w:lineRule="exact"/>
              <w:jc w:val="center"/>
              <w:rPr>
                <w:rFonts w:hint="eastAsia"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3</w:t>
            </w:r>
          </w:p>
        </w:tc>
        <w:tc>
          <w:tcPr>
            <w:tcW w:w="1285"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广东亨凯</w:t>
            </w:r>
          </w:p>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律师事务所</w:t>
            </w:r>
          </w:p>
        </w:tc>
        <w:tc>
          <w:tcPr>
            <w:tcW w:w="3255"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2.律师事务所内部管理制度的建立和实施情况；3.律师事务所、律师受行政奖惩、行业奖惩的情况；4.律师事务所开展律师执业年度考核和上报年度执业总结的情况；5.律师事务所、律师履行行政处罚和实行整改的情况；6.律师事务所的党建工作情况。</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w:t>
            </w:r>
            <w:r>
              <w:rPr>
                <w:rFonts w:hint="eastAsia" w:ascii="仿宋_GB2312" w:hAnsi="宋体" w:eastAsia="仿宋_GB2312" w:cs="宋体"/>
                <w:b/>
                <w:color w:val="000000"/>
                <w:szCs w:val="21"/>
                <w:lang w:eastAsia="zh-CN"/>
              </w:rPr>
              <w:t>会计监督检查</w:t>
            </w:r>
            <w:r>
              <w:rPr>
                <w:rFonts w:hint="eastAsia" w:ascii="仿宋_GB2312" w:hAnsi="宋体" w:eastAsia="仿宋_GB2312" w:cs="宋体"/>
                <w:b/>
                <w:color w:val="000000"/>
                <w:szCs w:val="21"/>
              </w:rPr>
              <w:t>：</w:t>
            </w:r>
          </w:p>
          <w:p>
            <w:pPr>
              <w:spacing w:line="36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1.是否依法设置会计账簿；2.会计凭证、会计账簿、财务会计报告和其他会计资料是否真实、完整；3.会计核算是否符合本法和国家统一的会计制度的规定；4.从事会计工作的人员是否具备从业资格；5.使用会计软件是否符合规范要求。</w:t>
            </w:r>
          </w:p>
        </w:tc>
        <w:tc>
          <w:tcPr>
            <w:tcW w:w="1300" w:type="dxa"/>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深圳市龙华区司法局、</w:t>
            </w:r>
          </w:p>
          <w:p>
            <w:pPr>
              <w:spacing w:line="360" w:lineRule="exact"/>
              <w:jc w:val="center"/>
              <w:rPr>
                <w:rFonts w:ascii="仿宋_GB2312" w:hAnsi="宋体" w:eastAsia="仿宋_GB2312" w:cs="宋体"/>
                <w:color w:val="000000"/>
                <w:szCs w:val="21"/>
              </w:rPr>
            </w:pPr>
            <w:r>
              <w:rPr>
                <w:rFonts w:hint="eastAsia" w:ascii="仿宋_GB2312" w:hAnsi="仿宋_GB2312" w:eastAsia="仿宋_GB2312" w:cs="仿宋_GB2312"/>
                <w:color w:val="000000"/>
                <w:szCs w:val="21"/>
              </w:rPr>
              <w:t>深圳市龙华区</w:t>
            </w:r>
            <w:r>
              <w:rPr>
                <w:rFonts w:hint="eastAsia" w:ascii="仿宋_GB2312" w:hAnsi="仿宋_GB2312" w:eastAsia="仿宋_GB2312" w:cs="仿宋_GB2312"/>
                <w:color w:val="000000"/>
                <w:szCs w:val="21"/>
                <w:lang w:eastAsia="zh-CN"/>
              </w:rPr>
              <w:t>财政</w:t>
            </w:r>
            <w:r>
              <w:rPr>
                <w:rFonts w:hint="eastAsia" w:ascii="仿宋_GB2312" w:hAnsi="仿宋_GB2312" w:eastAsia="仿宋_GB2312" w:cs="仿宋_GB2312"/>
                <w:color w:val="000000"/>
                <w:szCs w:val="21"/>
              </w:rPr>
              <w:t>局</w:t>
            </w:r>
          </w:p>
          <w:p>
            <w:pPr>
              <w:spacing w:line="360" w:lineRule="exact"/>
              <w:jc w:val="center"/>
              <w:rPr>
                <w:rFonts w:ascii="仿宋_GB2312" w:hAnsi="宋体" w:eastAsia="仿宋_GB2312" w:cs="宋体"/>
                <w:color w:val="000000"/>
                <w:szCs w:val="21"/>
              </w:rPr>
            </w:pPr>
          </w:p>
        </w:tc>
        <w:tc>
          <w:tcPr>
            <w:tcW w:w="1234" w:type="dxa"/>
            <w:vAlign w:val="center"/>
          </w:tcPr>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黄湘娴</w:t>
            </w:r>
          </w:p>
          <w:p>
            <w:pPr>
              <w:spacing w:line="36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黄常华</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罗伟洵</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文晶</w:t>
            </w:r>
          </w:p>
          <w:p>
            <w:pPr>
              <w:spacing w:line="360" w:lineRule="exact"/>
              <w:jc w:val="center"/>
              <w:rPr>
                <w:rFonts w:hint="eastAsia"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jc w:val="center"/>
              <w:rPr>
                <w:rFonts w:ascii="仿宋_GB2312" w:hAnsi="宋体" w:eastAsia="仿宋_GB2312" w:cs="宋体"/>
                <w:color w:val="000000"/>
                <w:szCs w:val="21"/>
              </w:rPr>
            </w:pPr>
          </w:p>
          <w:p>
            <w:pPr>
              <w:spacing w:line="360" w:lineRule="exact"/>
              <w:ind w:firstLine="105" w:firstLineChars="50"/>
              <w:jc w:val="center"/>
              <w:rPr>
                <w:rFonts w:ascii="仿宋_GB2312" w:hAnsi="宋体" w:eastAsia="仿宋_GB2312" w:cs="宋体"/>
                <w:color w:val="000000"/>
                <w:szCs w:val="21"/>
              </w:rPr>
            </w:pPr>
          </w:p>
        </w:tc>
        <w:tc>
          <w:tcPr>
            <w:tcW w:w="6969"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1.律所</w:t>
            </w:r>
            <w:r>
              <w:rPr>
                <w:rFonts w:hint="eastAsia" w:ascii="仿宋_GB2312" w:hAnsi="宋体" w:eastAsia="仿宋_GB2312" w:cs="宋体"/>
                <w:color w:val="000000"/>
                <w:szCs w:val="21"/>
                <w:lang w:val="en-US" w:eastAsia="zh-CN"/>
              </w:rPr>
              <w:t>5名执业律师，2019年以来担任6家企业法律顾问</w:t>
            </w:r>
            <w:r>
              <w:rPr>
                <w:rFonts w:hint="eastAsia" w:ascii="仿宋_GB2312" w:hAnsi="宋体" w:eastAsia="仿宋_GB2312" w:cs="宋体"/>
                <w:color w:val="000000"/>
                <w:szCs w:val="21"/>
              </w:rPr>
              <w:t>，共受理了</w:t>
            </w:r>
            <w:r>
              <w:rPr>
                <w:rFonts w:hint="eastAsia" w:ascii="仿宋_GB2312" w:hAnsi="宋体" w:eastAsia="仿宋_GB2312" w:cs="宋体"/>
                <w:color w:val="000000"/>
                <w:szCs w:val="21"/>
                <w:lang w:val="en-US" w:eastAsia="zh-CN"/>
              </w:rPr>
              <w:t>39</w:t>
            </w:r>
            <w:r>
              <w:rPr>
                <w:rFonts w:hint="eastAsia" w:ascii="仿宋_GB2312" w:hAnsi="宋体" w:eastAsia="仿宋_GB2312" w:cs="宋体"/>
                <w:color w:val="000000"/>
                <w:szCs w:val="21"/>
              </w:rPr>
              <w:t>宗案件；</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w:t>
            </w:r>
            <w:r>
              <w:rPr>
                <w:rFonts w:hint="eastAsia" w:ascii="仿宋_GB2312" w:hAnsi="宋体" w:eastAsia="仿宋_GB2312" w:cs="宋体"/>
                <w:color w:val="000000"/>
                <w:szCs w:val="21"/>
                <w:lang w:eastAsia="zh-CN"/>
              </w:rPr>
              <w:t>建立律所基本管理、业务管理和行政管理等制度</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w:t>
            </w:r>
            <w:r>
              <w:rPr>
                <w:rFonts w:hint="eastAsia" w:ascii="仿宋_GB2312" w:hAnsi="宋体" w:eastAsia="仿宋_GB2312" w:cs="宋体"/>
                <w:color w:val="000000"/>
                <w:szCs w:val="21"/>
                <w:lang w:val="en-US" w:eastAsia="zh-CN"/>
              </w:rPr>
              <w:t>2019年年度检查考核材料</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.律所</w:t>
            </w:r>
            <w:r>
              <w:rPr>
                <w:rFonts w:hint="eastAsia" w:ascii="仿宋_GB2312" w:hAnsi="宋体" w:eastAsia="仿宋_GB2312" w:cs="宋体"/>
                <w:color w:val="000000"/>
                <w:szCs w:val="21"/>
                <w:lang w:val="en-US" w:eastAsia="zh-CN"/>
              </w:rPr>
              <w:t>无</w:t>
            </w:r>
            <w:r>
              <w:rPr>
                <w:rFonts w:hint="eastAsia" w:ascii="仿宋_GB2312" w:hAnsi="宋体" w:eastAsia="仿宋_GB2312" w:cs="宋体"/>
                <w:color w:val="000000"/>
                <w:szCs w:val="21"/>
                <w:lang w:eastAsia="zh-CN"/>
              </w:rPr>
              <w:t>中共</w:t>
            </w:r>
            <w:r>
              <w:rPr>
                <w:rFonts w:hint="eastAsia" w:ascii="仿宋_GB2312" w:hAnsi="宋体" w:eastAsia="仿宋_GB2312" w:cs="宋体"/>
                <w:color w:val="000000"/>
                <w:szCs w:val="21"/>
              </w:rPr>
              <w:t>党员</w:t>
            </w:r>
            <w:r>
              <w:rPr>
                <w:rFonts w:hint="eastAsia" w:ascii="仿宋_GB2312" w:hAnsi="宋体" w:eastAsia="仿宋_GB2312" w:cs="宋体"/>
                <w:color w:val="000000"/>
                <w:szCs w:val="21"/>
                <w:lang w:eastAsia="zh-CN"/>
              </w:rPr>
              <w:t>。</w:t>
            </w:r>
          </w:p>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二、律师事务所</w:t>
            </w:r>
            <w:r>
              <w:rPr>
                <w:rFonts w:hint="eastAsia" w:ascii="仿宋_GB2312" w:hAnsi="宋体" w:eastAsia="仿宋_GB2312" w:cs="宋体"/>
                <w:b/>
                <w:color w:val="000000"/>
                <w:szCs w:val="21"/>
                <w:lang w:eastAsia="zh-CN"/>
              </w:rPr>
              <w:t>会计监督检查</w:t>
            </w:r>
            <w:r>
              <w:rPr>
                <w:rFonts w:hint="eastAsia" w:ascii="仿宋_GB2312" w:hAnsi="宋体" w:eastAsia="仿宋_GB2312" w:cs="宋体"/>
                <w:b/>
                <w:color w:val="000000"/>
                <w:szCs w:val="21"/>
              </w:rPr>
              <w:t>情况：</w:t>
            </w:r>
          </w:p>
          <w:p>
            <w:pPr>
              <w:spacing w:line="360" w:lineRule="exact"/>
              <w:jc w:val="left"/>
              <w:rPr>
                <w:rFonts w:hint="eastAsia" w:ascii="仿宋_GB2312" w:hAnsi="宋体" w:eastAsia="仿宋_GB2312" w:cs="宋体"/>
                <w:color w:val="000000"/>
                <w:szCs w:val="21"/>
              </w:rPr>
            </w:pPr>
            <w:r>
              <w:rPr>
                <w:rFonts w:hint="eastAsia" w:ascii="仿宋_GB2312" w:hAnsi="宋体" w:eastAsia="仿宋_GB2312" w:cs="宋体"/>
                <w:color w:val="000000"/>
                <w:szCs w:val="21"/>
              </w:rPr>
              <w:t>1.依法设置会计账簿；2.会计凭证、会计账簿、财务会计报告和其他会计资料真实、完整；3.会计核算符合本法和国家统一的会计制度的规定；4.从事会计工作的人员具备从业资格；5.使用会计软件符合规范要求。</w:t>
            </w:r>
          </w:p>
        </w:tc>
        <w:tc>
          <w:tcPr>
            <w:tcW w:w="1418"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bl>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7"/>
    <w:rsid w:val="001D7D70"/>
    <w:rsid w:val="006C5489"/>
    <w:rsid w:val="00747141"/>
    <w:rsid w:val="00880029"/>
    <w:rsid w:val="00991DC6"/>
    <w:rsid w:val="00BF5CC9"/>
    <w:rsid w:val="00E95238"/>
    <w:rsid w:val="00EA69A7"/>
    <w:rsid w:val="09454163"/>
    <w:rsid w:val="0FD0719D"/>
    <w:rsid w:val="101C6044"/>
    <w:rsid w:val="11F07A18"/>
    <w:rsid w:val="153B6B68"/>
    <w:rsid w:val="22D647F6"/>
    <w:rsid w:val="29A908A4"/>
    <w:rsid w:val="2BA95864"/>
    <w:rsid w:val="2F8F18C8"/>
    <w:rsid w:val="342C095B"/>
    <w:rsid w:val="345E0C5B"/>
    <w:rsid w:val="3EBD2CC8"/>
    <w:rsid w:val="405F5A2D"/>
    <w:rsid w:val="434F59D7"/>
    <w:rsid w:val="4D9929EB"/>
    <w:rsid w:val="500709A4"/>
    <w:rsid w:val="62714A39"/>
    <w:rsid w:val="6A662746"/>
    <w:rsid w:val="6B6E4815"/>
    <w:rsid w:val="6FDF76F1"/>
    <w:rsid w:val="701C1EDD"/>
    <w:rsid w:val="70B93B9B"/>
    <w:rsid w:val="7F97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23</TotalTime>
  <ScaleCrop>false</ScaleCrop>
  <LinksUpToDate>false</LinksUpToDate>
  <CharactersWithSpaces>3112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2018-11-09T15:44:00Z</dcterms:created>
  <dc:creator>叶晓丽</dc:creator>
  <cp:lastModifiedBy>lifugen</cp:lastModifiedBy>
  <cp:lastPrinted>2019-12-12T14:30:00Z</cp:lastPrinted>
  <dcterms:modified xsi:type="dcterms:W3CDTF">2022-09-08T16:00:11Z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