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5"/>
          <w:szCs w:val="45"/>
        </w:rPr>
        <w:t>深圳市龙华区民政局2019年“双随机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5"/>
          <w:szCs w:val="45"/>
          <w:lang w:eastAsia="zh-CN"/>
        </w:rPr>
        <w:t>、一公开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5"/>
          <w:szCs w:val="45"/>
        </w:rPr>
        <w:t>”跨部门联合抽查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5"/>
          <w:szCs w:val="45"/>
        </w:rPr>
        <w:t>检查结果公示</w:t>
      </w:r>
    </w:p>
    <w:tbl>
      <w:tblPr>
        <w:tblStyle w:val="3"/>
        <w:tblpPr w:leftFromText="180" w:rightFromText="180" w:vertAnchor="page" w:horzAnchor="page" w:tblpX="1658" w:tblpY="4105"/>
        <w:tblOverlap w:val="never"/>
        <w:tblW w:w="13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871"/>
        <w:gridCol w:w="4576"/>
        <w:gridCol w:w="1259"/>
        <w:gridCol w:w="1260"/>
        <w:gridCol w:w="215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抽查对象</w:t>
            </w:r>
          </w:p>
        </w:tc>
        <w:tc>
          <w:tcPr>
            <w:tcW w:w="45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抽查事项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抽查部门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抽查人员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抽查结果</w:t>
            </w:r>
          </w:p>
        </w:tc>
        <w:tc>
          <w:tcPr>
            <w:tcW w:w="1630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后续处理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746" w:type="dxa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深圳龙华远东职业技能训练学校附属观澜培训中心</w:t>
            </w:r>
          </w:p>
        </w:tc>
        <w:tc>
          <w:tcPr>
            <w:tcW w:w="457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民政局：对抽象对象是否遵循《民办非企业单位登记管理暂行条例》情况进行检查；包括活动情况、是否有与登记信息不一致地方等。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民政局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彭益芳</w:t>
            </w:r>
          </w:p>
          <w:p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王杰解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未发现违规情况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93C09"/>
    <w:rsid w:val="07686B17"/>
    <w:rsid w:val="34C93C09"/>
    <w:rsid w:val="3B7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2019-05-24T15:55:00Z</dcterms:created>
  <dc:creator>沈首梅</dc:creator>
  <cp:lastModifiedBy>user</cp:lastModifiedBy>
  <dcterms:modified xsi:type="dcterms:W3CDTF">2022-09-01T17:17:23Z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