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市市场和质量监管委龙华局2017年“双随机”跨部门联合抽查结果公示表</w:t>
      </w:r>
    </w:p>
    <w:tbl>
      <w:tblPr>
        <w:tblStyle w:val="4"/>
        <w:tblpPr w:leftFromText="180" w:rightFromText="180" w:vertAnchor="text" w:horzAnchor="page" w:tblpXSpec="center" w:tblpY="787"/>
        <w:tblOverlap w:val="never"/>
        <w:tblW w:w="129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871"/>
        <w:gridCol w:w="4576"/>
        <w:gridCol w:w="1260"/>
        <w:gridCol w:w="1253"/>
        <w:gridCol w:w="1673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抽查对象</w:t>
            </w:r>
          </w:p>
        </w:tc>
        <w:tc>
          <w:tcPr>
            <w:tcW w:w="4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抽查事项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抽查人员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抽查结果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不合格项目</w:t>
            </w:r>
          </w:p>
        </w:tc>
        <w:tc>
          <w:tcPr>
            <w:tcW w:w="153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后续处理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深圳市万泽医药连锁有限公司世纪春城药店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</w:p>
        </w:tc>
        <w:tc>
          <w:tcPr>
            <w:tcW w:w="45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药品零售经营行为（主体资格、经营条件、购销管理、储存管理、广告管理、质量追踪等）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黄悦生</w:t>
            </w:r>
          </w:p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钟延松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深圳市万泽医药连锁有限公司观澜天虹药店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</w:p>
        </w:tc>
        <w:tc>
          <w:tcPr>
            <w:tcW w:w="45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深圳市海王星辰健康药房连锁有限公司新华苑健康药房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</w:p>
        </w:tc>
        <w:tc>
          <w:tcPr>
            <w:tcW w:w="45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深圳市南北药行连锁有限公司招商澜园分店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</w:p>
        </w:tc>
        <w:tc>
          <w:tcPr>
            <w:tcW w:w="45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观澜污水处理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厂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一期</w:t>
            </w:r>
          </w:p>
        </w:tc>
        <w:tc>
          <w:tcPr>
            <w:tcW w:w="45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有无亮照经营、有无按规定时限报送年度报告、是否通过登记住所（经营场所）可以取得联系；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包辉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刘云龙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观澜污水处理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厂二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期</w:t>
            </w:r>
          </w:p>
        </w:tc>
        <w:tc>
          <w:tcPr>
            <w:tcW w:w="45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利宾来塑胶工业（深圳）有限公司</w:t>
            </w:r>
          </w:p>
        </w:tc>
        <w:tc>
          <w:tcPr>
            <w:tcW w:w="45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深圳中艺星实业有限公司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深圳市龙华区锦明学校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食品经营/餐饮服务经营行为（主体资格、经营条件、原料控制、加工过程、餐用具卫生、其他有关情况）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包辉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刘云龙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餐饮服务方面：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1.台账建立不规范；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2.粗加工水池、生熟工具、食品添加剂等未规范标识。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责令整改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深圳市龙华区精英学校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餐饮服务方面：1。台账建立不规范；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2.粗加工水池、生熟工具、食品添加剂、留样等未规范标识；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3.食品储存库种检查出一过期食材。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责令整改（现场立即销毁过期食材）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深圳市龙华区宝文学校</w:t>
            </w:r>
          </w:p>
        </w:tc>
        <w:tc>
          <w:tcPr>
            <w:tcW w:w="45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餐饮服务方面：1.台账建立不规范；2.粗加工水池、生熟工具、食品添加剂等未规范标识。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责令整改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深圳市龙华中英文实验学校</w:t>
            </w:r>
          </w:p>
        </w:tc>
        <w:tc>
          <w:tcPr>
            <w:tcW w:w="457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 w:hAnsi="宋体" w:eastAsia="仿宋_GB2312" w:cs="宋体"/>
          <w:color w:val="000000"/>
          <w:sz w:val="24"/>
          <w:szCs w:val="24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C20AF"/>
    <w:rsid w:val="569C2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2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6">
    <w:name w:val="font2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2017-12-25T02:51:00Z</dcterms:created>
  <dc:creator>刘嘉颖</dc:creator>
  <cp:lastModifiedBy>刘嘉颖</cp:lastModifiedBy>
  <dcterms:modified xsi:type="dcterms:W3CDTF">2017-12-25T02:52:31Z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