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rPr>
        <mc:AlternateContent>
          <mc:Choice Requires="wps">
            <w:drawing>
              <wp:anchor distT="0" distB="0" distL="114300" distR="114300" simplePos="0" relativeHeight="251659264" behindDoc="0" locked="0" layoutInCell="1" allowOverlap="1">
                <wp:simplePos x="0" y="0"/>
                <wp:positionH relativeFrom="column">
                  <wp:posOffset>-779145</wp:posOffset>
                </wp:positionH>
                <wp:positionV relativeFrom="paragraph">
                  <wp:posOffset>-681355</wp:posOffset>
                </wp:positionV>
                <wp:extent cx="846455" cy="422910"/>
                <wp:effectExtent l="0" t="0" r="0" b="0"/>
                <wp:wrapNone/>
                <wp:docPr id="3" name="文本框 3"/>
                <wp:cNvGraphicFramePr/>
                <a:graphic xmlns:a="http://schemas.openxmlformats.org/drawingml/2006/main">
                  <a:graphicData uri="http://schemas.microsoft.com/office/word/2010/wordprocessingShape">
                    <wps:wsp>
                      <wps:cNvSpPr txBox="1"/>
                      <wps:spPr>
                        <a:xfrm>
                          <a:off x="707390" y="391795"/>
                          <a:ext cx="846455" cy="422910"/>
                        </a:xfrm>
                        <a:prstGeom prst="rect">
                          <a:avLst/>
                        </a:prstGeom>
                        <a:noFill/>
                        <a:ln w="6350">
                          <a:noFill/>
                        </a:ln>
                        <a:effectLst/>
                      </wps:spPr>
                      <wps:txbx>
                        <w:txbxContent>
                          <w:p>
                            <w:pPr>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35pt;margin-top:-53.65pt;height:33.3pt;width:66.65pt;z-index:251659264;mso-width-relative:page;mso-height-relative:page;" filled="f" stroked="f" coordsize="21600,21600" o:gfxdata="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J8dmk2wAAAAwBAAAPAAAAAAAAAAEAIAAAACIAAABkcnMvZG93bnJldi54&#10;bWxQSwECFAAUAAAACACHTuJAu3XZ4TACAAAvBAAADgAAAAAAAAABACAAAAAqAQAAZHJzL2Uyb0Rv&#10;Yy54bWxQSwUGAAAAAAYABgBZAQAAzAUAAAAA&#10;">
                <v:fill on="f" focussize="0,0"/>
                <v:stroke on="f" weight="0.5pt"/>
                <v:imagedata o:title=""/>
                <o:lock v:ext="edit" aspectratio="f"/>
                <v:textbox>
                  <w:txbxContent>
                    <w:p>
                      <w:pPr>
                        <w:rPr>
                          <w:rFonts w:hint="default"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txbxContent>
                </v:textbox>
              </v:shape>
            </w:pict>
          </mc:Fallback>
        </mc:AlternateContent>
      </w:r>
      <w:r>
        <w:rPr>
          <w:rFonts w:hint="eastAsia" w:ascii="方正小标宋简体" w:hAnsi="方正小标宋简体" w:eastAsia="方正小标宋简体" w:cs="方正小标宋简体"/>
          <w:sz w:val="44"/>
          <w:szCs w:val="44"/>
        </w:rPr>
        <w:t>龙华区2021年重点工作任务分解表（</w:t>
      </w:r>
      <w:r>
        <w:rPr>
          <w:rFonts w:hint="eastAsia" w:ascii="方正小标宋简体" w:hAnsi="方正小标宋简体" w:eastAsia="方正小标宋简体" w:cs="方正小标宋简体"/>
          <w:sz w:val="44"/>
          <w:szCs w:val="44"/>
          <w:lang w:eastAsia="zh-CN"/>
        </w:rPr>
        <w:t>主办</w:t>
      </w:r>
      <w:r>
        <w:rPr>
          <w:rFonts w:hint="eastAsia" w:ascii="方正小标宋简体" w:hAnsi="方正小标宋简体" w:eastAsia="方正小标宋简体" w:cs="方正小标宋简体"/>
          <w:sz w:val="44"/>
          <w:szCs w:val="44"/>
        </w:rPr>
        <w:t>9项）</w:t>
      </w:r>
    </w:p>
    <w:p/>
    <w:tbl>
      <w:tblPr>
        <w:tblStyle w:val="7"/>
        <w:tblW w:w="1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400"/>
        <w:gridCol w:w="4274"/>
        <w:gridCol w:w="7217"/>
        <w:gridCol w:w="1937"/>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blHeader/>
        </w:trPr>
        <w:tc>
          <w:tcPr>
            <w:tcW w:w="839" w:type="dxa"/>
            <w:vAlign w:val="center"/>
          </w:tcPr>
          <w:p>
            <w:pPr>
              <w:tabs>
                <w:tab w:val="left" w:pos="2730"/>
              </w:tabs>
              <w:jc w:val="center"/>
              <w:rPr>
                <w:vertAlign w:val="baseline"/>
              </w:rPr>
            </w:pPr>
            <w:r>
              <w:rPr>
                <w:rFonts w:hint="eastAsia" w:ascii="黑体" w:hAnsi="黑体" w:eastAsia="黑体"/>
                <w:sz w:val="28"/>
                <w:szCs w:val="28"/>
              </w:rPr>
              <w:t>序号</w:t>
            </w:r>
          </w:p>
        </w:tc>
        <w:tc>
          <w:tcPr>
            <w:tcW w:w="2400" w:type="dxa"/>
            <w:vAlign w:val="center"/>
          </w:tcPr>
          <w:p>
            <w:pPr>
              <w:tabs>
                <w:tab w:val="left" w:pos="2730"/>
              </w:tabs>
              <w:jc w:val="center"/>
              <w:rPr>
                <w:vertAlign w:val="baseline"/>
              </w:rPr>
            </w:pPr>
            <w:r>
              <w:rPr>
                <w:rFonts w:hint="eastAsia" w:ascii="黑体" w:hAnsi="黑体" w:eastAsia="黑体"/>
                <w:sz w:val="28"/>
                <w:szCs w:val="28"/>
              </w:rPr>
              <w:t>具体工作事项</w:t>
            </w:r>
          </w:p>
        </w:tc>
        <w:tc>
          <w:tcPr>
            <w:tcW w:w="4274" w:type="dxa"/>
            <w:vAlign w:val="center"/>
          </w:tcPr>
          <w:p>
            <w:pPr>
              <w:jc w:val="center"/>
              <w:rPr>
                <w:vertAlign w:val="baseline"/>
              </w:rPr>
            </w:pPr>
            <w:r>
              <w:rPr>
                <w:rFonts w:hint="eastAsia" w:ascii="黑体" w:hAnsi="黑体" w:eastAsia="黑体"/>
                <w:sz w:val="28"/>
                <w:szCs w:val="28"/>
              </w:rPr>
              <w:t>第四季度目标</w:t>
            </w:r>
          </w:p>
        </w:tc>
        <w:tc>
          <w:tcPr>
            <w:tcW w:w="7217" w:type="dxa"/>
            <w:vAlign w:val="center"/>
          </w:tcPr>
          <w:p>
            <w:pPr>
              <w:keepNext w:val="0"/>
              <w:keepLines w:val="0"/>
              <w:pageBreakBefore w:val="0"/>
              <w:widowControl w:val="0"/>
              <w:tabs>
                <w:tab w:val="left" w:pos="2730"/>
              </w:tabs>
              <w:kinsoku/>
              <w:wordWrap/>
              <w:overflowPunct/>
              <w:topLinePunct w:val="0"/>
              <w:autoSpaceDE/>
              <w:autoSpaceDN/>
              <w:bidi w:val="0"/>
              <w:adjustRightInd/>
              <w:snapToGrid/>
              <w:spacing w:line="300" w:lineRule="exact"/>
              <w:jc w:val="center"/>
              <w:textAlignment w:val="auto"/>
              <w:rPr>
                <w:rFonts w:hint="eastAsia" w:ascii="黑体" w:hAnsi="黑体" w:eastAsia="黑体"/>
                <w:color w:val="auto"/>
                <w:sz w:val="28"/>
                <w:szCs w:val="28"/>
                <w:lang w:val="en-US" w:eastAsia="zh-CN"/>
              </w:rPr>
            </w:pPr>
            <w:r>
              <w:rPr>
                <w:rFonts w:hint="eastAsia" w:ascii="黑体" w:hAnsi="黑体" w:eastAsia="黑体"/>
                <w:sz w:val="28"/>
                <w:szCs w:val="28"/>
                <w:lang w:val="en-US" w:eastAsia="zh-CN"/>
              </w:rPr>
              <w:t>第四季度完成情况</w:t>
            </w:r>
          </w:p>
        </w:tc>
        <w:tc>
          <w:tcPr>
            <w:tcW w:w="1937" w:type="dxa"/>
            <w:vAlign w:val="center"/>
          </w:tcPr>
          <w:p>
            <w:pPr>
              <w:keepNext w:val="0"/>
              <w:keepLines w:val="0"/>
              <w:pageBreakBefore w:val="0"/>
              <w:widowControl w:val="0"/>
              <w:tabs>
                <w:tab w:val="left" w:pos="2730"/>
              </w:tabs>
              <w:kinsoku/>
              <w:wordWrap/>
              <w:overflowPunct/>
              <w:topLinePunct w:val="0"/>
              <w:autoSpaceDE/>
              <w:autoSpaceDN/>
              <w:bidi w:val="0"/>
              <w:adjustRightInd/>
              <w:snapToGrid/>
              <w:spacing w:line="300" w:lineRule="exact"/>
              <w:jc w:val="center"/>
              <w:textAlignment w:val="auto"/>
              <w:rPr>
                <w:vertAlign w:val="baseline"/>
              </w:rPr>
            </w:pPr>
            <w:r>
              <w:rPr>
                <w:rFonts w:hint="eastAsia" w:ascii="黑体" w:hAnsi="黑体" w:eastAsia="黑体"/>
                <w:color w:val="auto"/>
                <w:sz w:val="28"/>
                <w:szCs w:val="28"/>
                <w:lang w:val="en-US" w:eastAsia="zh-CN"/>
              </w:rPr>
              <w:t>是否完成</w:t>
            </w:r>
          </w:p>
        </w:tc>
        <w:tc>
          <w:tcPr>
            <w:tcW w:w="2743" w:type="dxa"/>
            <w:vAlign w:val="center"/>
          </w:tcPr>
          <w:p>
            <w:pPr>
              <w:tabs>
                <w:tab w:val="left" w:pos="2730"/>
              </w:tabs>
              <w:jc w:val="center"/>
              <w:rPr>
                <w:vertAlign w:val="baseline"/>
              </w:rPr>
            </w:pPr>
            <w:r>
              <w:rPr>
                <w:rFonts w:hint="eastAsia" w:ascii="黑体" w:hAnsi="黑体" w:eastAsia="黑体"/>
                <w:color w:val="auto"/>
                <w:sz w:val="28"/>
                <w:szCs w:val="28"/>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839" w:type="dxa"/>
            <w:vAlign w:val="center"/>
          </w:tcPr>
          <w:p>
            <w:pPr>
              <w:spacing w:line="300" w:lineRule="exact"/>
              <w:jc w:val="center"/>
              <w:rPr>
                <w:vertAlign w:val="baseline"/>
              </w:rPr>
            </w:pPr>
            <w:r>
              <w:rPr>
                <w:rFonts w:hint="eastAsia" w:ascii="仿宋_GB2312" w:hAnsi="仿宋_GB2312" w:eastAsia="仿宋_GB2312" w:cs="仿宋_GB2312"/>
                <w:sz w:val="24"/>
              </w:rPr>
              <w:t>25</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打造地铁4号线商业活力带。</w:t>
            </w:r>
          </w:p>
        </w:tc>
        <w:tc>
          <w:tcPr>
            <w:tcW w:w="4274" w:type="dxa"/>
            <w:vAlign w:val="center"/>
          </w:tcPr>
          <w:p>
            <w:pPr>
              <w:spacing w:line="300" w:lineRule="exact"/>
              <w:ind w:firstLine="480" w:firstLineChars="200"/>
              <w:jc w:val="left"/>
              <w:rPr>
                <w:vertAlign w:val="baseline"/>
              </w:rPr>
            </w:pPr>
            <w:r>
              <w:rPr>
                <w:rFonts w:hint="eastAsia" w:ascii="仿宋_GB2312" w:hAnsi="仿宋_GB2312" w:eastAsia="仿宋_GB2312" w:cs="仿宋_GB2312"/>
                <w:sz w:val="24"/>
                <w:lang w:eastAsia="zh-CN"/>
              </w:rPr>
              <w:t>鼓励地铁</w:t>
            </w:r>
            <w:r>
              <w:rPr>
                <w:rFonts w:hint="eastAsia" w:ascii="仿宋_GB2312" w:hAnsi="仿宋_GB2312" w:eastAsia="仿宋_GB2312" w:cs="仿宋_GB2312"/>
                <w:sz w:val="24"/>
                <w:lang w:val="en-US" w:eastAsia="zh-CN"/>
              </w:rPr>
              <w:t>4号线沿线大型综合体及商超根据实际情况，每季度至少举办1场大型促销活动，促进消费，吸引更多的人流。</w:t>
            </w:r>
          </w:p>
        </w:tc>
        <w:tc>
          <w:tcPr>
            <w:tcW w:w="7217" w:type="dxa"/>
            <w:vAlign w:val="center"/>
          </w:tcPr>
          <w:p>
            <w:pPr>
              <w:spacing w:line="3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u w:val="none" w:color="auto"/>
                <w:lang w:val="en-US" w:eastAsia="zh-CN"/>
              </w:rPr>
              <w:t>龙华购物节期间地铁4号线沿线大型综合体及商超共举办了27场活动,促进消费，吸引更多的人流。</w:t>
            </w:r>
          </w:p>
        </w:tc>
        <w:tc>
          <w:tcPr>
            <w:tcW w:w="1937" w:type="dxa"/>
            <w:vAlign w:val="center"/>
          </w:tcPr>
          <w:p>
            <w:pPr>
              <w:spacing w:line="30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工业和信息化局、</w:t>
            </w:r>
            <w:r>
              <w:rPr>
                <w:rFonts w:hint="eastAsia" w:ascii="仿宋_GB2312" w:hAnsi="仿宋_GB2312" w:eastAsia="仿宋_GB2312" w:cs="仿宋_GB2312"/>
                <w:color w:val="FF0000"/>
                <w:sz w:val="24"/>
              </w:rPr>
              <w:t>民治街道(经济服务办）</w:t>
            </w:r>
            <w:r>
              <w:rPr>
                <w:rFonts w:hint="eastAsia" w:ascii="仿宋_GB2312" w:hAnsi="仿宋_GB2312" w:eastAsia="仿宋_GB2312" w:cs="仿宋_GB2312"/>
                <w:color w:val="auto"/>
                <w:sz w:val="24"/>
              </w:rPr>
              <w:t>、龙华街道、福城街道、观澜街道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4" w:hRule="atLeast"/>
        </w:trPr>
        <w:tc>
          <w:tcPr>
            <w:tcW w:w="839" w:type="dxa"/>
            <w:vAlign w:val="center"/>
          </w:tcPr>
          <w:p>
            <w:pPr>
              <w:spacing w:line="300" w:lineRule="exact"/>
              <w:jc w:val="center"/>
              <w:rPr>
                <w:vertAlign w:val="baseline"/>
              </w:rPr>
            </w:pPr>
            <w:r>
              <w:rPr>
                <w:rFonts w:hint="eastAsia" w:ascii="仿宋_GB2312" w:hAnsi="仿宋_GB2312" w:eastAsia="仿宋_GB2312" w:cs="仿宋_GB2312"/>
                <w:sz w:val="24"/>
              </w:rPr>
              <w:t>26</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构建以市级综合商圈、区级特色商圈、夜间经济示范街为主体的龙华商圈体系。</w:t>
            </w:r>
          </w:p>
        </w:tc>
        <w:tc>
          <w:tcPr>
            <w:tcW w:w="4274" w:type="dxa"/>
            <w:vAlign w:val="center"/>
          </w:tcPr>
          <w:p>
            <w:pPr>
              <w:spacing w:line="300" w:lineRule="exact"/>
              <w:ind w:firstLine="480" w:firstLineChars="200"/>
              <w:jc w:val="left"/>
              <w:rPr>
                <w:vertAlign w:val="baseline"/>
              </w:rPr>
            </w:pPr>
            <w:r>
              <w:rPr>
                <w:rFonts w:hint="eastAsia" w:ascii="仿宋_GB2312" w:hAnsi="仿宋_GB2312" w:eastAsia="仿宋_GB2312" w:cs="仿宋_GB2312"/>
                <w:color w:val="auto"/>
                <w:sz w:val="24"/>
                <w:highlight w:val="none"/>
                <w:lang w:val="en-US" w:eastAsia="zh-CN"/>
              </w:rPr>
              <w:t>积极组织</w:t>
            </w:r>
            <w:r>
              <w:rPr>
                <w:rFonts w:hint="default" w:ascii="仿宋_GB2312" w:hAnsi="仿宋_GB2312" w:eastAsia="仿宋_GB2312" w:cs="仿宋_GB2312"/>
                <w:color w:val="auto"/>
                <w:sz w:val="24"/>
                <w:highlight w:val="none"/>
                <w:lang w:val="en-US" w:eastAsia="zh-CN"/>
              </w:rPr>
              <w:t>辖区</w:t>
            </w:r>
            <w:r>
              <w:rPr>
                <w:rFonts w:hint="eastAsia" w:ascii="仿宋_GB2312" w:hAnsi="仿宋_GB2312" w:eastAsia="仿宋_GB2312" w:cs="仿宋_GB2312"/>
                <w:color w:val="auto"/>
                <w:sz w:val="24"/>
                <w:highlight w:val="none"/>
                <w:lang w:val="en-US" w:eastAsia="zh-CN"/>
              </w:rPr>
              <w:t>大型</w:t>
            </w:r>
            <w:r>
              <w:rPr>
                <w:rFonts w:hint="default" w:ascii="仿宋_GB2312" w:hAnsi="仿宋_GB2312" w:eastAsia="仿宋_GB2312" w:cs="仿宋_GB2312"/>
                <w:color w:val="auto"/>
                <w:sz w:val="24"/>
                <w:highlight w:val="none"/>
                <w:lang w:val="en-US" w:eastAsia="zh-CN"/>
              </w:rPr>
              <w:t>综合体、大型商超和汽车销售等商贸领域重点经营场所开展形式多样、氛围浓厚的促消费活动,</w:t>
            </w:r>
            <w:r>
              <w:rPr>
                <w:rFonts w:hint="eastAsia" w:ascii="仿宋_GB2312" w:hAnsi="仿宋_GB2312" w:eastAsia="仿宋_GB2312" w:cs="仿宋_GB2312"/>
                <w:color w:val="auto"/>
                <w:sz w:val="24"/>
                <w:highlight w:val="none"/>
                <w:lang w:val="en-US" w:eastAsia="zh-CN"/>
              </w:rPr>
              <w:t>每季度至少举办1场，</w:t>
            </w:r>
            <w:r>
              <w:rPr>
                <w:rFonts w:hint="default" w:ascii="仿宋_GB2312" w:hAnsi="仿宋_GB2312" w:eastAsia="仿宋_GB2312" w:cs="仿宋_GB2312"/>
                <w:color w:val="auto"/>
                <w:sz w:val="24"/>
                <w:highlight w:val="none"/>
                <w:lang w:val="en-US" w:eastAsia="zh-CN"/>
              </w:rPr>
              <w:t>助推</w:t>
            </w:r>
            <w:r>
              <w:rPr>
                <w:rFonts w:hint="eastAsia" w:ascii="仿宋_GB2312" w:hAnsi="仿宋_GB2312" w:eastAsia="仿宋_GB2312" w:cs="仿宋_GB2312"/>
                <w:color w:val="auto"/>
                <w:sz w:val="24"/>
                <w:highlight w:val="none"/>
                <w:lang w:val="en-US" w:eastAsia="zh-CN"/>
              </w:rPr>
              <w:t>辖区商圈</w:t>
            </w:r>
            <w:r>
              <w:rPr>
                <w:rFonts w:hint="default" w:ascii="仿宋_GB2312" w:hAnsi="仿宋_GB2312" w:eastAsia="仿宋_GB2312" w:cs="仿宋_GB2312"/>
                <w:color w:val="auto"/>
                <w:sz w:val="24"/>
                <w:highlight w:val="none"/>
                <w:lang w:val="en-US" w:eastAsia="zh-CN"/>
              </w:rPr>
              <w:t>高质量</w:t>
            </w:r>
            <w:r>
              <w:rPr>
                <w:rFonts w:hint="eastAsia" w:ascii="仿宋_GB2312" w:hAnsi="仿宋_GB2312" w:eastAsia="仿宋_GB2312" w:cs="仿宋_GB2312"/>
                <w:color w:val="auto"/>
                <w:sz w:val="24"/>
                <w:highlight w:val="none"/>
                <w:lang w:val="en-US" w:eastAsia="zh-CN"/>
              </w:rPr>
              <w:t>发展。民塘路(金龙路以南)道路整治工程及上河坊酒吧街景观提升工程，完成施工。</w:t>
            </w:r>
          </w:p>
        </w:tc>
        <w:tc>
          <w:tcPr>
            <w:tcW w:w="7217"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1、龙华购物节期间，辖区大型商业综合体举办了折扣促销活动52场，助推辖区商圈高质量发展。发动辖区居民参与龙华区美食嘉年华“味你而来，嗨吃龙华”数字人民币美食红包领取活动，带动辖区餐饮业发展。</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auto"/>
                <w:sz w:val="24"/>
                <w:szCs w:val="24"/>
                <w:u w:val="none" w:color="auto"/>
                <w:lang w:val="en-US" w:eastAsia="zh-CN"/>
              </w:rPr>
              <w:t>2、民塘路（金龙路以南）道路整治工程已完成施工进度100&amp;。</w:t>
            </w:r>
          </w:p>
          <w:p>
            <w:pPr>
              <w:spacing w:line="300" w:lineRule="exact"/>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u w:val="none" w:color="auto"/>
                <w:lang w:val="en-US" w:eastAsia="zh-CN"/>
              </w:rPr>
              <w:t>3、上河坊酒吧街景观提升工程已完成89%。</w:t>
            </w:r>
            <w:bookmarkStart w:id="0" w:name="_GoBack"/>
            <w:bookmarkEnd w:id="0"/>
          </w:p>
        </w:tc>
        <w:tc>
          <w:tcPr>
            <w:tcW w:w="1937" w:type="dxa"/>
            <w:vAlign w:val="center"/>
          </w:tcPr>
          <w:p>
            <w:pPr>
              <w:spacing w:line="30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否</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工业和信息化局、观湖街道、</w:t>
            </w:r>
            <w:r>
              <w:rPr>
                <w:rFonts w:hint="eastAsia" w:ascii="仿宋_GB2312" w:hAnsi="仿宋_GB2312" w:eastAsia="仿宋_GB2312" w:cs="仿宋_GB2312"/>
                <w:color w:val="FF0000"/>
                <w:sz w:val="24"/>
              </w:rPr>
              <w:t>民治</w:t>
            </w:r>
            <w:r>
              <w:rPr>
                <w:rFonts w:hint="eastAsia" w:ascii="仿宋_GB2312" w:hAnsi="仿宋_GB2312" w:eastAsia="仿宋_GB2312" w:cs="仿宋_GB2312"/>
                <w:color w:val="FF0000"/>
                <w:sz w:val="24"/>
                <w:lang w:eastAsia="zh-CN"/>
              </w:rPr>
              <w:t>街道</w:t>
            </w:r>
            <w:r>
              <w:rPr>
                <w:rFonts w:hint="eastAsia" w:ascii="仿宋_GB2312" w:hAnsi="仿宋_GB2312" w:eastAsia="仿宋_GB2312" w:cs="仿宋_GB2312"/>
                <w:color w:val="FF0000"/>
                <w:sz w:val="24"/>
              </w:rPr>
              <w:t>(经济服务办</w:t>
            </w:r>
            <w:r>
              <w:rPr>
                <w:rFonts w:hint="eastAsia" w:ascii="仿宋_GB2312" w:hAnsi="仿宋_GB2312" w:eastAsia="仿宋_GB2312" w:cs="仿宋_GB2312"/>
                <w:color w:val="FF0000"/>
                <w:sz w:val="24"/>
                <w:lang w:eastAsia="zh-CN"/>
              </w:rPr>
              <w:t>、城市管理科</w:t>
            </w:r>
            <w:r>
              <w:rPr>
                <w:rFonts w:hint="eastAsia" w:ascii="仿宋_GB2312" w:hAnsi="仿宋_GB2312" w:eastAsia="仿宋_GB2312" w:cs="仿宋_GB2312"/>
                <w:color w:val="FF0000"/>
                <w:sz w:val="24"/>
              </w:rPr>
              <w:t>）</w:t>
            </w:r>
            <w:r>
              <w:rPr>
                <w:rFonts w:hint="eastAsia" w:ascii="仿宋_GB2312" w:hAnsi="仿宋_GB2312" w:eastAsia="仿宋_GB2312" w:cs="仿宋_GB2312"/>
                <w:color w:val="auto"/>
                <w:sz w:val="24"/>
              </w:rPr>
              <w:t>、龙华街道、大浪街道、福城街道、观澜街道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839" w:type="dxa"/>
            <w:vAlign w:val="center"/>
          </w:tcPr>
          <w:p>
            <w:pPr>
              <w:spacing w:line="300" w:lineRule="exact"/>
              <w:jc w:val="center"/>
              <w:rPr>
                <w:vertAlign w:val="baseline"/>
              </w:rPr>
            </w:pPr>
            <w:r>
              <w:rPr>
                <w:rFonts w:hint="eastAsia" w:ascii="仿宋_GB2312" w:hAnsi="仿宋_GB2312" w:eastAsia="仿宋_GB2312" w:cs="仿宋_GB2312"/>
                <w:sz w:val="24"/>
              </w:rPr>
              <w:t>60</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建设涉外管理服务综合平台。</w:t>
            </w:r>
          </w:p>
        </w:tc>
        <w:tc>
          <w:tcPr>
            <w:tcW w:w="4274" w:type="dxa"/>
            <w:vAlign w:val="center"/>
          </w:tcPr>
          <w:p>
            <w:pPr>
              <w:spacing w:line="300" w:lineRule="exact"/>
              <w:ind w:firstLine="480" w:firstLineChars="200"/>
              <w:jc w:val="left"/>
              <w:rPr>
                <w:vertAlign w:val="baseline"/>
              </w:rPr>
            </w:pPr>
            <w:r>
              <w:rPr>
                <w:rFonts w:hint="eastAsia" w:ascii="仿宋_GB2312" w:hAnsi="仿宋_GB2312" w:eastAsia="仿宋_GB2312" w:cs="仿宋_GB2312"/>
                <w:sz w:val="24"/>
              </w:rPr>
              <w:t>联合企业、学校举办外籍人士参加的汉语角、中国传统文化展示等各类活动，促进中外文化交流，帮助外籍人员尽快融入社区，提高认同感。</w:t>
            </w:r>
          </w:p>
        </w:tc>
        <w:tc>
          <w:tcPr>
            <w:tcW w:w="7217" w:type="dxa"/>
            <w:vAlign w:val="center"/>
          </w:tcPr>
          <w:p>
            <w:pPr>
              <w:spacing w:line="30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val="en-US" w:eastAsia="zh-CN"/>
              </w:rPr>
              <w:t>2021年10月至12月，民治街道举办了民治国际化街区建设线上公益国际汉语课堂系列活动，该活动每月举办两次线上国际汉语课程。除了在深圳的外籍人士参与课堂教学外，还有来自香港、澳门、广州、汕尾、珠海、南昌等地区的外国朋友纷纷通过扫码进入课堂听课，这些学员中包括外资企业高管、国际学校教师、留学生和艺术创作者等人员，他们都对学习中国汉语表现出极大的热情和浓厚的兴趣。课后还设置了半个小时互动环节，外国朋友踊跃抢答民治国际化街区建设、红山国际服务中心和民治街道行政服务大厅“国际政务双语窗口”涉外业务有奖竞猜，课堂气氛轻松活跃。</w:t>
            </w:r>
          </w:p>
        </w:tc>
        <w:tc>
          <w:tcPr>
            <w:tcW w:w="1937" w:type="dxa"/>
            <w:vAlign w:val="center"/>
          </w:tcPr>
          <w:p>
            <w:pPr>
              <w:spacing w:line="30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区委外办、</w:t>
            </w:r>
            <w:r>
              <w:rPr>
                <w:rFonts w:hint="eastAsia" w:ascii="仿宋_GB2312" w:hAnsi="仿宋_GB2312" w:eastAsia="仿宋_GB2312" w:cs="仿宋_GB2312"/>
                <w:color w:val="FF0000"/>
                <w:sz w:val="24"/>
              </w:rPr>
              <w:t>民治街道（党政综合办</w:t>
            </w:r>
            <w:r>
              <w:rPr>
                <w:rFonts w:hint="eastAsia" w:ascii="仿宋_GB2312" w:hAnsi="仿宋_GB2312" w:eastAsia="仿宋_GB2312" w:cs="仿宋_GB2312"/>
                <w:color w:val="FF0000"/>
                <w:sz w:val="24"/>
                <w:lang w:eastAsia="zh-CN"/>
              </w:rPr>
              <w:t>牵头，会同公共服务办（政务服务）</w:t>
            </w:r>
            <w:r>
              <w:rPr>
                <w:rFonts w:hint="eastAsia" w:ascii="仿宋_GB2312" w:hAnsi="仿宋_GB2312" w:eastAsia="仿宋_GB2312" w:cs="仿宋_GB2312"/>
                <w:color w:val="FF0000"/>
                <w:sz w:val="24"/>
              </w:rPr>
              <w:t>）</w:t>
            </w:r>
            <w:r>
              <w:rPr>
                <w:rFonts w:hint="eastAsia" w:ascii="仿宋_GB2312" w:hAnsi="仿宋_GB2312" w:eastAsia="仿宋_GB2312" w:cs="仿宋_GB2312"/>
                <w:color w:val="auto"/>
                <w:sz w:val="24"/>
              </w:rPr>
              <w:t>、观澜街道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6" w:hRule="atLeast"/>
        </w:trPr>
        <w:tc>
          <w:tcPr>
            <w:tcW w:w="839" w:type="dxa"/>
            <w:vAlign w:val="center"/>
          </w:tcPr>
          <w:p>
            <w:pPr>
              <w:spacing w:line="300" w:lineRule="exact"/>
              <w:jc w:val="center"/>
              <w:rPr>
                <w:vertAlign w:val="baseline"/>
              </w:rPr>
            </w:pPr>
            <w:r>
              <w:rPr>
                <w:rFonts w:hint="eastAsia" w:ascii="仿宋_GB2312" w:hAnsi="仿宋_GB2312" w:eastAsia="仿宋_GB2312" w:cs="仿宋_GB2312"/>
                <w:sz w:val="24"/>
              </w:rPr>
              <w:t>64</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开展“深入社区稳企业保就业”金融支持专项行动。</w:t>
            </w:r>
          </w:p>
        </w:tc>
        <w:tc>
          <w:tcPr>
            <w:tcW w:w="4274" w:type="dxa"/>
            <w:vAlign w:val="center"/>
          </w:tcPr>
          <w:p>
            <w:pPr>
              <w:spacing w:line="300" w:lineRule="exact"/>
              <w:jc w:val="left"/>
              <w:rPr>
                <w:vertAlign w:val="baseline"/>
              </w:rPr>
            </w:pPr>
            <w:r>
              <w:rPr>
                <w:rFonts w:hint="eastAsia" w:ascii="仿宋_GB2312" w:hAnsi="仿宋_GB2312" w:eastAsia="仿宋_GB2312" w:cs="仿宋_GB2312"/>
                <w:sz w:val="24"/>
                <w:lang w:val="en-US" w:eastAsia="zh-CN"/>
              </w:rPr>
              <w:t xml:space="preserve">    走访3个社区写字楼、园区和分散在居民区的企业。继续宣传“深入社区稳企业保就业”专项行动，解答企业参与使用过程中的疑问。组织银行、金融机构和辖区企业，举办交流活动一次。</w:t>
            </w:r>
          </w:p>
        </w:tc>
        <w:tc>
          <w:tcPr>
            <w:tcW w:w="7217" w:type="dxa"/>
            <w:vAlign w:val="center"/>
          </w:tcPr>
          <w:p>
            <w:pPr>
              <w:spacing w:line="30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b w:val="0"/>
                <w:bCs w:val="0"/>
                <w:sz w:val="24"/>
                <w:szCs w:val="24"/>
                <w:lang w:val="en-US" w:eastAsia="zh-CN"/>
              </w:rPr>
              <w:t>1、走访新牛社区的新牛大厦、智慧谷创新园、源创空间园，民治社区1970工业园区，大岭社区光浩国际中心等辖区内企业，了解园区企业生产经情况，宣传“深入社区稳企业保就业”。</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w:t>
            </w:r>
            <w:r>
              <w:rPr>
                <w:rFonts w:hint="eastAsia" w:ascii="仿宋_GB2312" w:hAnsi="仿宋_GB2312" w:eastAsia="仿宋_GB2312" w:cs="仿宋_GB2312"/>
                <w:b w:val="0"/>
                <w:bCs w:val="0"/>
                <w:sz w:val="24"/>
                <w:szCs w:val="24"/>
                <w:lang w:val="en-US" w:eastAsia="zh-CN"/>
              </w:rPr>
              <w:t>协调浦发银行、交通银行、建设银行、中国银行等金融机构同华师兄弟公司、科普特公司、安保日用公司等企业到民治社区1970工业园区举办交流活动一场，促进双方融资、贷款业务。</w:t>
            </w:r>
          </w:p>
        </w:tc>
        <w:tc>
          <w:tcPr>
            <w:tcW w:w="1937" w:type="dxa"/>
            <w:vAlign w:val="center"/>
          </w:tcPr>
          <w:p>
            <w:pPr>
              <w:spacing w:line="30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工业和信息化局、观湖街道、</w:t>
            </w:r>
            <w:r>
              <w:rPr>
                <w:rFonts w:hint="eastAsia" w:ascii="仿宋_GB2312" w:hAnsi="仿宋_GB2312" w:eastAsia="仿宋_GB2312" w:cs="仿宋_GB2312"/>
                <w:color w:val="FF0000"/>
                <w:sz w:val="24"/>
              </w:rPr>
              <w:t>民治街道（经济服务办）</w:t>
            </w:r>
            <w:r>
              <w:rPr>
                <w:rFonts w:hint="eastAsia" w:ascii="仿宋_GB2312" w:hAnsi="仿宋_GB2312" w:eastAsia="仿宋_GB2312" w:cs="仿宋_GB2312"/>
                <w:color w:val="auto"/>
                <w:sz w:val="24"/>
              </w:rPr>
              <w:t>、龙华街道、大浪街道、福城街道、观澜街道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7" w:hRule="atLeast"/>
        </w:trPr>
        <w:tc>
          <w:tcPr>
            <w:tcW w:w="839" w:type="dxa"/>
            <w:vAlign w:val="center"/>
          </w:tcPr>
          <w:p>
            <w:pPr>
              <w:spacing w:line="300" w:lineRule="exact"/>
              <w:jc w:val="center"/>
              <w:rPr>
                <w:vertAlign w:val="baseline"/>
              </w:rPr>
            </w:pPr>
            <w:r>
              <w:rPr>
                <w:rFonts w:hint="eastAsia" w:ascii="仿宋_GB2312" w:hAnsi="仿宋_GB2312" w:eastAsia="仿宋_GB2312" w:cs="仿宋_GB2312"/>
                <w:sz w:val="24"/>
              </w:rPr>
              <w:t>134</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完成143个城中村燃气改造，实现符合条件的城中村燃气改造全覆盖。</w:t>
            </w:r>
          </w:p>
        </w:tc>
        <w:tc>
          <w:tcPr>
            <w:tcW w:w="4274" w:type="dxa"/>
            <w:vAlign w:val="center"/>
          </w:tcPr>
          <w:p>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left"/>
              <w:textAlignment w:val="auto"/>
              <w:rPr>
                <w:vertAlign w:val="baseline"/>
              </w:rPr>
            </w:pPr>
            <w:r>
              <w:rPr>
                <w:rFonts w:hint="eastAsia" w:ascii="仿宋_GB2312" w:hAnsi="仿宋_GB2312" w:eastAsia="仿宋_GB2312" w:cs="仿宋_GB2312"/>
                <w:color w:val="000000"/>
                <w:sz w:val="24"/>
                <w:szCs w:val="24"/>
                <w:highlight w:val="none"/>
                <w:u w:val="none" w:color="auto"/>
                <w:lang w:val="en-US" w:eastAsia="zh-CN"/>
              </w:rPr>
              <w:t>收费率达到100%。</w:t>
            </w:r>
          </w:p>
        </w:tc>
        <w:tc>
          <w:tcPr>
            <w:tcW w:w="7217" w:type="dxa"/>
            <w:vAlign w:val="center"/>
          </w:tcPr>
          <w:p>
            <w:pPr>
              <w:spacing w:line="3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截至12月20日，民治街道任务户数54600户，收费户数是65261，收费率119.53%；完成安装户数67561，安装率123.74%；完成点火户数55524，点火率101.69%。</w:t>
            </w:r>
          </w:p>
        </w:tc>
        <w:tc>
          <w:tcPr>
            <w:tcW w:w="1937" w:type="dxa"/>
            <w:vAlign w:val="center"/>
          </w:tcPr>
          <w:p>
            <w:pPr>
              <w:spacing w:line="30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是</w:t>
            </w:r>
          </w:p>
        </w:tc>
        <w:tc>
          <w:tcPr>
            <w:tcW w:w="2743" w:type="dxa"/>
            <w:vAlign w:val="center"/>
          </w:tcPr>
          <w:p>
            <w:pPr>
              <w:spacing w:line="300" w:lineRule="exact"/>
              <w:jc w:val="both"/>
              <w:rPr>
                <w:vertAlign w:val="baseline"/>
              </w:rPr>
            </w:pPr>
            <w:r>
              <w:rPr>
                <w:rFonts w:hint="eastAsia" w:ascii="仿宋_GB2312" w:hAnsi="仿宋_GB2312" w:eastAsia="仿宋_GB2312" w:cs="仿宋_GB2312"/>
                <w:color w:val="auto"/>
                <w:sz w:val="24"/>
              </w:rPr>
              <w:t>住房和建设局、观湖街道、</w:t>
            </w:r>
            <w:r>
              <w:rPr>
                <w:rFonts w:hint="eastAsia" w:ascii="仿宋_GB2312" w:hAnsi="仿宋_GB2312" w:eastAsia="仿宋_GB2312" w:cs="仿宋_GB2312"/>
                <w:color w:val="FF0000"/>
                <w:sz w:val="24"/>
              </w:rPr>
              <w:t>民治街道（城市建设办）</w:t>
            </w:r>
            <w:r>
              <w:rPr>
                <w:rFonts w:hint="eastAsia" w:ascii="仿宋_GB2312" w:hAnsi="仿宋_GB2312" w:eastAsia="仿宋_GB2312" w:cs="仿宋_GB2312"/>
                <w:color w:val="auto"/>
                <w:sz w:val="24"/>
              </w:rPr>
              <w:t>、龙华街道、大浪街道、福城街道、观澜街道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atLeast"/>
        </w:trPr>
        <w:tc>
          <w:tcPr>
            <w:tcW w:w="839" w:type="dxa"/>
            <w:vAlign w:val="center"/>
          </w:tcPr>
          <w:p>
            <w:pPr>
              <w:spacing w:line="300" w:lineRule="exact"/>
              <w:jc w:val="center"/>
              <w:rPr>
                <w:vertAlign w:val="baseline"/>
              </w:rPr>
            </w:pPr>
            <w:r>
              <w:rPr>
                <w:rFonts w:hint="eastAsia" w:ascii="仿宋_GB2312" w:hAnsi="仿宋_GB2312" w:eastAsia="仿宋_GB2312" w:cs="仿宋_GB2312"/>
                <w:sz w:val="24"/>
              </w:rPr>
              <w:t>152</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系统整治户外广告、城市立面、横幅标语、交通护栏、人行天桥等各方面市容问题，确保环卫水平跃居全市前列。</w:t>
            </w:r>
          </w:p>
        </w:tc>
        <w:tc>
          <w:tcPr>
            <w:tcW w:w="4274" w:type="dxa"/>
            <w:vAlign w:val="center"/>
          </w:tcPr>
          <w:p>
            <w:pPr>
              <w:spacing w:line="300" w:lineRule="exact"/>
              <w:jc w:val="left"/>
              <w:rPr>
                <w:vertAlign w:val="baseline"/>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总结经验，深入开展各类市容乱象长效治理。</w:t>
            </w:r>
          </w:p>
        </w:tc>
        <w:tc>
          <w:tcPr>
            <w:tcW w:w="7217" w:type="dxa"/>
            <w:vAlign w:val="center"/>
          </w:tcPr>
          <w:p>
            <w:pPr>
              <w:spacing w:line="30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val="en" w:eastAsia="zh-CN"/>
              </w:rPr>
              <w:t>第四季度（截至12月20日）对辖区的主次干道、人行天桥等市容问题巡查，共查处乱摆卖</w:t>
            </w:r>
            <w:r>
              <w:rPr>
                <w:rFonts w:hint="eastAsia" w:ascii="仿宋_GB2312" w:hAnsi="仿宋_GB2312" w:eastAsia="仿宋_GB2312" w:cs="仿宋_GB2312"/>
                <w:sz w:val="24"/>
                <w:szCs w:val="24"/>
                <w:lang w:val="en-US" w:eastAsia="zh-CN"/>
              </w:rPr>
              <w:t>1531</w:t>
            </w:r>
            <w:r>
              <w:rPr>
                <w:rFonts w:hint="eastAsia" w:ascii="仿宋_GB2312" w:hAnsi="仿宋_GB2312" w:eastAsia="仿宋_GB2312" w:cs="仿宋_GB2312"/>
                <w:sz w:val="24"/>
                <w:szCs w:val="24"/>
                <w:lang w:val="en" w:eastAsia="zh-CN"/>
              </w:rPr>
              <w:t>宗，乱张贴1</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val="en" w:eastAsia="zh-CN"/>
              </w:rPr>
              <w:t>23宗，乱挂晒</w:t>
            </w:r>
            <w:r>
              <w:rPr>
                <w:rFonts w:hint="eastAsia" w:ascii="仿宋_GB2312" w:hAnsi="仿宋_GB2312" w:eastAsia="仿宋_GB2312" w:cs="仿宋_GB2312"/>
                <w:sz w:val="24"/>
                <w:szCs w:val="24"/>
                <w:lang w:val="en-US" w:eastAsia="zh-CN"/>
              </w:rPr>
              <w:t>1392</w:t>
            </w:r>
            <w:r>
              <w:rPr>
                <w:rFonts w:hint="eastAsia" w:ascii="仿宋_GB2312" w:hAnsi="仿宋_GB2312" w:eastAsia="仿宋_GB2312" w:cs="仿宋_GB2312"/>
                <w:sz w:val="24"/>
                <w:szCs w:val="24"/>
                <w:lang w:val="en" w:eastAsia="zh-CN"/>
              </w:rPr>
              <w:t>宗，拆除违规广告牌1</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val="en" w:eastAsia="zh-CN"/>
              </w:rPr>
              <w:t>块、广告指引牌</w:t>
            </w:r>
            <w:r>
              <w:rPr>
                <w:rFonts w:hint="eastAsia" w:ascii="仿宋_GB2312" w:hAnsi="仿宋_GB2312" w:eastAsia="仿宋_GB2312" w:cs="仿宋_GB2312"/>
                <w:sz w:val="24"/>
                <w:szCs w:val="24"/>
                <w:lang w:val="en-US" w:eastAsia="zh-CN"/>
              </w:rPr>
              <w:t>13</w:t>
            </w:r>
            <w:r>
              <w:rPr>
                <w:rFonts w:hint="eastAsia" w:ascii="仿宋_GB2312" w:hAnsi="仿宋_GB2312" w:eastAsia="仿宋_GB2312" w:cs="仿宋_GB2312"/>
                <w:sz w:val="24"/>
                <w:szCs w:val="24"/>
                <w:lang w:val="en" w:eastAsia="zh-CN"/>
              </w:rPr>
              <w:t>块、横幅</w:t>
            </w:r>
            <w:r>
              <w:rPr>
                <w:rFonts w:hint="eastAsia" w:ascii="仿宋_GB2312" w:hAnsi="仿宋_GB2312" w:eastAsia="仿宋_GB2312" w:cs="仿宋_GB2312"/>
                <w:sz w:val="24"/>
                <w:szCs w:val="24"/>
                <w:lang w:val="en-US" w:eastAsia="zh-CN"/>
              </w:rPr>
              <w:t>34</w:t>
            </w:r>
            <w:r>
              <w:rPr>
                <w:rFonts w:hint="eastAsia" w:ascii="仿宋_GB2312" w:hAnsi="仿宋_GB2312" w:eastAsia="仿宋_GB2312" w:cs="仿宋_GB2312"/>
                <w:sz w:val="24"/>
                <w:szCs w:val="24"/>
                <w:lang w:val="en" w:eastAsia="zh-CN"/>
              </w:rPr>
              <w:t>条。发放安全告知书5份，共立案1</w:t>
            </w:r>
            <w:r>
              <w:rPr>
                <w:rFonts w:hint="eastAsia" w:ascii="仿宋_GB2312" w:hAnsi="仿宋_GB2312" w:eastAsia="仿宋_GB2312" w:cs="仿宋_GB2312"/>
                <w:sz w:val="24"/>
                <w:szCs w:val="24"/>
                <w:lang w:val="en-US" w:eastAsia="zh-CN"/>
              </w:rPr>
              <w:t>27</w:t>
            </w:r>
            <w:r>
              <w:rPr>
                <w:rFonts w:hint="eastAsia" w:ascii="仿宋_GB2312" w:hAnsi="仿宋_GB2312" w:eastAsia="仿宋_GB2312" w:cs="仿宋_GB2312"/>
                <w:sz w:val="24"/>
                <w:szCs w:val="24"/>
                <w:lang w:val="en" w:eastAsia="zh-CN"/>
              </w:rPr>
              <w:t>宗，罚款</w:t>
            </w:r>
            <w:r>
              <w:rPr>
                <w:rFonts w:hint="eastAsia" w:ascii="仿宋_GB2312" w:hAnsi="仿宋_GB2312" w:eastAsia="仿宋_GB2312" w:cs="仿宋_GB2312"/>
                <w:sz w:val="24"/>
                <w:szCs w:val="24"/>
                <w:lang w:val="en-US" w:eastAsia="zh-CN"/>
              </w:rPr>
              <w:t>148730</w:t>
            </w:r>
            <w:r>
              <w:rPr>
                <w:rFonts w:hint="eastAsia" w:ascii="仿宋_GB2312" w:hAnsi="仿宋_GB2312" w:eastAsia="仿宋_GB2312" w:cs="仿宋_GB2312"/>
                <w:sz w:val="24"/>
                <w:szCs w:val="24"/>
                <w:lang w:val="en" w:eastAsia="zh-CN"/>
              </w:rPr>
              <w:t>元。</w:t>
            </w:r>
          </w:p>
        </w:tc>
        <w:tc>
          <w:tcPr>
            <w:tcW w:w="1937" w:type="dxa"/>
            <w:vAlign w:val="center"/>
          </w:tcPr>
          <w:p>
            <w:pPr>
              <w:spacing w:line="30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城市管理和综合执法局、市交通运输局龙华管理局、观湖街道、</w:t>
            </w:r>
            <w:r>
              <w:rPr>
                <w:rFonts w:hint="eastAsia" w:ascii="仿宋_GB2312" w:hAnsi="仿宋_GB2312" w:eastAsia="仿宋_GB2312" w:cs="仿宋_GB2312"/>
                <w:color w:val="FF0000"/>
                <w:sz w:val="24"/>
              </w:rPr>
              <w:t>民治街道（综合行政执法办（执法一中队）牵头，会同城市管理科、市政管理服务中心</w:t>
            </w:r>
            <w:r>
              <w:rPr>
                <w:rFonts w:hint="eastAsia" w:ascii="仿宋_GB2312" w:hAnsi="仿宋_GB2312" w:eastAsia="仿宋_GB2312" w:cs="仿宋_GB2312"/>
                <w:color w:val="FF0000"/>
                <w:sz w:val="24"/>
                <w:lang w:eastAsia="zh-CN"/>
              </w:rPr>
              <w:t>、</w:t>
            </w:r>
            <w:r>
              <w:rPr>
                <w:rFonts w:hint="eastAsia" w:ascii="仿宋_GB2312" w:hAnsi="仿宋_GB2312" w:eastAsia="仿宋_GB2312" w:cs="仿宋_GB2312"/>
                <w:color w:val="FF0000"/>
                <w:sz w:val="24"/>
              </w:rPr>
              <w:t>应急管理办（交通安全））</w:t>
            </w:r>
            <w:r>
              <w:rPr>
                <w:rFonts w:hint="eastAsia" w:ascii="仿宋_GB2312" w:hAnsi="仿宋_GB2312" w:eastAsia="仿宋_GB2312" w:cs="仿宋_GB2312"/>
                <w:color w:val="auto"/>
                <w:sz w:val="24"/>
              </w:rPr>
              <w:t>、龙华街道、大浪街道、福城街道、观澜街道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 w:type="dxa"/>
            <w:vAlign w:val="center"/>
          </w:tcPr>
          <w:p>
            <w:pPr>
              <w:spacing w:line="300" w:lineRule="exact"/>
              <w:jc w:val="center"/>
              <w:rPr>
                <w:vertAlign w:val="baseline"/>
              </w:rPr>
            </w:pPr>
            <w:r>
              <w:rPr>
                <w:rFonts w:hint="eastAsia" w:ascii="仿宋_GB2312" w:hAnsi="仿宋_GB2312" w:eastAsia="仿宋_GB2312" w:cs="仿宋_GB2312"/>
                <w:sz w:val="24"/>
              </w:rPr>
              <w:t>154</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深化“三化四有”建设，统筹治理反复开挖、随意占道、乱设围挡、噪音扰民等乱象。</w:t>
            </w:r>
          </w:p>
        </w:tc>
        <w:tc>
          <w:tcPr>
            <w:tcW w:w="4274" w:type="dxa"/>
            <w:vAlign w:val="center"/>
          </w:tcPr>
          <w:p>
            <w:pPr>
              <w:spacing w:line="300" w:lineRule="exact"/>
              <w:ind w:firstLine="480" w:firstLineChars="200"/>
              <w:jc w:val="left"/>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lang w:eastAsia="zh-CN"/>
                <w14:textFill>
                  <w14:solidFill>
                    <w14:schemeClr w14:val="tx1"/>
                  </w14:solidFill>
                </w14:textFill>
              </w:rPr>
              <w:t>优化执法流程，提高执法效能。</w:t>
            </w:r>
          </w:p>
          <w:p>
            <w:pPr>
              <w:spacing w:line="300" w:lineRule="exact"/>
              <w:ind w:firstLine="480" w:firstLineChars="200"/>
              <w:jc w:val="left"/>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14:textFill>
                  <w14:solidFill>
                    <w14:schemeClr w14:val="tx1"/>
                  </w14:solidFill>
                </w14:textFill>
              </w:rPr>
              <w:t>逐步探索“三化四有”长效机制模式，总结经验</w:t>
            </w:r>
            <w:r>
              <w:rPr>
                <w:rFonts w:hint="eastAsia" w:ascii="仿宋_GB2312" w:hAnsi="仿宋_GB2312" w:eastAsia="仿宋_GB2312" w:cs="仿宋_GB2312"/>
                <w:color w:val="000000" w:themeColor="text1"/>
                <w:sz w:val="24"/>
                <w:lang w:eastAsia="zh-CN"/>
                <w14:textFill>
                  <w14:solidFill>
                    <w14:schemeClr w14:val="tx1"/>
                  </w14:solidFill>
                </w14:textFill>
              </w:rPr>
              <w:t>，巩固成果。</w:t>
            </w:r>
          </w:p>
          <w:p>
            <w:pPr>
              <w:spacing w:line="300" w:lineRule="exact"/>
              <w:ind w:firstLine="480" w:firstLineChars="200"/>
              <w:jc w:val="left"/>
              <w:rPr>
                <w:vertAlign w:val="baseline"/>
              </w:rPr>
            </w:pPr>
            <w:r>
              <w:rPr>
                <w:rFonts w:hint="eastAsia" w:ascii="仿宋_GB2312" w:hAnsi="仿宋_GB2312" w:eastAsia="仿宋_GB2312" w:cs="仿宋_GB2312"/>
                <w:color w:val="000000" w:themeColor="text1"/>
                <w:sz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14:textFill>
                  <w14:solidFill>
                    <w14:schemeClr w14:val="tx1"/>
                  </w14:solidFill>
                </w14:textFill>
              </w:rPr>
              <w:t>针对交通护栏管理问题，安排工作人员对辖区市政道路护栏进行巡查，梳理统计护栏破损、护栏缺失等隐患，统一报相关责任单位进行修复，针对各单位平时发现的市政道路护栏缺失、损坏等问题第一时间报相关部门处理。</w:t>
            </w:r>
          </w:p>
        </w:tc>
        <w:tc>
          <w:tcPr>
            <w:tcW w:w="7217" w:type="dxa"/>
            <w:vAlign w:val="center"/>
          </w:tcPr>
          <w:p>
            <w:pPr>
              <w:spacing w:line="3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建立“区域包干、责任包干”的执法机制，整合人员力量，理顺执法流程，解决工作衔接不畅、执法力量分散等问题。由综合行政执法办公室主任对街道执法工作负总责，下分两个区域（每个区域含6个社区），每个执法中队负责一个区域。每个社区安排一名公务员，为该社区执法工作直接责任人，具体负责纳入街道综合行政执法的18类执法职责以及国有土地管理工作。</w:t>
            </w:r>
          </w:p>
          <w:p>
            <w:pPr>
              <w:spacing w:line="3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一是根据《深圳市城市管理和综合执法局关于印发2021年街道综合执法系统纪律作风教育整顿方案的通知》要求，10月21日至11月8日，综合行政执法办组织全办工作人员开展个人自查自纠、谈心谈话、专题党课学习、队伍强化练兵等纪律作风整顿活动，共收集个人自查自纠报告140余篇、党课学习心得140余篇，共计开展谈心谈话约70次，进一步筑牢全办廉洁防线。二是根据市城管局《街道综合行政执法考评方案（试行）》和《关于加强街道综合行政执法“五化”建设的实施方案》要求，积极开展“五化”建设迎检验收工作，加强队伍管理，完善硬件配置，提升执法成效和案件数量质量。10月份以来共审理执法案件</w:t>
            </w:r>
            <w:r>
              <w:rPr>
                <w:rFonts w:hint="eastAsia" w:ascii="仿宋_GB2312" w:hAnsi="仿宋_GB2312" w:eastAsia="仿宋_GB2312" w:cs="仿宋_GB2312"/>
                <w:sz w:val="24"/>
                <w:szCs w:val="24"/>
                <w:lang w:val="en" w:eastAsia="zh-CN"/>
              </w:rPr>
              <w:t>116</w:t>
            </w:r>
            <w:r>
              <w:rPr>
                <w:rFonts w:hint="eastAsia" w:ascii="仿宋_GB2312" w:hAnsi="仿宋_GB2312" w:eastAsia="仿宋_GB2312" w:cs="仿宋_GB2312"/>
                <w:sz w:val="24"/>
                <w:szCs w:val="24"/>
                <w:lang w:val="en-US" w:eastAsia="zh-CN"/>
              </w:rPr>
              <w:t>宗，罚款约</w:t>
            </w:r>
            <w:r>
              <w:rPr>
                <w:rFonts w:hint="eastAsia" w:ascii="仿宋_GB2312" w:hAnsi="仿宋_GB2312" w:eastAsia="仿宋_GB2312" w:cs="仿宋_GB2312"/>
                <w:sz w:val="24"/>
                <w:szCs w:val="24"/>
                <w:lang w:val="en" w:eastAsia="zh-CN"/>
              </w:rPr>
              <w:t>14.26</w:t>
            </w:r>
            <w:r>
              <w:rPr>
                <w:rFonts w:hint="eastAsia" w:ascii="仿宋_GB2312" w:hAnsi="仿宋_GB2312" w:eastAsia="仿宋_GB2312" w:cs="仿宋_GB2312"/>
                <w:sz w:val="24"/>
                <w:szCs w:val="24"/>
                <w:lang w:val="en-US" w:eastAsia="zh-CN"/>
              </w:rPr>
              <w:t>万元，重点开展“门前三包”专项整治行动，通过加大执法处罚力度，推动辖区商超落实“门前三包”责任。三是为进一步提升执法队伍廉政意识，帮助队员筑牢思想防线，守好廉政底线，12月7日上午，综合行政执法办举行廉政教育专题讲座，全体工作人员参加。</w:t>
            </w:r>
          </w:p>
          <w:p>
            <w:pPr>
              <w:spacing w:line="300" w:lineRule="exact"/>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持续加大整治力度，着力改善市容环境。严查违法占道施工行为，共巡查辖区占道施工现场31次；重点整治围挡脏污破损和乱设围挡等问题，督促责任单位整改破损围挡15次；巡查辖区道路开挖行为20处，控停违规施工3处；及时回应并解决群众反映强烈的噪音扰民问题，共处理投诉16宗。</w:t>
            </w:r>
          </w:p>
          <w:p>
            <w:pPr>
              <w:spacing w:line="300" w:lineRule="exact"/>
              <w:jc w:val="center"/>
              <w:rPr>
                <w:rFonts w:hint="eastAsia" w:ascii="仿宋_GB2312" w:hAnsi="仿宋_GB2312" w:eastAsia="仿宋_GB2312" w:cs="仿宋_GB2312"/>
                <w:kern w:val="2"/>
                <w:sz w:val="24"/>
                <w:szCs w:val="24"/>
                <w:lang w:val="en-US" w:eastAsia="zh-CN" w:bidi="ar-SA"/>
              </w:rPr>
            </w:pPr>
          </w:p>
        </w:tc>
        <w:tc>
          <w:tcPr>
            <w:tcW w:w="1937" w:type="dxa"/>
            <w:vAlign w:val="center"/>
          </w:tcPr>
          <w:p>
            <w:pPr>
              <w:spacing w:line="30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城市管理和综合执法局、市交通运输局龙华管理局、住房和建设局、市生态环境局龙华管理局、观湖街道、</w:t>
            </w:r>
            <w:r>
              <w:rPr>
                <w:rFonts w:hint="eastAsia" w:ascii="仿宋_GB2312" w:hAnsi="仿宋_GB2312" w:eastAsia="仿宋_GB2312" w:cs="仿宋_GB2312"/>
                <w:color w:val="FF0000"/>
                <w:sz w:val="24"/>
              </w:rPr>
              <w:t>民治街道（</w:t>
            </w:r>
            <w:r>
              <w:rPr>
                <w:rFonts w:hint="eastAsia" w:ascii="仿宋_GB2312" w:hAnsi="仿宋_GB2312" w:eastAsia="仿宋_GB2312" w:cs="仿宋_GB2312"/>
                <w:color w:val="FF0000"/>
                <w:sz w:val="24"/>
                <w:lang w:eastAsia="zh-CN"/>
              </w:rPr>
              <w:t>综合行政执法办（</w:t>
            </w:r>
            <w:r>
              <w:rPr>
                <w:rFonts w:hint="eastAsia" w:ascii="仿宋_GB2312" w:hAnsi="仿宋_GB2312" w:eastAsia="仿宋_GB2312" w:cs="仿宋_GB2312"/>
                <w:color w:val="FF0000"/>
                <w:sz w:val="24"/>
              </w:rPr>
              <w:t>执法一中队</w:t>
            </w:r>
            <w:r>
              <w:rPr>
                <w:rFonts w:hint="eastAsia" w:ascii="仿宋_GB2312" w:hAnsi="仿宋_GB2312" w:eastAsia="仿宋_GB2312" w:cs="仿宋_GB2312"/>
                <w:color w:val="FF0000"/>
                <w:sz w:val="24"/>
                <w:lang w:eastAsia="zh-CN"/>
              </w:rPr>
              <w:t>、综合科）</w:t>
            </w:r>
            <w:r>
              <w:rPr>
                <w:rFonts w:hint="eastAsia" w:ascii="仿宋_GB2312" w:hAnsi="仿宋_GB2312" w:eastAsia="仿宋_GB2312" w:cs="仿宋_GB2312"/>
                <w:color w:val="FF0000"/>
                <w:sz w:val="24"/>
              </w:rPr>
              <w:t>牵头，会同城市管理科、应急管理办（交通安全）</w:t>
            </w:r>
            <w:r>
              <w:rPr>
                <w:rFonts w:hint="eastAsia" w:ascii="仿宋_GB2312" w:hAnsi="仿宋_GB2312" w:eastAsia="仿宋_GB2312" w:cs="仿宋_GB2312"/>
                <w:color w:val="FF0000"/>
                <w:sz w:val="24"/>
                <w:lang w:eastAsia="zh-CN"/>
              </w:rPr>
              <w:t>、</w:t>
            </w:r>
            <w:r>
              <w:rPr>
                <w:rFonts w:hint="eastAsia" w:ascii="仿宋_GB2312" w:hAnsi="仿宋_GB2312" w:eastAsia="仿宋_GB2312" w:cs="仿宋_GB2312"/>
                <w:color w:val="FF0000"/>
                <w:sz w:val="24"/>
              </w:rPr>
              <w:t>城市建设办、建设工程事务中心）</w:t>
            </w:r>
            <w:r>
              <w:rPr>
                <w:rFonts w:hint="eastAsia" w:ascii="仿宋_GB2312" w:hAnsi="仿宋_GB2312" w:eastAsia="仿宋_GB2312" w:cs="仿宋_GB2312"/>
                <w:color w:val="auto"/>
                <w:sz w:val="24"/>
              </w:rPr>
              <w:t>、龙华街道、大浪街道、福城街道、观澜街道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trPr>
        <w:tc>
          <w:tcPr>
            <w:tcW w:w="839" w:type="dxa"/>
            <w:vAlign w:val="center"/>
          </w:tcPr>
          <w:p>
            <w:pPr>
              <w:spacing w:line="300" w:lineRule="exact"/>
              <w:jc w:val="center"/>
              <w:rPr>
                <w:vertAlign w:val="baseline"/>
              </w:rPr>
            </w:pPr>
            <w:r>
              <w:rPr>
                <w:rFonts w:hint="eastAsia" w:ascii="仿宋_GB2312" w:hAnsi="仿宋_GB2312" w:eastAsia="仿宋_GB2312" w:cs="仿宋_GB2312"/>
                <w:sz w:val="24"/>
              </w:rPr>
              <w:t>200</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加快“8所1中心”、章阁基地和56个警务室规范化建设。</w:t>
            </w:r>
          </w:p>
        </w:tc>
        <w:tc>
          <w:tcPr>
            <w:tcW w:w="4274" w:type="dxa"/>
            <w:vAlign w:val="center"/>
          </w:tcPr>
          <w:p>
            <w:pPr>
              <w:spacing w:line="300" w:lineRule="exact"/>
              <w:jc w:val="left"/>
              <w:rPr>
                <w:vertAlign w:val="baseline"/>
              </w:rPr>
            </w:pP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按照公安分局、区建筑工务署计划积极配合推进。</w:t>
            </w:r>
          </w:p>
        </w:tc>
        <w:tc>
          <w:tcPr>
            <w:tcW w:w="7217" w:type="dxa"/>
            <w:vAlign w:val="center"/>
          </w:tcPr>
          <w:p>
            <w:pPr>
              <w:spacing w:line="30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民治街道已</w:t>
            </w:r>
            <w:r>
              <w:rPr>
                <w:rFonts w:hint="eastAsia" w:ascii="仿宋_GB2312" w:hAnsi="仿宋_GB2312" w:eastAsia="仿宋_GB2312" w:cs="仿宋_GB2312"/>
                <w:sz w:val="24"/>
                <w:lang w:eastAsia="zh-CN"/>
              </w:rPr>
              <w:t>配合</w:t>
            </w:r>
            <w:r>
              <w:rPr>
                <w:rFonts w:hint="eastAsia" w:ascii="仿宋_GB2312" w:hAnsi="仿宋_GB2312" w:eastAsia="仿宋_GB2312" w:cs="仿宋_GB2312"/>
                <w:sz w:val="24"/>
              </w:rPr>
              <w:t>完成3个新增警务室（民泰警区、樟坑警区、民强警区）场地租赁</w:t>
            </w:r>
            <w:r>
              <w:rPr>
                <w:rFonts w:hint="eastAsia" w:ascii="仿宋_GB2312" w:hAnsi="仿宋_GB2312" w:eastAsia="仿宋_GB2312" w:cs="仿宋_GB2312"/>
                <w:sz w:val="24"/>
                <w:lang w:eastAsia="zh-CN"/>
              </w:rPr>
              <w:t>，并积极配合</w:t>
            </w:r>
            <w:r>
              <w:rPr>
                <w:rFonts w:hint="eastAsia" w:ascii="仿宋_GB2312" w:hAnsi="仿宋_GB2312" w:eastAsia="仿宋_GB2312" w:cs="仿宋_GB2312"/>
                <w:sz w:val="24"/>
              </w:rPr>
              <w:t>公安分局、区建筑工务署</w:t>
            </w:r>
            <w:r>
              <w:rPr>
                <w:rFonts w:hint="eastAsia" w:ascii="仿宋_GB2312" w:hAnsi="仿宋_GB2312" w:eastAsia="仿宋_GB2312" w:cs="仿宋_GB2312"/>
                <w:sz w:val="24"/>
                <w:lang w:eastAsia="zh-CN"/>
              </w:rPr>
              <w:t>推进项目。</w:t>
            </w:r>
          </w:p>
        </w:tc>
        <w:tc>
          <w:tcPr>
            <w:tcW w:w="1937" w:type="dxa"/>
            <w:vAlign w:val="center"/>
          </w:tcPr>
          <w:p>
            <w:pPr>
              <w:spacing w:line="30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是</w:t>
            </w:r>
          </w:p>
        </w:tc>
        <w:tc>
          <w:tcPr>
            <w:tcW w:w="2743" w:type="dxa"/>
            <w:vAlign w:val="center"/>
          </w:tcPr>
          <w:p>
            <w:pPr>
              <w:spacing w:line="300" w:lineRule="exact"/>
              <w:jc w:val="center"/>
              <w:rPr>
                <w:vertAlign w:val="baseline"/>
              </w:rPr>
            </w:pPr>
            <w:r>
              <w:rPr>
                <w:rFonts w:hint="eastAsia" w:ascii="仿宋_GB2312" w:hAnsi="仿宋_GB2312" w:eastAsia="仿宋_GB2312" w:cs="仿宋_GB2312"/>
                <w:color w:val="auto"/>
                <w:sz w:val="24"/>
              </w:rPr>
              <w:t>龙华公安分局、区前期中心（轨道中心）、建筑工务署、</w:t>
            </w:r>
            <w:r>
              <w:rPr>
                <w:rFonts w:hint="eastAsia" w:ascii="仿宋_GB2312" w:hAnsi="仿宋_GB2312" w:eastAsia="仿宋_GB2312" w:cs="仿宋_GB2312"/>
                <w:color w:val="FF0000"/>
                <w:sz w:val="24"/>
              </w:rPr>
              <w:t>民治街道（综合治理办）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6" w:hRule="atLeast"/>
        </w:trPr>
        <w:tc>
          <w:tcPr>
            <w:tcW w:w="839" w:type="dxa"/>
            <w:vAlign w:val="center"/>
          </w:tcPr>
          <w:p>
            <w:pPr>
              <w:spacing w:line="300" w:lineRule="exact"/>
              <w:jc w:val="center"/>
              <w:rPr>
                <w:vertAlign w:val="baseline"/>
              </w:rPr>
            </w:pPr>
            <w:r>
              <w:rPr>
                <w:rFonts w:hint="eastAsia" w:ascii="仿宋_GB2312" w:hAnsi="仿宋_GB2312" w:eastAsia="仿宋_GB2312" w:cs="仿宋_GB2312"/>
                <w:sz w:val="24"/>
              </w:rPr>
              <w:t>210</w:t>
            </w:r>
          </w:p>
        </w:tc>
        <w:tc>
          <w:tcPr>
            <w:tcW w:w="2400" w:type="dxa"/>
            <w:vAlign w:val="center"/>
          </w:tcPr>
          <w:p>
            <w:pPr>
              <w:spacing w:line="300" w:lineRule="exact"/>
              <w:jc w:val="left"/>
              <w:rPr>
                <w:vertAlign w:val="baseline"/>
              </w:rPr>
            </w:pPr>
            <w:r>
              <w:rPr>
                <w:rFonts w:hint="eastAsia" w:ascii="仿宋_GB2312" w:hAnsi="仿宋_GB2312" w:eastAsia="仿宋_GB2312" w:cs="仿宋_GB2312"/>
                <w:sz w:val="24"/>
              </w:rPr>
              <w:t>加强建筑领域安全监管。</w:t>
            </w:r>
          </w:p>
        </w:tc>
        <w:tc>
          <w:tcPr>
            <w:tcW w:w="4274" w:type="dxa"/>
            <w:vAlign w:val="center"/>
          </w:tcPr>
          <w:p>
            <w:pPr>
              <w:spacing w:line="300" w:lineRule="exact"/>
              <w:ind w:firstLine="480" w:firstLineChars="200"/>
              <w:jc w:val="left"/>
              <w:rPr>
                <w:vertAlign w:val="baseline"/>
              </w:rPr>
            </w:pPr>
            <w:r>
              <w:rPr>
                <w:rFonts w:hint="eastAsia" w:ascii="仿宋_GB2312" w:hAnsi="仿宋_GB2312" w:eastAsia="仿宋_GB2312" w:cs="仿宋_GB2312"/>
                <w:color w:val="000000" w:themeColor="text1"/>
                <w:sz w:val="24"/>
                <w14:textFill>
                  <w14:solidFill>
                    <w14:schemeClr w14:val="tx1"/>
                  </w14:solidFill>
                </w14:textFill>
              </w:rPr>
              <w:t>坚持“安全第一、预防为主、综合治理”</w:t>
            </w:r>
            <w:r>
              <w:rPr>
                <w:rFonts w:hint="eastAsia" w:ascii="仿宋_GB2312" w:hAnsi="仿宋_GB2312" w:eastAsia="仿宋_GB2312" w:cs="仿宋_GB2312"/>
                <w:color w:val="000000" w:themeColor="text1"/>
                <w:sz w:val="24"/>
                <w:lang w:eastAsia="zh-CN"/>
                <w14:textFill>
                  <w14:solidFill>
                    <w14:schemeClr w14:val="tx1"/>
                  </w14:solidFill>
                </w14:textFill>
              </w:rPr>
              <w:t>的</w:t>
            </w:r>
            <w:r>
              <w:rPr>
                <w:rFonts w:hint="eastAsia" w:ascii="仿宋_GB2312" w:hAnsi="仿宋_GB2312" w:eastAsia="仿宋_GB2312" w:cs="仿宋_GB2312"/>
                <w:color w:val="000000" w:themeColor="text1"/>
                <w:sz w:val="24"/>
                <w14:textFill>
                  <w14:solidFill>
                    <w14:schemeClr w14:val="tx1"/>
                  </w14:solidFill>
                </w14:textFill>
              </w:rPr>
              <w:t>工作方针，以减少一般事故、遏制较大及以上事故为目标</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sz w:val="24"/>
              </w:rPr>
              <w:t>加强建筑领域安全监管</w:t>
            </w:r>
            <w:r>
              <w:rPr>
                <w:rFonts w:hint="eastAsia" w:ascii="仿宋_GB2312" w:hAnsi="仿宋_GB2312" w:eastAsia="仿宋_GB2312" w:cs="仿宋_GB2312"/>
                <w:color w:val="000000" w:themeColor="text1"/>
                <w:sz w:val="24"/>
                <w:lang w:eastAsia="zh-CN"/>
                <w14:textFill>
                  <w14:solidFill>
                    <w14:schemeClr w14:val="tx1"/>
                  </w14:solidFill>
                </w14:textFill>
              </w:rPr>
              <w:t>。</w:t>
            </w:r>
          </w:p>
        </w:tc>
        <w:tc>
          <w:tcPr>
            <w:tcW w:w="7217" w:type="dxa"/>
            <w:vAlign w:val="center"/>
          </w:tcPr>
          <w:p>
            <w:pPr>
              <w:spacing w:line="300" w:lineRule="exact"/>
              <w:jc w:val="left"/>
              <w:rPr>
                <w:rFonts w:hint="eastAsia" w:ascii="仿宋_GB2312" w:hAnsi="仿宋_GB2312" w:eastAsia="仿宋_GB2312" w:cs="仿宋_GB2312"/>
                <w:color w:val="auto"/>
                <w:sz w:val="24"/>
                <w:szCs w:val="24"/>
                <w:u w:val="none" w:color="auto"/>
                <w:lang w:val="en-US" w:eastAsia="zh-CN"/>
              </w:rPr>
            </w:pPr>
            <w:r>
              <w:rPr>
                <w:rFonts w:hint="eastAsia" w:ascii="仿宋_GB2312" w:hAnsi="仿宋_GB2312" w:eastAsia="仿宋_GB2312" w:cs="仿宋_GB2312"/>
                <w:color w:val="000000" w:themeColor="text1"/>
                <w:sz w:val="24"/>
                <w:szCs w:val="24"/>
                <w14:textFill>
                  <w14:solidFill>
                    <w14:schemeClr w14:val="tx1"/>
                  </w14:solidFill>
                </w14:textFill>
              </w:rPr>
              <w:t>在建工地和小散工程的安全生产监管工作：</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1、在建工地：</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一是建立民治辖区市、区报建工地台帐。目前市、区报建工地共计48个，已建档立册，完善项目安全生产资料。二是开展日常安全排查，截</w:t>
            </w:r>
            <w:r>
              <w:rPr>
                <w:rFonts w:hint="eastAsia" w:ascii="仿宋_GB2312" w:hAnsi="仿宋_GB2312" w:eastAsia="仿宋_GB2312" w:cs="仿宋_GB2312"/>
                <w:color w:val="000000" w:themeColor="text1"/>
                <w:sz w:val="24"/>
                <w:szCs w:val="24"/>
                <w:lang w:eastAsia="zh-CN"/>
                <w14:textFill>
                  <w14:solidFill>
                    <w14:schemeClr w14:val="tx1"/>
                  </w14:solidFill>
                </w14:textFill>
              </w:rPr>
              <w:t>至</w:t>
            </w:r>
            <w:r>
              <w:rPr>
                <w:rFonts w:hint="eastAsia" w:ascii="仿宋_GB2312" w:hAnsi="仿宋_GB2312" w:eastAsia="仿宋_GB2312" w:cs="仿宋_GB2312"/>
                <w:color w:val="000000" w:themeColor="text1"/>
                <w:sz w:val="24"/>
                <w:szCs w:val="24"/>
                <w14:textFill>
                  <w14:solidFill>
                    <w14:schemeClr w14:val="tx1"/>
                  </w14:solidFill>
                </w14:textFill>
              </w:rPr>
              <w:t>12月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w:t>
            </w:r>
            <w:r>
              <w:rPr>
                <w:rFonts w:hint="eastAsia" w:ascii="仿宋_GB2312" w:hAnsi="仿宋_GB2312" w:eastAsia="仿宋_GB2312" w:cs="仿宋_GB2312"/>
                <w:color w:val="000000" w:themeColor="text1"/>
                <w:sz w:val="24"/>
                <w:szCs w:val="24"/>
                <w14:textFill>
                  <w14:solidFill>
                    <w14:schemeClr w14:val="tx1"/>
                  </w14:solidFill>
                </w14:textFill>
              </w:rPr>
              <w:t>日，共出动人员557人次，排查48家市、区报建工地。发现安全隐患102处，发出《责令整改通知书》31份，均已完成整改，闭环率达100%。</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2、小散工程：</w:t>
            </w:r>
            <w:r>
              <w:rPr>
                <w:rFonts w:hint="eastAsia" w:ascii="仿宋_GB2312" w:hAnsi="仿宋_GB2312" w:eastAsia="仿宋_GB2312" w:cs="仿宋_GB2312"/>
                <w:color w:val="000000" w:themeColor="text1"/>
                <w:sz w:val="24"/>
                <w:szCs w:val="24"/>
                <w14:textFill>
                  <w14:solidFill>
                    <w14:schemeClr w14:val="tx1"/>
                  </w14:solidFill>
                </w14:textFill>
              </w:rPr>
              <w:br w:type="textWrapping"/>
            </w:r>
            <w:r>
              <w:rPr>
                <w:rFonts w:hint="eastAsia" w:ascii="仿宋_GB2312" w:hAnsi="仿宋_GB2312" w:eastAsia="仿宋_GB2312" w:cs="仿宋_GB2312"/>
                <w:color w:val="000000" w:themeColor="text1"/>
                <w:sz w:val="24"/>
                <w:szCs w:val="24"/>
                <w14:textFill>
                  <w14:solidFill>
                    <w14:schemeClr w14:val="tx1"/>
                  </w14:solidFill>
                </w14:textFill>
              </w:rPr>
              <w:t>截至12月</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20</w:t>
            </w:r>
            <w:r>
              <w:rPr>
                <w:rFonts w:hint="eastAsia" w:ascii="仿宋_GB2312" w:hAnsi="仿宋_GB2312" w:eastAsia="仿宋_GB2312" w:cs="仿宋_GB2312"/>
                <w:color w:val="000000" w:themeColor="text1"/>
                <w:sz w:val="24"/>
                <w:szCs w:val="24"/>
                <w14:textFill>
                  <w14:solidFill>
                    <w14:schemeClr w14:val="tx1"/>
                  </w14:solidFill>
                </w14:textFill>
              </w:rPr>
              <w:t>日，共出动358人次进行现场排查，检查工程631项次，发现隐患505处，下发《安全生产检查责令整改通知书》13份，截至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12月23日，</w:t>
            </w:r>
            <w:r>
              <w:rPr>
                <w:rFonts w:hint="eastAsia" w:ascii="仿宋_GB2312" w:hAnsi="仿宋_GB2312" w:eastAsia="仿宋_GB2312" w:cs="仿宋_GB2312"/>
                <w:color w:val="000000" w:themeColor="text1"/>
                <w:sz w:val="24"/>
                <w:szCs w:val="24"/>
                <w14:textFill>
                  <w14:solidFill>
                    <w14:schemeClr w14:val="tx1"/>
                  </w14:solidFill>
                </w14:textFill>
              </w:rPr>
              <w:t>已完成整改450处，闭环率达89%。</w:t>
            </w:r>
          </w:p>
        </w:tc>
        <w:tc>
          <w:tcPr>
            <w:tcW w:w="1937" w:type="dxa"/>
            <w:vAlign w:val="center"/>
          </w:tcPr>
          <w:p>
            <w:pPr>
              <w:spacing w:line="300" w:lineRule="exact"/>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是</w:t>
            </w:r>
          </w:p>
        </w:tc>
        <w:tc>
          <w:tcPr>
            <w:tcW w:w="2743" w:type="dxa"/>
            <w:vAlign w:val="center"/>
          </w:tcPr>
          <w:p>
            <w:pPr>
              <w:spacing w:line="300" w:lineRule="exact"/>
              <w:jc w:val="both"/>
              <w:rPr>
                <w:vertAlign w:val="baseline"/>
              </w:rPr>
            </w:pPr>
            <w:r>
              <w:rPr>
                <w:rFonts w:hint="eastAsia" w:ascii="仿宋_GB2312" w:hAnsi="仿宋_GB2312" w:eastAsia="仿宋_GB2312" w:cs="仿宋_GB2312"/>
                <w:color w:val="auto"/>
                <w:sz w:val="24"/>
              </w:rPr>
              <w:t>住房和建设局、观湖街道、</w:t>
            </w:r>
            <w:r>
              <w:rPr>
                <w:rFonts w:hint="eastAsia" w:ascii="仿宋_GB2312" w:hAnsi="仿宋_GB2312" w:eastAsia="仿宋_GB2312" w:cs="仿宋_GB2312"/>
                <w:color w:val="FF0000"/>
                <w:sz w:val="24"/>
              </w:rPr>
              <w:t>民治街道（城市建设办）</w:t>
            </w:r>
            <w:r>
              <w:rPr>
                <w:rFonts w:hint="eastAsia" w:ascii="仿宋_GB2312" w:hAnsi="仿宋_GB2312" w:eastAsia="仿宋_GB2312" w:cs="仿宋_GB2312"/>
                <w:color w:val="auto"/>
                <w:sz w:val="24"/>
              </w:rPr>
              <w:t>、龙华街道、大浪街道、福城街道、观澜街道</w:t>
            </w:r>
          </w:p>
        </w:tc>
      </w:tr>
    </w:tbl>
    <w:p>
      <w:pPr>
        <w:pStyle w:val="5"/>
        <w:ind w:left="0" w:leftChars="0" w:firstLine="0" w:firstLineChars="0"/>
      </w:pPr>
    </w:p>
    <w:sectPr>
      <w:pgSz w:w="23811" w:h="16838" w:orient="landscape"/>
      <w:pgMar w:top="1701" w:right="1440" w:bottom="1701"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1D35F4"/>
    <w:rsid w:val="0AF94B45"/>
    <w:rsid w:val="0EF85F4B"/>
    <w:rsid w:val="1AD770B2"/>
    <w:rsid w:val="21DA5C7B"/>
    <w:rsid w:val="2C985CB0"/>
    <w:rsid w:val="2DA22821"/>
    <w:rsid w:val="2DB00114"/>
    <w:rsid w:val="30CE2829"/>
    <w:rsid w:val="3538599A"/>
    <w:rsid w:val="353C210E"/>
    <w:rsid w:val="38C96B68"/>
    <w:rsid w:val="39E36F52"/>
    <w:rsid w:val="455C7144"/>
    <w:rsid w:val="48657DA1"/>
    <w:rsid w:val="487A39AB"/>
    <w:rsid w:val="4901622A"/>
    <w:rsid w:val="4B381EAD"/>
    <w:rsid w:val="4D0011ED"/>
    <w:rsid w:val="534D607F"/>
    <w:rsid w:val="5A5979B2"/>
    <w:rsid w:val="5BAF517E"/>
    <w:rsid w:val="5CD71310"/>
    <w:rsid w:val="5D4D1500"/>
    <w:rsid w:val="621D1124"/>
    <w:rsid w:val="63FE71F0"/>
    <w:rsid w:val="64F027BE"/>
    <w:rsid w:val="663610D6"/>
    <w:rsid w:val="671D35F4"/>
    <w:rsid w:val="6732132B"/>
    <w:rsid w:val="68645C07"/>
    <w:rsid w:val="6B0929BD"/>
    <w:rsid w:val="6FA0148F"/>
    <w:rsid w:val="70A548BD"/>
    <w:rsid w:val="71182C0F"/>
    <w:rsid w:val="729C4C88"/>
    <w:rsid w:val="7825077E"/>
    <w:rsid w:val="78C014F9"/>
    <w:rsid w:val="7F120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4">
    <w:name w:val="Plain Text"/>
    <w:basedOn w:val="1"/>
    <w:qFormat/>
    <w:uiPriority w:val="0"/>
    <w:rPr>
      <w:rFonts w:ascii="宋体" w:hAnsi="Courier New" w:cs="Courier New"/>
      <w:szCs w:val="21"/>
    </w:rPr>
  </w:style>
  <w:style w:type="paragraph" w:styleId="5">
    <w:name w:val="Body Text First Indent"/>
    <w:basedOn w:val="2"/>
    <w:qFormat/>
    <w:uiPriority w:val="0"/>
    <w:pPr>
      <w:ind w:firstLine="420" w:firstLineChars="100"/>
    </w:pPr>
    <w:rPr>
      <w:sz w:val="20"/>
      <w:szCs w:val="2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2021-06-29T01:19:00Z</dcterms:created>
  <dc:creator>大浪组织部</dc:creator>
  <cp:lastModifiedBy>民治街道督查室</cp:lastModifiedBy>
  <dcterms:modified xsi:type="dcterms:W3CDTF">2021-12-24T01:45:59Z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