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深圳市龙华区龙华街道幸福社区健康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服务中心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深圳市龙华区龙华街道幸福社区健康服务中心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uto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MJL19386-644030917B1001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深圳市龙华区龙华街道幸福社区健康服务中心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深圳市龙华区龙华街道三联社区新弓村21-1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练洋佳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预防保健科/全科医疗科/内科/外科/妇产科;妇科专业/妇女保健科/儿科/儿童保健科/口腔科/医学检验科/医学影像科;X线诊断专业;超声诊断专业;心电诊断专业/中医科******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  <w:t>预防保健科/全科医疗科/内科/外科/妇产科;妇科专业/妇女保健科/儿科/儿童保健科/眼科/口腔科/医学检验科;临床体液、血液专业;临床微生物学专业;临床化学检验专业;临床免疫、血清学专业/医学影像科;X线诊断专业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340" w:right="1440" w:bottom="84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16E9D"/>
    <w:rsid w:val="22B1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2021-09-02T09:52:00Z</dcterms:created>
  <dc:creator> 付晓强</dc:creator>
  <cp:lastModifiedBy> 付晓强</cp:lastModifiedBy>
  <dcterms:modified xsi:type="dcterms:W3CDTF">2021-09-02T09:53:04Z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