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附件1</w:t>
      </w:r>
    </w:p>
    <w:p>
      <w:pPr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bookmarkStart w:id="0" w:name="_GoBack"/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深圳杨珺口腔诊所变更登记核定项目一览表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947"/>
        <w:gridCol w:w="5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深圳杨珺口腔诊所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67669533-244030917D2152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深圳杨珺口腔诊所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深圳市龙华区民治街道大岭社区幸福枫景1栋007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深圳市龙华区民治街道大岭社区幸福枫景2栋B座030A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杨珺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口腔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口腔科******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口腔科(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</w:t>
            </w:r>
            <w:r>
              <w:rPr>
                <w:rFonts w:hint="eastAsia" w:ascii="仿宋_GB2312" w:eastAsia="仿宋_GB2312"/>
                <w:sz w:val="30"/>
                <w:szCs w:val="30"/>
              </w:rPr>
              <w:t>含口腔种植专业)******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7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A1D46"/>
    <w:rsid w:val="44AA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2021-01-13T08:25:00Z</dcterms:created>
  <dc:creator> 孙世和</dc:creator>
  <cp:lastModifiedBy> 孙世和</cp:lastModifiedBy>
  <dcterms:modified xsi:type="dcterms:W3CDTF">2021-01-13T08:25:57Z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