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宋体"/>
          <w:sz w:val="32"/>
          <w:szCs w:val="28"/>
        </w:rPr>
      </w:pPr>
      <w:r>
        <w:rPr>
          <w:rFonts w:hint="eastAsia" w:ascii="黑体" w:hAnsi="宋体" w:eastAsia="黑体" w:cs="宋体"/>
          <w:sz w:val="32"/>
          <w:szCs w:val="28"/>
        </w:rPr>
        <w:t>附件：</w:t>
      </w:r>
    </w:p>
    <w:p>
      <w:pPr>
        <w:pStyle w:val="3"/>
        <w:shd w:val="clear" w:color="auto" w:fill="FFFFFF"/>
        <w:spacing w:before="0" w:beforeAutospacing="0" w:after="0" w:afterAutospacing="0" w:line="600" w:lineRule="exact"/>
        <w:jc w:val="center"/>
        <w:rPr>
          <w:rFonts w:hint="eastAsia" w:ascii="方正小标宋简体" w:eastAsia="方正小标宋简体"/>
          <w:sz w:val="32"/>
          <w:szCs w:val="40"/>
          <w:lang w:eastAsia="zh-CN"/>
        </w:rPr>
      </w:pPr>
      <w:r>
        <w:rPr>
          <w:rFonts w:hint="eastAsia" w:ascii="方正小标宋简体" w:eastAsia="方正小标宋简体"/>
          <w:sz w:val="32"/>
          <w:szCs w:val="40"/>
        </w:rPr>
        <w:t>龙华区卫生监督所20</w:t>
      </w:r>
      <w:r>
        <w:rPr>
          <w:rFonts w:hint="eastAsia" w:ascii="方正小标宋简体" w:eastAsia="方正小标宋简体"/>
          <w:sz w:val="32"/>
          <w:szCs w:val="40"/>
          <w:lang w:val="en-US" w:eastAsia="zh-CN"/>
        </w:rPr>
        <w:t>20</w:t>
      </w:r>
      <w:r>
        <w:rPr>
          <w:rFonts w:hint="eastAsia" w:ascii="方正小标宋简体" w:eastAsia="方正小标宋简体"/>
          <w:sz w:val="32"/>
          <w:szCs w:val="40"/>
        </w:rPr>
        <w:t>年</w:t>
      </w:r>
      <w:r>
        <w:rPr>
          <w:rFonts w:hint="eastAsia" w:ascii="方正小标宋简体" w:eastAsia="方正小标宋简体"/>
          <w:sz w:val="32"/>
          <w:szCs w:val="40"/>
          <w:lang w:val="en-US" w:eastAsia="zh-CN"/>
        </w:rPr>
        <w:t>9</w:t>
      </w:r>
      <w:r>
        <w:rPr>
          <w:rFonts w:hint="eastAsia" w:ascii="方正小标宋简体" w:eastAsia="方正小标宋简体"/>
          <w:sz w:val="32"/>
          <w:szCs w:val="40"/>
        </w:rPr>
        <w:t>月份行政处罚事项信息公示</w:t>
      </w:r>
      <w:r>
        <w:rPr>
          <w:rFonts w:hint="eastAsia" w:ascii="方正小标宋简体" w:eastAsia="方正小标宋简体"/>
          <w:sz w:val="32"/>
          <w:szCs w:val="40"/>
          <w:lang w:eastAsia="zh-CN"/>
        </w:rPr>
        <w:t>（一）</w:t>
      </w:r>
    </w:p>
    <w:tbl>
      <w:tblPr>
        <w:tblStyle w:val="5"/>
        <w:tblW w:w="1480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14"/>
        <w:gridCol w:w="836"/>
        <w:gridCol w:w="2743"/>
        <w:gridCol w:w="1200"/>
        <w:gridCol w:w="3197"/>
        <w:gridCol w:w="1943"/>
        <w:gridCol w:w="925"/>
        <w:gridCol w:w="880"/>
        <w:gridCol w:w="823"/>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序号</w:t>
            </w:r>
          </w:p>
        </w:tc>
        <w:tc>
          <w:tcPr>
            <w:tcW w:w="1414"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行政相对人名称</w:t>
            </w:r>
          </w:p>
        </w:tc>
        <w:tc>
          <w:tcPr>
            <w:tcW w:w="836"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身份代码</w:t>
            </w:r>
          </w:p>
        </w:tc>
        <w:tc>
          <w:tcPr>
            <w:tcW w:w="2743"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案件名称</w:t>
            </w:r>
          </w:p>
        </w:tc>
        <w:tc>
          <w:tcPr>
            <w:tcW w:w="1200"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决定文书编号</w:t>
            </w:r>
          </w:p>
        </w:tc>
        <w:tc>
          <w:tcPr>
            <w:tcW w:w="3197"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处罚事由</w:t>
            </w:r>
          </w:p>
        </w:tc>
        <w:tc>
          <w:tcPr>
            <w:tcW w:w="1943"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处罚依据</w:t>
            </w:r>
          </w:p>
        </w:tc>
        <w:tc>
          <w:tcPr>
            <w:tcW w:w="925"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处罚</w:t>
            </w:r>
          </w:p>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结果</w:t>
            </w:r>
          </w:p>
        </w:tc>
        <w:tc>
          <w:tcPr>
            <w:tcW w:w="880"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处罚</w:t>
            </w:r>
          </w:p>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时间</w:t>
            </w:r>
          </w:p>
        </w:tc>
        <w:tc>
          <w:tcPr>
            <w:tcW w:w="823"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处罚部门</w:t>
            </w:r>
          </w:p>
        </w:tc>
        <w:tc>
          <w:tcPr>
            <w:tcW w:w="439" w:type="dxa"/>
          </w:tcPr>
          <w:p>
            <w:pPr>
              <w:spacing w:line="560" w:lineRule="exact"/>
              <w:rPr>
                <w:rFonts w:ascii="仿宋_GB2312" w:hAnsi="Calibri" w:eastAsia="仿宋_GB2312"/>
                <w:b/>
                <w:bCs/>
                <w:sz w:val="28"/>
                <w:szCs w:val="28"/>
              </w:rPr>
            </w:pPr>
            <w:r>
              <w:rPr>
                <w:rFonts w:hint="eastAsia" w:ascii="仿宋_GB2312" w:hAnsi="Calibri"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1</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深圳市金光亮投资发展有限公司</w:t>
            </w:r>
          </w:p>
        </w:tc>
        <w:tc>
          <w:tcPr>
            <w:tcW w:w="83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91440300594320852J</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深圳市金光亮投资发展有限公司安排未获得有效健康合格证明的从业人员从事直接为顾客服务工作案</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深龙华卫公罚[2020]11-20号</w:t>
            </w:r>
          </w:p>
        </w:tc>
        <w:tc>
          <w:tcPr>
            <w:tcW w:w="319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该经营场所于2019年10月10日至2020年07月14日在深圳市龙华区观湖街道樟坑径社区五和大道318号318-7安排未获得有效健康合格证明的刘某直接为顾客服务</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《公共场所卫生管理条例》第十四条第一款第（二）项</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警告，并处以500元人民币罚款</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2020.09.01</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深圳市龙华区卫生健康局</w:t>
            </w:r>
          </w:p>
        </w:tc>
        <w:tc>
          <w:tcPr>
            <w:tcW w:w="439" w:type="dxa"/>
          </w:tcPr>
          <w:p>
            <w:pPr>
              <w:spacing w:line="56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深圳市鸿荣源物业管理有限公司壹成中心花园九区物业服务中心游泳池</w:t>
            </w:r>
          </w:p>
        </w:tc>
        <w:tc>
          <w:tcPr>
            <w:tcW w:w="83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91440300MA5EY5HU1G</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深圳市鸿荣源物业管理有限公司壹成中心花园九区物业服务中心游泳池水质检测不合格仍营业案</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202011006963-01</w:t>
            </w:r>
          </w:p>
        </w:tc>
        <w:tc>
          <w:tcPr>
            <w:tcW w:w="319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该经营场所于2020年08月18日至2020年08月31日得知卫生学评价报告不符合国家卫生标准仍继续营业</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《公共场所卫生管理条例》第十四条第一款第（一）项</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警告</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2020.08.31</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深圳市龙华区卫生健康局</w:t>
            </w:r>
          </w:p>
        </w:tc>
        <w:tc>
          <w:tcPr>
            <w:tcW w:w="439" w:type="dxa"/>
          </w:tcPr>
          <w:p>
            <w:pPr>
              <w:spacing w:line="56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0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3</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深圳市龙华区瑞睫美美妆商行</w:t>
            </w:r>
          </w:p>
        </w:tc>
        <w:tc>
          <w:tcPr>
            <w:tcW w:w="83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92440300MA5F4CWQ0H</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深圳市龙华区瑞睫美美妆商行未按照规定对公共场所的空气、微小气候、水质、采光照明、噪声、顾客用品用具等进行卫生检测案</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202011006972-01</w:t>
            </w:r>
          </w:p>
        </w:tc>
        <w:tc>
          <w:tcPr>
            <w:tcW w:w="319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该经营场所于2019年06月22日至2020年09月03日期间未按照规定对公共场所的空气、微小气候、水质、采光、照明、噪声、顾客用品用具等进行卫生检测</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《公共场所卫生管理条例实施细则》第三十六条第（一）项</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警告</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2020.09.02</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深圳市龙华区卫生健康局</w:t>
            </w:r>
          </w:p>
        </w:tc>
        <w:tc>
          <w:tcPr>
            <w:tcW w:w="439" w:type="dxa"/>
          </w:tcPr>
          <w:p>
            <w:pPr>
              <w:spacing w:line="56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40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4</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 xml:space="preserve">深圳市龙华区观澜剪之美理发店 </w:t>
            </w:r>
          </w:p>
        </w:tc>
        <w:tc>
          <w:tcPr>
            <w:tcW w:w="83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92440300L39179418N</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深圳市龙华区观澜剪之美理发店于2020年9月2日得知公共场所卫生质量不符合卫生标准和要求而继续营业案</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202011006970-1</w:t>
            </w:r>
          </w:p>
        </w:tc>
        <w:tc>
          <w:tcPr>
            <w:tcW w:w="319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于2020年9月2日得知公共场所卫生质量不符合卫生标准和要求而继续营业</w:t>
            </w:r>
          </w:p>
        </w:tc>
        <w:tc>
          <w:tcPr>
            <w:tcW w:w="194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《公共场所卫生管理条例》第十四条第一款第（一）项</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警告</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2020.09.02</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深圳市龙华区卫生健康局</w:t>
            </w:r>
          </w:p>
        </w:tc>
        <w:tc>
          <w:tcPr>
            <w:tcW w:w="439" w:type="dxa"/>
          </w:tcPr>
          <w:p>
            <w:pPr>
              <w:spacing w:line="560" w:lineRule="exact"/>
              <w:rPr>
                <w:rFonts w:ascii="仿宋_GB2312" w:hAnsi="Calibri" w:eastAsia="仿宋_GB2312"/>
                <w:sz w:val="28"/>
                <w:szCs w:val="28"/>
              </w:rPr>
            </w:pPr>
          </w:p>
        </w:tc>
      </w:tr>
    </w:tbl>
    <w:p>
      <w:pPr>
        <w:rPr>
          <w:rFonts w:ascii="黑体" w:hAnsi="黑体" w:eastAsia="黑体"/>
          <w:sz w:val="32"/>
          <w:szCs w:val="32"/>
        </w:rPr>
      </w:pPr>
      <w:r>
        <w:rPr>
          <w:rFonts w:hint="eastAsia" w:ascii="仿宋_GB2312" w:hAnsi="Calibri" w:eastAsia="仿宋_GB2312"/>
          <w:sz w:val="28"/>
          <w:szCs w:val="28"/>
        </w:rPr>
        <w:t>注：身份代码指的是身份证号码（个人）、统一社会信用代码（机构）。身份证号码（个人）统一保留前8位+后4位。</w:t>
      </w:r>
    </w:p>
    <w:p>
      <w:bookmarkStart w:id="0" w:name="_GoBack"/>
      <w:bookmarkEnd w:id="0"/>
    </w:p>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422489"/>
    </w:sdtPr>
    <w:sdtEndPr>
      <w:rPr>
        <w:rFonts w:hint="eastAsia" w:ascii="仿宋_GB2312" w:eastAsia="仿宋_GB2312"/>
        <w:sz w:val="32"/>
        <w:szCs w:val="32"/>
      </w:rPr>
    </w:sdtEndPr>
    <w:sdtContent>
      <w:p>
        <w:pPr>
          <w:pStyle w:val="2"/>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207282"/>
    </w:sdtPr>
    <w:sdtEndPr>
      <w:rPr>
        <w:rFonts w:hint="eastAsia" w:ascii="仿宋_GB2312" w:eastAsia="仿宋_GB2312"/>
        <w:sz w:val="32"/>
        <w:szCs w:val="32"/>
      </w:rPr>
    </w:sdtEndPr>
    <w:sdtContent>
      <w:p>
        <w:pPr>
          <w:pStyle w:val="2"/>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9A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2020-09-10T08:07:26Z</dcterms:created>
  <dc:creator>Administrator</dc:creator>
  <cp:lastModifiedBy>Norman jie</cp:lastModifiedBy>
  <dcterms:modified xsi:type="dcterms:W3CDTF">2020-09-10T08:07:33Z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