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rPr>
          <w:rFonts w:ascii="华文中宋" w:hAnsi="华文中宋" w:eastAsia="华文中宋"/>
          <w:b/>
          <w:sz w:val="44"/>
          <w:szCs w:val="44"/>
        </w:rPr>
      </w:pPr>
      <w:bookmarkStart w:id="0" w:name="RiseOffice_body"/>
      <w:r>
        <w:rPr>
          <w:rFonts w:hint="eastAsia" w:ascii="华文中宋" w:hAnsi="华文中宋" w:eastAsia="华文中宋"/>
          <w:b/>
          <w:sz w:val="44"/>
          <w:szCs w:val="44"/>
        </w:rPr>
        <w:t>龙华区实施知识产权、品牌、</w:t>
      </w:r>
    </w:p>
    <w:p>
      <w:pPr>
        <w:adjustRightInd w:val="0"/>
        <w:snapToGrid w:val="0"/>
        <w:spacing w:line="550" w:lineRule="exact"/>
        <w:jc w:val="center"/>
        <w:rPr>
          <w:rFonts w:ascii="华文中宋" w:hAnsi="华文中宋" w:eastAsia="华文中宋"/>
          <w:b/>
          <w:sz w:val="44"/>
          <w:szCs w:val="44"/>
        </w:rPr>
      </w:pPr>
      <w:r>
        <w:rPr>
          <w:rFonts w:hint="eastAsia" w:ascii="华文中宋" w:hAnsi="华文中宋" w:eastAsia="华文中宋"/>
          <w:b/>
          <w:sz w:val="44"/>
          <w:szCs w:val="44"/>
        </w:rPr>
        <w:t>标准化战略的若干措施</w:t>
      </w:r>
      <w:r>
        <w:rPr>
          <w:rFonts w:hint="eastAsia" w:ascii="华文中宋" w:hAnsi="华文中宋" w:eastAsia="华文中宋"/>
          <w:b/>
          <w:sz w:val="44"/>
          <w:szCs w:val="44"/>
          <w:lang w:eastAsia="zh-CN"/>
        </w:rPr>
        <w:t>（送审稿）</w:t>
      </w:r>
    </w:p>
    <w:p>
      <w:pPr>
        <w:adjustRightInd w:val="0"/>
        <w:snapToGrid w:val="0"/>
        <w:spacing w:line="550" w:lineRule="exact"/>
        <w:jc w:val="center"/>
        <w:rPr>
          <w:rFonts w:ascii="华文中宋" w:hAnsi="华文中宋" w:eastAsia="华文中宋"/>
          <w:b/>
          <w:sz w:val="44"/>
          <w:szCs w:val="44"/>
        </w:rPr>
      </w:pPr>
    </w:p>
    <w:p>
      <w:pPr>
        <w:adjustRightInd w:val="0"/>
        <w:snapToGrid w:val="0"/>
        <w:spacing w:line="560" w:lineRule="exact"/>
        <w:jc w:val="center"/>
        <w:rPr>
          <w:rFonts w:hint="eastAsia" w:ascii="仿宋_GB2312" w:eastAsia="仿宋_GB2312"/>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第一章</w:t>
      </w:r>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bCs/>
          <w:color w:val="000000" w:themeColor="text1"/>
          <w:sz w:val="32"/>
          <w:szCs w:val="32"/>
          <w14:textFill>
            <w14:solidFill>
              <w14:schemeClr w14:val="tx1"/>
            </w14:solidFill>
          </w14:textFill>
        </w:rPr>
        <w:t>总则</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楷体_GB2312" w:hAnsi="楷体" w:eastAsia="楷体_GB2312"/>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rPr>
        <w:t>深圳市《关于支持企业提升竞争力的若干措施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《深圳市人民政府关于打造深圳标准构建质量发展新优势的指导意见》和</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龙华区区级财政专项资金管理办法</w:t>
      </w:r>
      <w:r>
        <w:rPr>
          <w:rFonts w:hint="eastAsia" w:ascii="仿宋_GB2312" w:hAnsi="仿宋_GB2312" w:eastAsia="仿宋_GB2312" w:cs="仿宋_GB2312"/>
          <w:sz w:val="32"/>
          <w:lang w:val="en-US" w:eastAsia="zh-CN"/>
        </w:rPr>
        <w:t>》文件精神，</w:t>
      </w:r>
      <w:r>
        <w:rPr>
          <w:rFonts w:hint="eastAsia" w:ascii="仿宋_GB2312" w:hAnsi="仿宋_GB2312" w:eastAsia="仿宋_GB2312" w:cs="仿宋_GB2312"/>
          <w:sz w:val="32"/>
          <w:szCs w:val="32"/>
        </w:rPr>
        <w:t>深入推进供给侧结构性改革，更好地适应和引领经济新常态，切实促进科技创新，提升龙华区企业竞争力，特制定本措施。</w:t>
      </w:r>
    </w:p>
    <w:p>
      <w:pPr>
        <w:adjustRightInd w:val="0"/>
        <w:snapToGrid w:val="0"/>
        <w:spacing w:line="560" w:lineRule="exact"/>
        <w:ind w:firstLine="647"/>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二</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资助</w:t>
      </w:r>
      <w:r>
        <w:rPr>
          <w:rFonts w:hint="eastAsia" w:ascii="仿宋_GB2312" w:eastAsia="仿宋_GB2312"/>
          <w:color w:val="000000" w:themeColor="text1"/>
          <w:sz w:val="32"/>
          <w:szCs w:val="32"/>
          <w14:textFill>
            <w14:solidFill>
              <w14:schemeClr w14:val="tx1"/>
            </w14:solidFill>
          </w14:textFill>
        </w:rPr>
        <w:t>资金的使用和管理坚持“公开、公平、公正”的原则，实行“自愿申报、专家评审、社会公示”的管理模式。</w:t>
      </w:r>
    </w:p>
    <w:p>
      <w:pPr>
        <w:adjustRightInd w:val="0"/>
        <w:snapToGrid w:val="0"/>
        <w:spacing w:line="560" w:lineRule="exact"/>
        <w:ind w:firstLine="647"/>
        <w:rPr>
          <w:rFonts w:hint="eastAsia" w:ascii="仿宋_GB2312" w:eastAsia="仿宋_GB2312"/>
          <w:color w:val="000000" w:themeColor="text1"/>
          <w:sz w:val="32"/>
          <w:szCs w:val="32"/>
          <w:lang w:val="en-US" w:eastAsia="zh-CN"/>
          <w14:textFill>
            <w14:solidFill>
              <w14:schemeClr w14:val="tx1"/>
            </w14:solidFill>
          </w14:textFill>
        </w:rPr>
      </w:pPr>
    </w:p>
    <w:p>
      <w:pPr>
        <w:spacing w:beforeLines="0" w:afterLines="0"/>
        <w:jc w:val="center"/>
        <w:rPr>
          <w:rFonts w:hint="eastAsia" w:ascii="黑体" w:hAnsi="黑体" w:eastAsia="黑体" w:cs="黑体"/>
          <w:b/>
          <w:bCs/>
          <w:sz w:val="32"/>
          <w:szCs w:val="32"/>
        </w:rPr>
      </w:pPr>
      <w:r>
        <w:rPr>
          <w:rFonts w:hint="eastAsia" w:ascii="黑体" w:hAnsi="黑体" w:eastAsia="黑体" w:cs="黑体"/>
          <w:b/>
          <w:bCs/>
          <w:sz w:val="32"/>
          <w:szCs w:val="32"/>
        </w:rPr>
        <w:t>第二章 管理职责及分工</w:t>
      </w:r>
    </w:p>
    <w:p>
      <w:pPr>
        <w:shd w:val="clear" w:color="auto" w:fill="FFFFFF"/>
        <w:adjustRightInd w:val="0"/>
        <w:snapToGrid w:val="0"/>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三</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sz w:val="32"/>
          <w:szCs w:val="32"/>
        </w:rPr>
        <w:t xml:space="preserve"> </w:t>
      </w:r>
      <w:r>
        <w:rPr>
          <w:rFonts w:hint="eastAsia" w:ascii="仿宋_GB2312" w:eastAsia="仿宋_GB2312"/>
          <w:color w:val="000000" w:themeColor="text1"/>
          <w:sz w:val="32"/>
          <w:szCs w:val="32"/>
          <w:lang w:eastAsia="zh-CN"/>
          <w14:textFill>
            <w14:solidFill>
              <w14:schemeClr w14:val="tx1"/>
            </w14:solidFill>
          </w14:textFill>
        </w:rPr>
        <w:t>深圳市市场监督管理局龙华监管局</w:t>
      </w:r>
      <w:r>
        <w:rPr>
          <w:rFonts w:ascii="仿宋_GB2312" w:eastAsia="仿宋_GB2312"/>
          <w:color w:val="000000" w:themeColor="text1"/>
          <w:sz w:val="32"/>
          <w:szCs w:val="32"/>
          <w14:textFill>
            <w14:solidFill>
              <w14:schemeClr w14:val="tx1"/>
            </w14:solidFill>
          </w14:textFill>
        </w:rPr>
        <w:t>是</w:t>
      </w:r>
      <w:r>
        <w:rPr>
          <w:rFonts w:hint="eastAsia" w:ascii="仿宋_GB2312" w:eastAsia="仿宋_GB2312"/>
          <w:color w:val="000000" w:themeColor="text1"/>
          <w:sz w:val="32"/>
          <w:szCs w:val="32"/>
          <w14:textFill>
            <w14:solidFill>
              <w14:schemeClr w14:val="tx1"/>
            </w14:solidFill>
          </w14:textFill>
        </w:rPr>
        <w:t>实施知识产权、品牌、标准化战略</w:t>
      </w:r>
      <w:r>
        <w:rPr>
          <w:rFonts w:ascii="仿宋_GB2312" w:eastAsia="仿宋_GB2312"/>
          <w:color w:val="000000" w:themeColor="text1"/>
          <w:sz w:val="32"/>
          <w:szCs w:val="32"/>
          <w14:textFill>
            <w14:solidFill>
              <w14:schemeClr w14:val="tx1"/>
            </w14:solidFill>
          </w14:textFill>
        </w:rPr>
        <w:t>的主管部门，其职责如下：</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（一）向区专项资金管理领导小组提出年度专项资金预算；</w:t>
      </w:r>
    </w:p>
    <w:p>
      <w:pPr>
        <w:shd w:val="clear" w:color="auto" w:fill="FFFFFF"/>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（二）受理单位和个人奖励资助申请，并组织考察、评审、审核，</w:t>
      </w:r>
      <w:r>
        <w:rPr>
          <w:rFonts w:ascii="仿宋_GB2312" w:eastAsia="仿宋_GB2312"/>
          <w:color w:val="000000" w:themeColor="text1"/>
          <w:sz w:val="32"/>
          <w:szCs w:val="32"/>
          <w14:textFill>
            <w14:solidFill>
              <w14:schemeClr w14:val="tx1"/>
            </w14:solidFill>
          </w14:textFill>
        </w:rPr>
        <w:t>负责建立</w:t>
      </w:r>
      <w:r>
        <w:rPr>
          <w:rFonts w:hint="eastAsia" w:ascii="仿宋_GB2312" w:eastAsia="仿宋_GB2312"/>
          <w:color w:val="000000" w:themeColor="text1"/>
          <w:sz w:val="32"/>
          <w:szCs w:val="32"/>
          <w14:textFill>
            <w14:solidFill>
              <w14:schemeClr w14:val="tx1"/>
            </w14:solidFill>
          </w14:textFill>
        </w:rPr>
        <w:t>奖励</w:t>
      </w:r>
      <w:r>
        <w:rPr>
          <w:rFonts w:ascii="仿宋_GB2312" w:eastAsia="仿宋_GB2312"/>
          <w:color w:val="000000" w:themeColor="text1"/>
          <w:sz w:val="32"/>
          <w:szCs w:val="32"/>
          <w14:textFill>
            <w14:solidFill>
              <w14:schemeClr w14:val="tx1"/>
            </w14:solidFill>
          </w14:textFill>
        </w:rPr>
        <w:t>资助项目的档案并进行管理</w:t>
      </w:r>
      <w:r>
        <w:rPr>
          <w:rFonts w:hint="eastAsia" w:ascii="仿宋_GB2312" w:eastAsia="仿宋_GB2312"/>
          <w:color w:val="000000" w:themeColor="text1"/>
          <w:sz w:val="32"/>
          <w:szCs w:val="32"/>
          <w:lang w:eastAsia="zh-CN"/>
          <w14:textFill>
            <w14:solidFill>
              <w14:schemeClr w14:val="tx1"/>
            </w14:solidFill>
          </w14:textFill>
        </w:rPr>
        <w:t>；</w:t>
      </w:r>
    </w:p>
    <w:p>
      <w:pPr>
        <w:shd w:val="clear" w:color="auto" w:fill="FFFFFF"/>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三</w:t>
      </w:r>
      <w:r>
        <w:rPr>
          <w:rFonts w:ascii="仿宋_GB2312" w:eastAsia="仿宋_GB2312"/>
          <w:color w:val="000000" w:themeColor="text1"/>
          <w:sz w:val="32"/>
          <w:szCs w:val="32"/>
          <w14:textFill>
            <w14:solidFill>
              <w14:schemeClr w14:val="tx1"/>
            </w14:solidFill>
          </w14:textFill>
        </w:rPr>
        <w:t>）负责对</w:t>
      </w:r>
      <w:r>
        <w:rPr>
          <w:rFonts w:hint="eastAsia" w:ascii="仿宋_GB2312" w:eastAsia="仿宋_GB2312"/>
          <w:color w:val="000000" w:themeColor="text1"/>
          <w:sz w:val="32"/>
          <w:szCs w:val="32"/>
          <w14:textFill>
            <w14:solidFill>
              <w14:schemeClr w14:val="tx1"/>
            </w14:solidFill>
          </w14:textFill>
        </w:rPr>
        <w:t>奖励</w:t>
      </w:r>
      <w:r>
        <w:rPr>
          <w:rFonts w:ascii="仿宋_GB2312" w:eastAsia="仿宋_GB2312"/>
          <w:color w:val="000000" w:themeColor="text1"/>
          <w:sz w:val="32"/>
          <w:szCs w:val="32"/>
          <w14:textFill>
            <w14:solidFill>
              <w14:schemeClr w14:val="tx1"/>
            </w14:solidFill>
          </w14:textFill>
        </w:rPr>
        <w:t>资助项目进行绩效评价。</w:t>
      </w:r>
    </w:p>
    <w:p>
      <w:pPr>
        <w:spacing w:beforeLines="0" w:afterLines="0"/>
        <w:ind w:firstLine="640" w:firstLineChars="200"/>
        <w:jc w:val="left"/>
        <w:rPr>
          <w:rFonts w:hint="eastAsia" w:ascii="仿宋_GB2312" w:eastAsia="仿宋_GB2312"/>
          <w:sz w:val="32"/>
          <w:szCs w:val="32"/>
        </w:rPr>
      </w:pPr>
    </w:p>
    <w:p>
      <w:pPr>
        <w:spacing w:beforeLines="0" w:afterLines="0"/>
        <w:ind w:firstLine="640" w:firstLineChars="200"/>
        <w:jc w:val="left"/>
        <w:rPr>
          <w:rFonts w:hint="eastAsia"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四</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sz w:val="32"/>
          <w:szCs w:val="32"/>
        </w:rPr>
        <w:t xml:space="preserve"> </w:t>
      </w:r>
      <w:r>
        <w:rPr>
          <w:rFonts w:hint="eastAsia" w:ascii="仿宋_GB2312" w:eastAsia="仿宋_GB2312"/>
          <w:sz w:val="32"/>
          <w:szCs w:val="32"/>
          <w:lang w:eastAsia="zh-CN"/>
        </w:rPr>
        <w:t>区</w:t>
      </w:r>
      <w:r>
        <w:rPr>
          <w:rFonts w:hint="eastAsia" w:ascii="仿宋_GB2312" w:eastAsia="仿宋_GB2312"/>
          <w:sz w:val="32"/>
          <w:szCs w:val="32"/>
        </w:rPr>
        <w:t>财政部门是专项资金的管理部门，职责如下：</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（一）负责会同相关资金主管部门编制专项资金年度总预算，按程序报批后批复下达；</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（二）负责按国库集中支付规定办理资金拨付；</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（三）负责监督检查专项资金管理和使用情况，监督指导资金主管部门开展专项资金使用绩效评价工作，并视情况开展再评价或重点评价。</w:t>
      </w:r>
    </w:p>
    <w:p>
      <w:pPr>
        <w:adjustRightInd w:val="0"/>
        <w:snapToGrid w:val="0"/>
        <w:spacing w:line="560" w:lineRule="exact"/>
        <w:jc w:val="center"/>
        <w:rPr>
          <w:rFonts w:hint="eastAsia" w:ascii="黑体" w:hAnsi="黑体" w:eastAsia="黑体" w:cs="黑体"/>
          <w:b/>
          <w:bCs/>
          <w:sz w:val="32"/>
          <w:szCs w:val="32"/>
        </w:rPr>
      </w:pPr>
      <w:r>
        <w:rPr>
          <w:rFonts w:hint="eastAsia" w:ascii="黑体" w:hAnsi="黑体" w:eastAsia="黑体" w:cs="黑体"/>
          <w:b/>
          <w:bCs/>
          <w:sz w:val="32"/>
          <w:szCs w:val="32"/>
        </w:rPr>
        <w:t>第三章  资助条件</w:t>
      </w:r>
    </w:p>
    <w:p>
      <w:pPr>
        <w:spacing w:beforeLines="0" w:afterLines="0"/>
        <w:ind w:firstLine="640" w:firstLineChars="200"/>
        <w:jc w:val="left"/>
        <w:rPr>
          <w:rFonts w:hint="eastAsia"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五</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sz w:val="32"/>
          <w:szCs w:val="32"/>
        </w:rPr>
        <w:t xml:space="preserve"> 符合下列条件之一的，可以申请</w:t>
      </w:r>
      <w:r>
        <w:rPr>
          <w:rFonts w:hint="eastAsia" w:ascii="仿宋_GB2312" w:eastAsia="仿宋_GB2312"/>
          <w:color w:val="000000" w:themeColor="text1"/>
          <w:sz w:val="32"/>
          <w:szCs w:val="32"/>
          <w14:textFill>
            <w14:solidFill>
              <w14:schemeClr w14:val="tx1"/>
            </w14:solidFill>
          </w14:textFill>
        </w:rPr>
        <w:t>知识产权、品牌、标准化战略</w:t>
      </w:r>
      <w:r>
        <w:rPr>
          <w:rFonts w:hint="eastAsia" w:ascii="仿宋_GB2312" w:eastAsia="仿宋_GB2312"/>
          <w:sz w:val="32"/>
          <w:szCs w:val="32"/>
        </w:rPr>
        <w:t>的专项资金资助：　</w:t>
      </w:r>
    </w:p>
    <w:p>
      <w:pPr>
        <w:adjustRightInd w:val="0"/>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（一）</w:t>
      </w:r>
      <w:r>
        <w:rPr>
          <w:rFonts w:hint="eastAsia" w:ascii="仿宋_GB2312" w:hAnsi="宋体" w:eastAsia="仿宋_GB2312" w:cs="宋体"/>
          <w:color w:val="000000" w:themeColor="text1"/>
          <w:kern w:val="0"/>
          <w:sz w:val="32"/>
          <w:szCs w:val="32"/>
          <w14:textFill>
            <w14:solidFill>
              <w14:schemeClr w14:val="tx1"/>
            </w14:solidFill>
          </w14:textFill>
        </w:rPr>
        <w:t>在龙华区注册（登记或依法设立）的具有独立法人资格的企业(申请担保风险补偿的担保机构除外)、事业单位及其他组织机构；</w:t>
      </w:r>
    </w:p>
    <w:p>
      <w:pPr>
        <w:adjustRightInd w:val="0"/>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（二）</w:t>
      </w:r>
      <w:r>
        <w:rPr>
          <w:rFonts w:hint="eastAsia" w:ascii="仿宋_GB2312" w:hAnsi="宋体" w:eastAsia="仿宋_GB2312" w:cs="宋体"/>
          <w:color w:val="000000" w:themeColor="text1"/>
          <w:kern w:val="0"/>
          <w:sz w:val="32"/>
          <w:szCs w:val="32"/>
          <w14:textFill>
            <w14:solidFill>
              <w14:schemeClr w14:val="tx1"/>
            </w14:solidFill>
          </w14:textFill>
        </w:rPr>
        <w:t>具有龙华区常住人口户籍的个人；</w:t>
      </w:r>
    </w:p>
    <w:p>
      <w:pPr>
        <w:adjustRightInd w:val="0"/>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（三）</w:t>
      </w:r>
      <w:r>
        <w:rPr>
          <w:rFonts w:hint="eastAsia" w:ascii="仿宋_GB2312" w:hAnsi="宋体" w:eastAsia="仿宋_GB2312" w:cs="宋体"/>
          <w:color w:val="000000" w:themeColor="text1"/>
          <w:kern w:val="0"/>
          <w:sz w:val="32"/>
          <w:szCs w:val="32"/>
          <w14:textFill>
            <w14:solidFill>
              <w14:schemeClr w14:val="tx1"/>
            </w14:solidFill>
          </w14:textFill>
        </w:rPr>
        <w:t>在龙华区工作并持有《深圳市人才居住证》或者《出国留学人员来深工作证》的个人；</w:t>
      </w:r>
    </w:p>
    <w:p>
      <w:pPr>
        <w:adjustRightInd w:val="0"/>
        <w:snapToGrid w:val="0"/>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（四）</w:t>
      </w:r>
      <w:r>
        <w:rPr>
          <w:rFonts w:hint="eastAsia" w:ascii="仿宋_GB2312" w:hAnsi="宋体" w:eastAsia="仿宋_GB2312" w:cs="宋体"/>
          <w:color w:val="000000" w:themeColor="text1"/>
          <w:kern w:val="0"/>
          <w:sz w:val="32"/>
          <w:szCs w:val="32"/>
          <w14:textFill>
            <w14:solidFill>
              <w14:schemeClr w14:val="tx1"/>
            </w14:solidFill>
          </w14:textFill>
        </w:rPr>
        <w:t>在国内全日制大专以上院校学习的龙华区户籍学生。</w:t>
      </w:r>
    </w:p>
    <w:p>
      <w:pPr>
        <w:adjustRightInd w:val="0"/>
        <w:snapToGrid w:val="0"/>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申请人除满足以上条件外，还应当符合本措施规定的其他条件或要求</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spacing w:beforeLines="0" w:afterLines="0"/>
        <w:ind w:firstLine="640" w:firstLineChars="200"/>
        <w:jc w:val="left"/>
        <w:rPr>
          <w:rFonts w:hint="eastAsia"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六</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sz w:val="32"/>
          <w:szCs w:val="32"/>
        </w:rPr>
        <w:t xml:space="preserve"> 有下列情形之一的，不得申请专项资金资助：</w:t>
      </w:r>
    </w:p>
    <w:p>
      <w:pPr>
        <w:spacing w:beforeLines="0" w:afterLines="0"/>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（一）</w:t>
      </w:r>
      <w:r>
        <w:rPr>
          <w:rFonts w:hint="eastAsia" w:ascii="仿宋_GB2312" w:eastAsia="仿宋_GB2312"/>
          <w:sz w:val="32"/>
          <w:szCs w:val="32"/>
          <w:lang w:eastAsia="zh-CN"/>
        </w:rPr>
        <w:t>申请项目中的知识产权具有争议</w:t>
      </w:r>
      <w:r>
        <w:rPr>
          <w:rFonts w:hint="eastAsia" w:ascii="仿宋_GB2312" w:eastAsia="仿宋_GB2312"/>
          <w:sz w:val="32"/>
          <w:szCs w:val="32"/>
        </w:rPr>
        <w:t>；</w:t>
      </w:r>
    </w:p>
    <w:p>
      <w:pPr>
        <w:spacing w:beforeLines="0" w:afterLines="0"/>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（二）申报单位</w:t>
      </w:r>
      <w:r>
        <w:rPr>
          <w:rFonts w:hint="eastAsia" w:ascii="仿宋_GB2312" w:eastAsia="仿宋_GB2312"/>
          <w:sz w:val="32"/>
          <w:szCs w:val="32"/>
          <w:lang w:eastAsia="zh-CN"/>
        </w:rPr>
        <w:t>因有下列情形之一、正在被有关部门依法实施失信联合惩戒的：</w:t>
      </w:r>
    </w:p>
    <w:p>
      <w:pPr>
        <w:spacing w:beforeLines="0" w:afterLines="0"/>
        <w:ind w:firstLine="960" w:firstLineChars="300"/>
        <w:jc w:val="left"/>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严重危害人民群众身体健康和生命安全的行为，包括食品药品、生态环境、工程质量、安全生产、消防安全、强制性产品认证等领域的严重失信行为；</w:t>
      </w:r>
    </w:p>
    <w:p>
      <w:pPr>
        <w:spacing w:beforeLines="0" w:afterLines="0"/>
        <w:ind w:firstLine="960" w:firstLineChars="300"/>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被监管部门责令限期拆除违法建筑但拒不拆除或者逾期不拆除，或者被监管部门作出其他责令改正决定但拒不改正或者逾期不改正的；</w:t>
      </w:r>
    </w:p>
    <w:p>
      <w:pPr>
        <w:spacing w:beforeLines="0" w:afterLines="0"/>
        <w:ind w:firstLine="960" w:firstLineChars="30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违反特区技术规范等严重危害深圳质量和标准的行为；</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w:t>
      </w:r>
      <w:r>
        <w:rPr>
          <w:rFonts w:hint="eastAsia" w:ascii="仿宋_GB2312" w:eastAsia="仿宋_GB2312"/>
          <w:sz w:val="32"/>
          <w:szCs w:val="32"/>
        </w:rPr>
        <w:t>故意侵犯知识产权，严重违反知识产权法律法规的行为，包括假冒专利、侵犯著作权、侵犯商标权和技术秘密等严重违法失信行为；</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w:t>
      </w:r>
      <w:r>
        <w:rPr>
          <w:rFonts w:hint="eastAsia" w:ascii="仿宋_GB2312" w:eastAsia="仿宋_GB2312"/>
          <w:sz w:val="32"/>
          <w:szCs w:val="32"/>
        </w:rPr>
        <w:t>严重违反商事登记有关法律法规规定的行为，包括无证照经营、被吊销营业执照或者许可证、被列入经营异常名录或者永久性经营异常名录的，被列入行业黑名单或者严重违法失信企业名单的；</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w:t>
      </w:r>
      <w:r>
        <w:rPr>
          <w:rFonts w:hint="eastAsia" w:ascii="仿宋_GB2312" w:eastAsia="仿宋_GB2312"/>
          <w:sz w:val="32"/>
          <w:szCs w:val="32"/>
        </w:rPr>
        <w:t>严重破坏市场公平竞争秩序和社会正常秩序的行为，包括逃税骗税、恶意欠薪、非法集资、制售假冒伪劣产品、虚假广告、严重破坏网络空间传播秩序、聚众扰乱社会秩序等严重失信行为；</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7、</w:t>
      </w:r>
      <w:r>
        <w:rPr>
          <w:rFonts w:hint="eastAsia" w:ascii="仿宋_GB2312" w:eastAsia="仿宋_GB2312"/>
          <w:sz w:val="32"/>
          <w:szCs w:val="32"/>
        </w:rPr>
        <w:t>法律、法规、规章和国家文件规定应当纳入联合惩戒的其他情形。</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（三）申请人在申报财政资金中有弄虚作假行为，或在享受各级政府财政资助中有严重违约行为的；</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）法律、法规及市、区财政专项资金相关管理文件规定不得给予资金资助的其他情形。</w:t>
      </w:r>
    </w:p>
    <w:p>
      <w:pPr>
        <w:spacing w:beforeLines="0" w:afterLines="0"/>
        <w:ind w:firstLine="640" w:firstLineChars="200"/>
        <w:jc w:val="left"/>
        <w:rPr>
          <w:rFonts w:hint="eastAsia" w:ascii="仿宋_GB2312" w:eastAsia="仿宋_GB2312"/>
          <w:sz w:val="32"/>
          <w:szCs w:val="32"/>
        </w:rPr>
      </w:pPr>
    </w:p>
    <w:p>
      <w:pPr>
        <w:spacing w:beforeLines="0" w:afterLine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第四章 知识产权专项资助内容</w:t>
      </w:r>
    </w:p>
    <w:p>
      <w:pPr>
        <w:spacing w:line="550" w:lineRule="exact"/>
        <w:ind w:firstLine="656" w:firstLineChars="200"/>
        <w:rPr>
          <w:rFonts w:ascii="黑体" w:hAnsi="黑体" w:eastAsia="黑体"/>
          <w:sz w:val="32"/>
          <w:szCs w:val="32"/>
        </w:rPr>
      </w:pPr>
      <w:r>
        <w:rPr>
          <w:rFonts w:hint="eastAsia" w:ascii="黑体" w:hAnsi="黑体" w:eastAsia="黑体"/>
          <w:spacing w:val="4"/>
          <w:sz w:val="32"/>
          <w:szCs w:val="32"/>
        </w:rPr>
        <w:t>突出知识产权支撑引领作用，推动企业打造自主创新体系</w:t>
      </w:r>
    </w:p>
    <w:p>
      <w:pPr>
        <w:spacing w:line="550" w:lineRule="exact"/>
        <w:ind w:firstLine="560" w:firstLineChars="200"/>
        <w:rPr>
          <w:rFonts w:ascii="仿宋_GB2312" w:eastAsia="仿宋_GB2312"/>
          <w:sz w:val="32"/>
          <w:szCs w:val="32"/>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七</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sz w:val="32"/>
          <w:szCs w:val="32"/>
        </w:rPr>
        <w:t>鼓励单位和个人申请国外发明专利：</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在美国、欧盟</w:t>
      </w:r>
      <w:r>
        <w:rPr>
          <w:rFonts w:hint="eastAsia" w:ascii="仿宋_GB2312" w:eastAsia="仿宋_GB2312"/>
          <w:sz w:val="32"/>
          <w:szCs w:val="32"/>
          <w:lang w:eastAsia="zh-CN"/>
        </w:rPr>
        <w:t>或</w:t>
      </w:r>
      <w:r>
        <w:rPr>
          <w:rFonts w:hint="eastAsia" w:ascii="仿宋_GB2312" w:eastAsia="仿宋_GB2312"/>
          <w:sz w:val="32"/>
          <w:szCs w:val="32"/>
        </w:rPr>
        <w:t>日本取得发明专利授权的，每件资助2.5万元；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在设有专利审批机构的其他国家或地区取得发明专利授权的，每件资助1.5万元。</w:t>
      </w:r>
    </w:p>
    <w:p>
      <w:pPr>
        <w:spacing w:line="560" w:lineRule="exact"/>
        <w:ind w:firstLine="640" w:firstLineChars="200"/>
        <w:rPr>
          <w:rFonts w:hint="eastAsia" w:ascii="仿宋_GB2312" w:eastAsia="仿宋_GB2312"/>
          <w:color w:val="FF0000"/>
          <w:sz w:val="21"/>
          <w:szCs w:val="21"/>
          <w:lang w:val="en-US" w:eastAsia="zh-CN"/>
        </w:rPr>
      </w:pPr>
      <w:r>
        <w:rPr>
          <w:rFonts w:hint="eastAsia" w:ascii="楷体_GB2312" w:hAnsi="楷体" w:eastAsia="楷体_GB2312"/>
          <w:sz w:val="32"/>
          <w:szCs w:val="32"/>
        </w:rPr>
        <w:t>第</w:t>
      </w:r>
      <w:r>
        <w:rPr>
          <w:rFonts w:hint="eastAsia" w:ascii="楷体_GB2312" w:hAnsi="楷体" w:eastAsia="楷体_GB2312"/>
          <w:sz w:val="32"/>
          <w:szCs w:val="32"/>
          <w:lang w:eastAsia="zh-CN"/>
        </w:rPr>
        <w:t>八</w:t>
      </w:r>
      <w:r>
        <w:rPr>
          <w:rFonts w:hint="eastAsia" w:ascii="楷体_GB2312" w:hAnsi="楷体" w:eastAsia="楷体_GB2312"/>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鼓励版权示范单位（园区基地）提升自主创新能力，充分发挥其在带动版权相关产业发展方面的示范作用。经国家版权局评定并授牌的“国家版权示范单位”、“国家版权示范园区(基地)”每家一次性资助100万元；经广东省版权局评定并授牌的“广东省版权兴业示范基地”每家一次性资助50万元。</w:t>
      </w:r>
    </w:p>
    <w:p>
      <w:pPr>
        <w:spacing w:line="560" w:lineRule="exact"/>
        <w:rPr>
          <w:rFonts w:hint="eastAsia" w:ascii="仿宋_GB2312" w:eastAsia="仿宋_GB2312"/>
          <w:color w:val="FF0000"/>
          <w:sz w:val="21"/>
          <w:szCs w:val="21"/>
          <w:lang w:val="en-US" w:eastAsia="zh-CN"/>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sz w:val="32"/>
          <w:szCs w:val="32"/>
        </w:rPr>
        <w:t>第</w:t>
      </w:r>
      <w:r>
        <w:rPr>
          <w:rFonts w:hint="eastAsia" w:ascii="楷体_GB2312" w:hAnsi="楷体" w:eastAsia="楷体_GB2312"/>
          <w:sz w:val="32"/>
          <w:szCs w:val="32"/>
          <w:lang w:eastAsia="zh-CN"/>
        </w:rPr>
        <w:t>九</w:t>
      </w:r>
      <w:r>
        <w:rPr>
          <w:rFonts w:hint="eastAsia" w:ascii="楷体_GB2312" w:hAnsi="楷体" w:eastAsia="楷体_GB2312"/>
          <w:sz w:val="32"/>
          <w:szCs w:val="32"/>
        </w:rPr>
        <w:t xml:space="preserve">条  </w:t>
      </w:r>
      <w:r>
        <w:rPr>
          <w:rFonts w:hint="eastAsia" w:ascii="仿宋_GB2312" w:eastAsia="仿宋_GB2312"/>
          <w:sz w:val="32"/>
          <w:szCs w:val="32"/>
        </w:rPr>
        <w:t>鼓励企业加大知识产权培育和保护力度。经</w:t>
      </w:r>
      <w:r>
        <w:rPr>
          <w:rFonts w:hint="eastAsia" w:ascii="仿宋_GB2312" w:eastAsia="仿宋_GB2312"/>
          <w:color w:val="000000" w:themeColor="text1"/>
          <w:sz w:val="32"/>
          <w:szCs w:val="32"/>
          <w:lang w:eastAsia="zh-CN"/>
          <w14:textFill>
            <w14:solidFill>
              <w14:schemeClr w14:val="tx1"/>
            </w14:solidFill>
          </w14:textFill>
        </w:rPr>
        <w:t>深圳市市场监督管理局龙华监管局</w:t>
      </w:r>
      <w:r>
        <w:rPr>
          <w:rFonts w:hint="eastAsia" w:ascii="仿宋_GB2312" w:eastAsia="仿宋_GB2312"/>
          <w:sz w:val="32"/>
          <w:szCs w:val="32"/>
        </w:rPr>
        <w:t>认定为“龙华区知识产权优势企业”的，每家资助50万元</w:t>
      </w:r>
      <w:r>
        <w:rPr>
          <w:rFonts w:hint="eastAsia" w:ascii="仿宋_GB2312" w:eastAsia="仿宋_GB2312"/>
          <w:sz w:val="32"/>
          <w:szCs w:val="32"/>
          <w:lang w:eastAsia="zh-CN"/>
        </w:rPr>
        <w:t>，</w:t>
      </w:r>
      <w:r>
        <w:rPr>
          <w:rFonts w:hint="eastAsia" w:ascii="仿宋_GB2312" w:eastAsia="仿宋_GB2312"/>
          <w:sz w:val="32"/>
          <w:szCs w:val="32"/>
        </w:rPr>
        <w:t>每年</w:t>
      </w:r>
      <w:r>
        <w:rPr>
          <w:rFonts w:hint="eastAsia" w:ascii="仿宋_GB2312" w:eastAsia="仿宋_GB2312"/>
          <w:sz w:val="32"/>
          <w:szCs w:val="32"/>
          <w:lang w:eastAsia="zh-CN"/>
        </w:rPr>
        <w:t>认定</w:t>
      </w:r>
      <w:r>
        <w:rPr>
          <w:rFonts w:hint="eastAsia" w:ascii="仿宋_GB2312" w:eastAsia="仿宋_GB2312"/>
          <w:sz w:val="32"/>
          <w:szCs w:val="32"/>
        </w:rPr>
        <w:t>不超过</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认定为“龙华区</w:t>
      </w:r>
      <w:r>
        <w:rPr>
          <w:rFonts w:hint="eastAsia" w:ascii="仿宋_GB2312" w:eastAsia="仿宋_GB2312"/>
          <w:sz w:val="32"/>
          <w:szCs w:val="32"/>
          <w:lang w:eastAsia="zh-CN"/>
        </w:rPr>
        <w:t>小微型</w:t>
      </w:r>
      <w:r>
        <w:rPr>
          <w:rFonts w:hint="eastAsia" w:ascii="仿宋_GB2312" w:eastAsia="仿宋_GB2312"/>
          <w:sz w:val="32"/>
          <w:szCs w:val="32"/>
        </w:rPr>
        <w:t>知识产权优势企业”的，每家资助</w:t>
      </w:r>
      <w:r>
        <w:rPr>
          <w:rFonts w:hint="eastAsia" w:ascii="仿宋_GB2312" w:eastAsia="仿宋_GB2312"/>
          <w:sz w:val="32"/>
          <w:szCs w:val="32"/>
          <w:lang w:val="en-US" w:eastAsia="zh-CN"/>
        </w:rPr>
        <w:t>3</w:t>
      </w:r>
      <w:r>
        <w:rPr>
          <w:rFonts w:hint="eastAsia" w:ascii="仿宋_GB2312" w:eastAsia="仿宋_GB2312"/>
          <w:sz w:val="32"/>
          <w:szCs w:val="32"/>
        </w:rPr>
        <w:t>0万元</w:t>
      </w:r>
      <w:r>
        <w:rPr>
          <w:rFonts w:hint="eastAsia" w:ascii="仿宋_GB2312" w:eastAsia="仿宋_GB2312"/>
          <w:sz w:val="32"/>
          <w:szCs w:val="32"/>
          <w:lang w:eastAsia="zh-CN"/>
        </w:rPr>
        <w:t>，</w:t>
      </w:r>
      <w:r>
        <w:rPr>
          <w:rFonts w:hint="eastAsia" w:ascii="仿宋_GB2312" w:eastAsia="仿宋_GB2312"/>
          <w:sz w:val="32"/>
          <w:szCs w:val="32"/>
        </w:rPr>
        <w:t>每年</w:t>
      </w:r>
      <w:r>
        <w:rPr>
          <w:rFonts w:hint="eastAsia" w:ascii="仿宋_GB2312" w:eastAsia="仿宋_GB2312"/>
          <w:sz w:val="32"/>
          <w:szCs w:val="32"/>
          <w:lang w:eastAsia="zh-CN"/>
        </w:rPr>
        <w:t>认定</w:t>
      </w:r>
      <w:r>
        <w:rPr>
          <w:rFonts w:hint="eastAsia" w:ascii="仿宋_GB2312" w:eastAsia="仿宋_GB2312"/>
          <w:sz w:val="32"/>
          <w:szCs w:val="32"/>
        </w:rPr>
        <w:t>不超过</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0家。</w:t>
      </w:r>
    </w:p>
    <w:p>
      <w:pPr>
        <w:adjustRightInd w:val="0"/>
        <w:snapToGrid w:val="0"/>
        <w:spacing w:line="560" w:lineRule="exact"/>
        <w:ind w:firstLine="560"/>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鼓励企业参与知识产权国家标准认证，通过国家贯标认证机构认证的企业</w:t>
      </w:r>
      <w:r>
        <w:rPr>
          <w:rFonts w:hint="eastAsia" w:ascii="仿宋_GB2312" w:eastAsia="仿宋_GB2312"/>
          <w:color w:val="000000" w:themeColor="text1"/>
          <w:sz w:val="32"/>
          <w:szCs w:val="32"/>
          <w:lang w:val="en-US" w:eastAsia="zh-CN"/>
          <w14:textFill>
            <w14:solidFill>
              <w14:schemeClr w14:val="tx1"/>
            </w14:solidFill>
          </w14:textFill>
        </w:rPr>
        <w:t>,且有效发明专利为10件以上</w:t>
      </w:r>
      <w:r>
        <w:rPr>
          <w:rFonts w:hint="eastAsia" w:ascii="仿宋_GB2312" w:eastAsia="仿宋_GB2312"/>
          <w:color w:val="000000" w:themeColor="text1"/>
          <w:sz w:val="32"/>
          <w:szCs w:val="32"/>
          <w14:textFill>
            <w14:solidFill>
              <w14:schemeClr w14:val="tx1"/>
            </w14:solidFill>
          </w14:textFill>
        </w:rPr>
        <w:t>，予以</w:t>
      </w:r>
      <w:r>
        <w:rPr>
          <w:rFonts w:ascii="仿宋_GB2312" w:eastAsia="仿宋_GB2312"/>
          <w:color w:val="000000" w:themeColor="text1"/>
          <w:sz w:val="32"/>
          <w:szCs w:val="32"/>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万元资助。</w:t>
      </w:r>
    </w:p>
    <w:p>
      <w:pPr>
        <w:adjustRightInd w:val="0"/>
        <w:snapToGrid w:val="0"/>
        <w:spacing w:line="560" w:lineRule="exact"/>
        <w:ind w:firstLine="560"/>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sz w:val="32"/>
          <w:szCs w:val="32"/>
        </w:rPr>
        <w:t>第</w:t>
      </w:r>
      <w:r>
        <w:rPr>
          <w:rFonts w:hint="eastAsia" w:ascii="楷体_GB2312" w:hAnsi="楷体" w:eastAsia="楷体_GB2312"/>
          <w:sz w:val="32"/>
          <w:szCs w:val="32"/>
          <w:lang w:val="en-US" w:eastAsia="zh-CN"/>
        </w:rPr>
        <w:t>十一</w:t>
      </w:r>
      <w:r>
        <w:rPr>
          <w:rFonts w:hint="eastAsia" w:ascii="楷体_GB2312" w:hAnsi="楷体" w:eastAsia="楷体_GB2312"/>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获得“中国专利金奖”、“中国专利银奖”或“中国专利优秀奖”的，</w:t>
      </w:r>
      <w:r>
        <w:rPr>
          <w:rFonts w:hint="eastAsia" w:ascii="仿宋_GB2312" w:eastAsia="仿宋_GB2312"/>
          <w:color w:val="000000" w:themeColor="text1"/>
          <w:sz w:val="32"/>
          <w:szCs w:val="32"/>
          <w14:textFill>
            <w14:solidFill>
              <w14:schemeClr w14:val="tx1"/>
            </w14:solidFill>
          </w14:textFill>
        </w:rPr>
        <w:t>每项</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0万元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lang w:val="en-US" w:eastAsia="zh-CN"/>
        </w:rPr>
        <w:t>获得“广东专利金奖”、“广东专利银奖”、“广东专利优秀奖”或“深圳市专利奖”的，</w:t>
      </w:r>
      <w:r>
        <w:rPr>
          <w:rFonts w:hint="eastAsia" w:ascii="仿宋_GB2312" w:eastAsia="仿宋_GB2312"/>
          <w:color w:val="000000" w:themeColor="text1"/>
          <w:sz w:val="32"/>
          <w:szCs w:val="32"/>
          <w14:textFill>
            <w14:solidFill>
              <w14:schemeClr w14:val="tx1"/>
            </w14:solidFill>
          </w14:textFill>
        </w:rPr>
        <w:t>每项</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0万元</w:t>
      </w:r>
      <w:r>
        <w:rPr>
          <w:rFonts w:hint="eastAsia" w:ascii="仿宋_GB2312" w:eastAsia="仿宋_GB2312"/>
          <w:color w:val="000000" w:themeColor="text1"/>
          <w:sz w:val="32"/>
          <w:szCs w:val="32"/>
          <w:lang w:eastAsia="zh-CN"/>
          <w14:textFill>
            <w14:solidFill>
              <w14:schemeClr w14:val="tx1"/>
            </w14:solidFill>
          </w14:textFill>
        </w:rPr>
        <w:t>，以上奖励可分别予以资助</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560" w:lineRule="exact"/>
        <w:ind w:firstLine="560"/>
        <w:rPr>
          <w:rFonts w:hint="eastAsia" w:ascii="仿宋_GB2312" w:eastAsia="仿宋_GB2312"/>
          <w:color w:val="FF0000"/>
          <w:sz w:val="21"/>
          <w:szCs w:val="21"/>
          <w:lang w:val="en-US" w:eastAsia="zh-CN"/>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十二</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支持知识产权服务业发展，</w:t>
      </w:r>
      <w:r>
        <w:rPr>
          <w:rFonts w:hint="eastAsia" w:ascii="仿宋_GB2312" w:eastAsia="仿宋_GB2312"/>
          <w:color w:val="000000" w:themeColor="text1"/>
          <w:sz w:val="32"/>
          <w:szCs w:val="32"/>
          <w:lang w:eastAsia="zh-CN"/>
          <w14:textFill>
            <w14:solidFill>
              <w14:schemeClr w14:val="tx1"/>
            </w14:solidFill>
          </w14:textFill>
        </w:rPr>
        <w:t>对获得深圳市“引进国外知识产权高端服务机构”或“引进国内知识产权高端服务机构”的机构，</w:t>
      </w:r>
      <w:r>
        <w:rPr>
          <w:rFonts w:hint="eastAsia" w:ascii="仿宋_GB2312" w:eastAsia="仿宋_GB2312"/>
          <w:color w:val="000000" w:themeColor="text1"/>
          <w:sz w:val="32"/>
          <w:szCs w:val="32"/>
          <w14:textFill>
            <w14:solidFill>
              <w14:schemeClr w14:val="tx1"/>
            </w14:solidFill>
          </w14:textFill>
        </w:rPr>
        <w:t>按市级财政资助额50%予以配套资助</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对获得“全国知识产权服务品牌培育机构（全国知识产权服务品牌机构培育单位）”的机构</w:t>
      </w:r>
      <w:r>
        <w:rPr>
          <w:rFonts w:hint="eastAsia" w:ascii="仿宋_GB2312" w:eastAsia="仿宋_GB2312"/>
          <w:color w:val="000000" w:themeColor="text1"/>
          <w:sz w:val="32"/>
          <w:szCs w:val="32"/>
          <w:lang w:eastAsia="zh-CN"/>
          <w14:textFill>
            <w14:solidFill>
              <w14:schemeClr w14:val="tx1"/>
            </w14:solidFill>
          </w14:textFill>
        </w:rPr>
        <w:t>或其分支机构</w:t>
      </w:r>
      <w:r>
        <w:rPr>
          <w:rFonts w:hint="eastAsia" w:ascii="仿宋_GB2312" w:eastAsia="仿宋_GB2312"/>
          <w:color w:val="000000" w:themeColor="text1"/>
          <w:sz w:val="32"/>
          <w:szCs w:val="32"/>
          <w14:textFill>
            <w14:solidFill>
              <w14:schemeClr w14:val="tx1"/>
            </w14:solidFill>
          </w14:textFill>
        </w:rPr>
        <w:t>，给予50万元的</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经国家知识产权局批准设立的代理机构</w:t>
      </w:r>
      <w:r>
        <w:rPr>
          <w:rFonts w:hint="eastAsia" w:ascii="仿宋_GB2312" w:eastAsia="仿宋_GB2312"/>
          <w:color w:val="000000" w:themeColor="text1"/>
          <w:sz w:val="32"/>
          <w:szCs w:val="32"/>
          <w:lang w:eastAsia="zh-CN"/>
          <w14:textFill>
            <w14:solidFill>
              <w14:schemeClr w14:val="tx1"/>
            </w14:solidFill>
          </w14:textFill>
        </w:rPr>
        <w:t>或其分支机构</w:t>
      </w:r>
      <w:r>
        <w:rPr>
          <w:rFonts w:hint="eastAsia" w:ascii="仿宋_GB2312" w:eastAsia="仿宋_GB2312"/>
          <w:color w:val="000000" w:themeColor="text1"/>
          <w:sz w:val="32"/>
          <w:szCs w:val="32"/>
          <w14:textFill>
            <w14:solidFill>
              <w14:schemeClr w14:val="tx1"/>
            </w14:solidFill>
          </w14:textFill>
        </w:rPr>
        <w:t>，从专利代理资质批准之日起一年内专利案件代理量达到100件以上的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给予10万元</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p>
    <w:p>
      <w:pPr>
        <w:adjustRightInd w:val="0"/>
        <w:snapToGrid w:val="0"/>
        <w:spacing w:line="560" w:lineRule="exact"/>
        <w:rPr>
          <w:rFonts w:hint="eastAsia" w:ascii="仿宋_GB2312" w:eastAsia="仿宋_GB2312"/>
          <w:color w:val="FF0000"/>
          <w:sz w:val="21"/>
          <w:szCs w:val="21"/>
          <w:lang w:val="en-US" w:eastAsia="zh-CN"/>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十三</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具有独立法人资格并主要从事高新技术产品开发和生产经营的企业可通过知识产权（仅限于发明专利、实用新型专利、外观设计专利、软件著作权、</w:t>
      </w:r>
      <w:r>
        <w:rPr>
          <w:rFonts w:hint="eastAsia" w:ascii="仿宋_GB2312" w:eastAsia="仿宋_GB2312"/>
          <w:color w:val="000000" w:themeColor="text1"/>
          <w:sz w:val="32"/>
          <w:szCs w:val="32"/>
          <w:lang w:eastAsia="zh-CN"/>
          <w14:textFill>
            <w14:solidFill>
              <w14:schemeClr w14:val="tx1"/>
            </w14:solidFill>
          </w14:textFill>
        </w:rPr>
        <w:t>商标</w:t>
      </w:r>
      <w:r>
        <w:rPr>
          <w:rFonts w:hint="eastAsia" w:ascii="仿宋_GB2312" w:eastAsia="仿宋_GB2312"/>
          <w:color w:val="000000" w:themeColor="text1"/>
          <w:sz w:val="32"/>
          <w:szCs w:val="32"/>
          <w14:textFill>
            <w14:solidFill>
              <w14:schemeClr w14:val="tx1"/>
            </w14:solidFill>
          </w14:textFill>
        </w:rPr>
        <w:t>）质押方式</w:t>
      </w:r>
      <w:r>
        <w:rPr>
          <w:rFonts w:hint="eastAsia" w:ascii="仿宋_GB2312" w:eastAsia="仿宋_GB2312"/>
          <w:color w:val="000000" w:themeColor="text1"/>
          <w:sz w:val="32"/>
          <w:szCs w:val="32"/>
          <w:lang w:eastAsia="zh-CN"/>
          <w14:textFill>
            <w14:solidFill>
              <w14:schemeClr w14:val="tx1"/>
            </w14:solidFill>
          </w14:textFill>
        </w:rPr>
        <w:t>申请</w:t>
      </w:r>
      <w:r>
        <w:rPr>
          <w:rFonts w:hint="eastAsia" w:ascii="仿宋_GB2312" w:eastAsia="仿宋_GB2312"/>
          <w:color w:val="000000" w:themeColor="text1"/>
          <w:sz w:val="32"/>
          <w:szCs w:val="32"/>
          <w14:textFill>
            <w14:solidFill>
              <w14:schemeClr w14:val="tx1"/>
            </w14:solidFill>
          </w14:textFill>
        </w:rPr>
        <w:t>期限为一年的银行贷款。</w:t>
      </w:r>
      <w:r>
        <w:rPr>
          <w:rFonts w:hint="eastAsia" w:ascii="仿宋_GB2312" w:eastAsia="仿宋_GB2312"/>
          <w:color w:val="000000" w:themeColor="text1"/>
          <w:sz w:val="32"/>
          <w:szCs w:val="32"/>
          <w:lang w:eastAsia="zh-CN"/>
          <w14:textFill>
            <w14:solidFill>
              <w14:schemeClr w14:val="tx1"/>
            </w14:solidFill>
          </w14:textFill>
        </w:rPr>
        <w:t>企业还清贷款本息后，可按贷款利息及中介费用（担保费、评估费）的70%申请资助，同一企业年度资助总额不超过120万元</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560" w:lineRule="exact"/>
        <w:rPr>
          <w:rFonts w:hint="eastAsia" w:ascii="楷体_GB2312" w:hAnsi="楷体" w:eastAsia="楷体_GB2312"/>
          <w:color w:val="000000" w:themeColor="text1"/>
          <w:sz w:val="32"/>
          <w:szCs w:val="32"/>
          <w:lang w:val="en-US" w:eastAsia="zh-CN"/>
          <w14:textFill>
            <w14:solidFill>
              <w14:schemeClr w14:val="tx1"/>
            </w14:solidFill>
          </w14:textFill>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十四</w:t>
      </w:r>
      <w:r>
        <w:rPr>
          <w:rFonts w:hint="eastAsia" w:ascii="楷体_GB2312" w:hAnsi="楷体" w:eastAsia="楷体_GB2312"/>
          <w:color w:val="000000" w:themeColor="text1"/>
          <w:sz w:val="32"/>
          <w:szCs w:val="32"/>
          <w14:textFill>
            <w14:solidFill>
              <w14:schemeClr w14:val="tx1"/>
            </w14:solidFill>
          </w14:textFill>
        </w:rPr>
        <w:t>条</w:t>
      </w:r>
      <w:r>
        <w:rPr>
          <w:rFonts w:hint="eastAsia" w:ascii="楷体_GB2312" w:hAnsi="楷体" w:eastAsia="楷体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获得深圳市促进科技创新知识产权保护专项资金资助</w:t>
      </w:r>
      <w:r>
        <w:rPr>
          <w:rFonts w:hint="eastAsia" w:ascii="仿宋_GB2312" w:hAnsi="宋体" w:eastAsia="仿宋_GB2312" w:cs="宋体"/>
          <w:color w:val="000000" w:themeColor="text1"/>
          <w:kern w:val="0"/>
          <w:sz w:val="32"/>
          <w:szCs w:val="32"/>
          <w:lang w:eastAsia="zh-CN"/>
          <w14:textFill>
            <w14:solidFill>
              <w14:schemeClr w14:val="tx1"/>
            </w14:solidFill>
          </w14:textFill>
        </w:rPr>
        <w:t>的企业</w:t>
      </w:r>
      <w:r>
        <w:rPr>
          <w:rFonts w:hint="eastAsia" w:ascii="仿宋_GB2312" w:hAnsi="宋体" w:eastAsia="仿宋_GB2312" w:cs="宋体"/>
          <w:color w:val="000000" w:themeColor="text1"/>
          <w:kern w:val="0"/>
          <w:sz w:val="32"/>
          <w:szCs w:val="32"/>
          <w14:textFill>
            <w14:solidFill>
              <w14:schemeClr w14:val="tx1"/>
            </w14:solidFill>
          </w14:textFill>
        </w:rPr>
        <w:t>，每个项目</w:t>
      </w:r>
      <w:r>
        <w:rPr>
          <w:rFonts w:hint="eastAsia" w:ascii="仿宋_GB2312" w:hAnsi="宋体" w:eastAsia="仿宋_GB2312" w:cs="宋体"/>
          <w:color w:val="000000" w:themeColor="text1"/>
          <w:kern w:val="0"/>
          <w:sz w:val="32"/>
          <w:szCs w:val="32"/>
          <w:lang w:eastAsia="zh-CN"/>
          <w14:textFill>
            <w14:solidFill>
              <w14:schemeClr w14:val="tx1"/>
            </w14:solidFill>
          </w14:textFill>
        </w:rPr>
        <w:t>配套</w:t>
      </w:r>
      <w:r>
        <w:rPr>
          <w:rFonts w:hint="eastAsia" w:ascii="仿宋_GB2312" w:hAnsi="宋体" w:eastAsia="仿宋_GB2312" w:cs="宋体"/>
          <w:color w:val="000000" w:themeColor="text1"/>
          <w:kern w:val="0"/>
          <w:sz w:val="32"/>
          <w:szCs w:val="32"/>
          <w14:textFill>
            <w14:solidFill>
              <w14:schemeClr w14:val="tx1"/>
            </w14:solidFill>
          </w14:textFill>
        </w:rPr>
        <w:t>资助金额为50万元，每个申请人</w:t>
      </w:r>
      <w:r>
        <w:rPr>
          <w:rFonts w:hint="eastAsia" w:ascii="仿宋_GB2312" w:hAnsi="宋体" w:eastAsia="仿宋_GB2312" w:cs="宋体"/>
          <w:color w:val="000000"/>
          <w:kern w:val="0"/>
          <w:sz w:val="32"/>
          <w:szCs w:val="32"/>
        </w:rPr>
        <w:t>每年度资助总额</w:t>
      </w:r>
      <w:r>
        <w:rPr>
          <w:rFonts w:hint="eastAsia" w:ascii="仿宋_GB2312" w:hAnsi="宋体" w:eastAsia="仿宋_GB2312" w:cs="宋体"/>
          <w:color w:val="000000" w:themeColor="text1"/>
          <w:kern w:val="0"/>
          <w:sz w:val="32"/>
          <w:szCs w:val="32"/>
          <w14:textFill>
            <w14:solidFill>
              <w14:schemeClr w14:val="tx1"/>
            </w14:solidFill>
          </w14:textFill>
        </w:rPr>
        <w:t>不超过100万元。</w:t>
      </w:r>
    </w:p>
    <w:p>
      <w:pPr>
        <w:adjustRightInd w:val="0"/>
        <w:snapToGrid w:val="0"/>
        <w:spacing w:line="560" w:lineRule="exact"/>
        <w:ind w:firstLine="560"/>
        <w:rPr>
          <w:rFonts w:hint="eastAsia" w:ascii="仿宋_GB2312" w:hAnsi="宋体" w:eastAsia="仿宋_GB2312" w:cs="宋体"/>
          <w:color w:val="FF0000"/>
          <w:kern w:val="0"/>
          <w:sz w:val="32"/>
          <w:szCs w:val="32"/>
          <w:lang w:val="en-US" w:eastAsia="zh-CN"/>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十五</w:t>
      </w:r>
      <w:r>
        <w:rPr>
          <w:rFonts w:hint="eastAsia" w:ascii="楷体_GB2312" w:hAnsi="楷体" w:eastAsia="楷体_GB2312"/>
          <w:color w:val="000000" w:themeColor="text1"/>
          <w:sz w:val="32"/>
          <w:szCs w:val="32"/>
          <w14:textFill>
            <w14:solidFill>
              <w14:schemeClr w14:val="tx1"/>
            </w14:solidFill>
          </w14:textFill>
        </w:rPr>
        <w:t>条</w:t>
      </w:r>
      <w:r>
        <w:rPr>
          <w:rFonts w:hint="eastAsia" w:ascii="楷体_GB2312" w:hAnsi="楷体" w:eastAsia="楷体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开展</w:t>
      </w:r>
      <w:r>
        <w:rPr>
          <w:rFonts w:hint="eastAsia" w:ascii="仿宋_GB2312" w:hAnsi="宋体" w:eastAsia="仿宋_GB2312" w:cs="宋体"/>
          <w:color w:val="000000" w:themeColor="text1"/>
          <w:kern w:val="0"/>
          <w:sz w:val="32"/>
          <w:szCs w:val="32"/>
          <w:lang w:eastAsia="zh-CN"/>
          <w14:textFill>
            <w14:solidFill>
              <w14:schemeClr w14:val="tx1"/>
            </w14:solidFill>
          </w14:textFill>
        </w:rPr>
        <w:t>国内</w:t>
      </w:r>
      <w:r>
        <w:rPr>
          <w:rFonts w:hint="eastAsia" w:ascii="仿宋_GB2312" w:hAnsi="宋体" w:eastAsia="仿宋_GB2312" w:cs="宋体"/>
          <w:color w:val="000000" w:themeColor="text1"/>
          <w:kern w:val="0"/>
          <w:sz w:val="32"/>
          <w:szCs w:val="32"/>
          <w14:textFill>
            <w14:solidFill>
              <w14:schemeClr w14:val="tx1"/>
            </w14:solidFill>
          </w14:textFill>
        </w:rPr>
        <w:t>知识产权维权，</w:t>
      </w:r>
      <w:r>
        <w:rPr>
          <w:rFonts w:hint="eastAsia" w:ascii="仿宋_GB2312" w:hAnsi="宋体" w:eastAsia="仿宋_GB2312" w:cs="宋体"/>
          <w:color w:val="000000" w:themeColor="text1"/>
          <w:kern w:val="0"/>
          <w:sz w:val="32"/>
          <w:szCs w:val="32"/>
          <w:lang w:eastAsia="zh-CN"/>
          <w14:textFill>
            <w14:solidFill>
              <w14:schemeClr w14:val="tx1"/>
            </w14:solidFill>
          </w14:textFill>
        </w:rPr>
        <w:t>在终审生效判决中获得胜诉的，每个案件对其诉讼费按实际支出的</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8</w:t>
      </w:r>
      <w:r>
        <w:rPr>
          <w:rFonts w:hint="eastAsia" w:ascii="仿宋_GB2312" w:hAnsi="宋体" w:eastAsia="仿宋_GB2312" w:cs="宋体"/>
          <w:color w:val="000000" w:themeColor="text1"/>
          <w:kern w:val="0"/>
          <w:sz w:val="32"/>
          <w:szCs w:val="32"/>
          <w:lang w:eastAsia="zh-CN"/>
          <w14:textFill>
            <w14:solidFill>
              <w14:schemeClr w14:val="tx1"/>
            </w14:solidFill>
          </w14:textFill>
        </w:rPr>
        <w:t>0%予以资助，</w:t>
      </w:r>
      <w:r>
        <w:rPr>
          <w:rFonts w:hint="eastAsia" w:ascii="仿宋_GB2312" w:hAnsi="黑体" w:eastAsia="仿宋_GB2312"/>
          <w:sz w:val="32"/>
          <w:szCs w:val="32"/>
        </w:rPr>
        <w:t>每个申请人每年度</w:t>
      </w:r>
      <w:r>
        <w:rPr>
          <w:rFonts w:hint="eastAsia" w:ascii="仿宋_GB2312" w:hAnsi="宋体" w:eastAsia="仿宋_GB2312" w:cs="宋体"/>
          <w:color w:val="000000" w:themeColor="text1"/>
          <w:kern w:val="0"/>
          <w:sz w:val="32"/>
          <w:szCs w:val="32"/>
          <w:lang w:eastAsia="zh-CN"/>
          <w14:textFill>
            <w14:solidFill>
              <w14:schemeClr w14:val="tx1"/>
            </w14:solidFill>
          </w14:textFill>
        </w:rPr>
        <w:t>最高不超过</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50万元。</w:t>
      </w:r>
    </w:p>
    <w:p>
      <w:pPr>
        <w:adjustRightInd w:val="0"/>
        <w:snapToGrid w:val="0"/>
        <w:spacing w:line="560" w:lineRule="exact"/>
        <w:ind w:firstLine="560"/>
        <w:jc w:val="center"/>
        <w:rPr>
          <w:rFonts w:hint="eastAsia" w:ascii="黑体" w:hAnsi="黑体" w:eastAsia="黑体" w:cs="黑体"/>
          <w:b/>
          <w:bCs/>
          <w:sz w:val="32"/>
          <w:szCs w:val="32"/>
          <w:lang w:val="en-US" w:eastAsia="zh-CN"/>
        </w:rPr>
      </w:pPr>
    </w:p>
    <w:p>
      <w:pPr>
        <w:adjustRightInd w:val="0"/>
        <w:snapToGrid w:val="0"/>
        <w:spacing w:line="560" w:lineRule="exact"/>
        <w:ind w:firstLine="560"/>
        <w:jc w:val="center"/>
        <w:rPr>
          <w:rFonts w:hint="eastAsia" w:ascii="仿宋_GB2312" w:hAnsi="宋体" w:eastAsia="仿宋_GB2312" w:cs="宋体"/>
          <w:color w:val="FF0000"/>
          <w:kern w:val="0"/>
          <w:sz w:val="32"/>
          <w:szCs w:val="32"/>
          <w:lang w:val="en-US" w:eastAsia="zh-CN"/>
        </w:rPr>
      </w:pPr>
      <w:r>
        <w:rPr>
          <w:rFonts w:hint="eastAsia" w:ascii="黑体" w:hAnsi="黑体" w:eastAsia="黑体" w:cs="黑体"/>
          <w:b/>
          <w:bCs/>
          <w:sz w:val="32"/>
          <w:szCs w:val="32"/>
          <w:lang w:val="en-US" w:eastAsia="zh-CN"/>
        </w:rPr>
        <w:t>第五章 品牌专项资助内容</w:t>
      </w:r>
    </w:p>
    <w:p>
      <w:pPr>
        <w:numPr>
          <w:ilvl w:val="0"/>
          <w:numId w:val="0"/>
        </w:num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加强品牌培育，提升产品品牌核心竞争力</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sz w:val="32"/>
          <w:szCs w:val="32"/>
        </w:rPr>
        <w:t>第</w:t>
      </w:r>
      <w:r>
        <w:rPr>
          <w:rFonts w:hint="eastAsia" w:ascii="楷体_GB2312" w:hAnsi="楷体" w:eastAsia="楷体_GB2312"/>
          <w:sz w:val="32"/>
          <w:szCs w:val="32"/>
          <w:lang w:eastAsia="zh-CN"/>
        </w:rPr>
        <w:t>十六</w:t>
      </w:r>
      <w:r>
        <w:rPr>
          <w:rFonts w:hint="eastAsia" w:ascii="楷体_GB2312" w:hAnsi="楷体" w:eastAsia="楷体_GB2312"/>
          <w:color w:val="000000" w:themeColor="text1"/>
          <w:sz w:val="32"/>
          <w:szCs w:val="32"/>
          <w14:textFill>
            <w14:solidFill>
              <w14:schemeClr w14:val="tx1"/>
            </w14:solidFill>
          </w14:textFill>
        </w:rPr>
        <w:t>条</w:t>
      </w:r>
      <w:r>
        <w:rPr>
          <w:rFonts w:hint="eastAsia" w:ascii="楷体_GB2312" w:hAnsi="楷体" w:eastAsia="楷体_GB2312"/>
          <w:sz w:val="32"/>
          <w:szCs w:val="32"/>
        </w:rPr>
        <w:t xml:space="preserve"> </w:t>
      </w:r>
      <w:r>
        <w:rPr>
          <w:rFonts w:hint="eastAsia" w:ascii="仿宋_GB2312" w:eastAsia="仿宋_GB2312"/>
          <w:sz w:val="32"/>
          <w:szCs w:val="32"/>
        </w:rPr>
        <w:t xml:space="preserve"> 鼓励申请境外商标注册。同一申请人（含企业、集团）年度资助总额不超过25万元；在单一国家取得注册的，同一申请人在同一国家或者地区（香港、澳门、台湾除外）受资助件数不超过3件：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通过马德里体系取得注册的，按指定国家的数量资助，每指定一个国家或地区资助1000元，每件最多资助20个国家或地区；在获取马德里国际注册证书后凭证书一次性申领资助，各指定国家核准注册后不再重复资助；</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pacing w:val="-6"/>
          <w:sz w:val="32"/>
          <w:szCs w:val="32"/>
        </w:rPr>
        <w:t>在欧盟、非洲知识产权组织取得注册的，每件资助5000元；</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在单一国家取得注册的，每件资助2500元；</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在台湾、澳门取得注册的，每件资助1500元；</w:t>
      </w:r>
    </w:p>
    <w:p>
      <w:pPr>
        <w:adjustRightInd w:val="0"/>
        <w:snapToGrid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在香港取得注册的，每件资助500元。</w:t>
      </w:r>
    </w:p>
    <w:p>
      <w:pPr>
        <w:adjustRightInd w:val="0"/>
        <w:snapToGrid w:val="0"/>
        <w:spacing w:line="550" w:lineRule="exact"/>
        <w:ind w:firstLine="640" w:firstLineChars="200"/>
        <w:rPr>
          <w:rFonts w:hint="eastAsia" w:ascii="黑体" w:hAnsi="黑体" w:eastAsia="黑体"/>
          <w:sz w:val="32"/>
          <w:szCs w:val="32"/>
        </w:rPr>
      </w:pPr>
    </w:p>
    <w:p>
      <w:pPr>
        <w:adjustRightInd w:val="0"/>
        <w:snapToGrid w:val="0"/>
        <w:spacing w:line="550" w:lineRule="exact"/>
        <w:ind w:firstLine="643" w:firstLineChars="200"/>
        <w:jc w:val="center"/>
        <w:rPr>
          <w:rFonts w:hint="eastAsia" w:ascii="黑体" w:hAnsi="黑体" w:eastAsia="黑体"/>
          <w:sz w:val="32"/>
          <w:szCs w:val="32"/>
        </w:rPr>
      </w:pPr>
      <w:r>
        <w:rPr>
          <w:rFonts w:hint="eastAsia" w:ascii="黑体" w:hAnsi="黑体" w:eastAsia="黑体" w:cs="黑体"/>
          <w:b/>
          <w:bCs/>
          <w:sz w:val="32"/>
          <w:szCs w:val="32"/>
          <w:lang w:val="en-US" w:eastAsia="zh-CN"/>
        </w:rPr>
        <w:t>第六章 标准化战略专项资助内容</w:t>
      </w:r>
    </w:p>
    <w:p>
      <w:pPr>
        <w:adjustRightInd w:val="0"/>
        <w:snapToGrid w:val="0"/>
        <w:spacing w:line="550" w:lineRule="exact"/>
        <w:ind w:firstLine="640" w:firstLineChars="200"/>
        <w:rPr>
          <w:rFonts w:ascii="黑体" w:hAnsi="黑体" w:eastAsia="黑体"/>
          <w:sz w:val="32"/>
          <w:szCs w:val="32"/>
        </w:rPr>
      </w:pPr>
      <w:r>
        <w:rPr>
          <w:rFonts w:hint="eastAsia" w:ascii="黑体" w:hAnsi="黑体" w:eastAsia="黑体"/>
          <w:sz w:val="32"/>
          <w:szCs w:val="32"/>
        </w:rPr>
        <w:t>实施标准化战略，促进企业提升竞争力</w:t>
      </w:r>
    </w:p>
    <w:p>
      <w:pPr>
        <w:adjustRightInd w:val="0"/>
        <w:snapToGrid w:val="0"/>
        <w:spacing w:line="550" w:lineRule="exact"/>
        <w:ind w:firstLine="640" w:firstLineChars="200"/>
        <w:rPr>
          <w:rFonts w:ascii="仿宋_GB2312" w:eastAsia="仿宋_GB2312"/>
          <w:sz w:val="32"/>
          <w:szCs w:val="32"/>
        </w:rPr>
      </w:pPr>
      <w:r>
        <w:rPr>
          <w:rFonts w:hint="eastAsia" w:ascii="楷体_GB2312" w:hAnsi="楷体" w:eastAsia="楷体_GB2312"/>
          <w:sz w:val="32"/>
          <w:szCs w:val="32"/>
        </w:rPr>
        <w:t>第</w:t>
      </w:r>
      <w:r>
        <w:rPr>
          <w:rFonts w:hint="eastAsia" w:ascii="楷体_GB2312" w:hAnsi="楷体" w:eastAsia="楷体_GB2312"/>
          <w:color w:val="000000" w:themeColor="text1"/>
          <w:sz w:val="32"/>
          <w:szCs w:val="32"/>
          <w:lang w:eastAsia="zh-CN"/>
          <w14:textFill>
            <w14:solidFill>
              <w14:schemeClr w14:val="tx1"/>
            </w14:solidFill>
          </w14:textFill>
        </w:rPr>
        <w:t>十七</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鼓励单位</w:t>
      </w:r>
      <w:r>
        <w:rPr>
          <w:rFonts w:hint="eastAsia" w:ascii="仿宋_GB2312" w:eastAsia="仿宋_GB2312"/>
          <w:sz w:val="32"/>
          <w:szCs w:val="32"/>
        </w:rPr>
        <w:t>积极承担国际国内标准化专业技术委员会工作。对相关单位按以下标准给予资助：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对承担国际标准化专业技术委员会（TC）秘书处及其分技术委员会（SC）秘书处和工作组（WG）工作的</w:t>
      </w:r>
      <w:r>
        <w:rPr>
          <w:rFonts w:hint="eastAsia" w:ascii="仿宋_GB2312" w:eastAsia="仿宋_GB2312"/>
          <w:sz w:val="32"/>
          <w:szCs w:val="32"/>
          <w:lang w:eastAsia="zh-CN"/>
        </w:rPr>
        <w:t>单位</w:t>
      </w:r>
      <w:r>
        <w:rPr>
          <w:rFonts w:hint="eastAsia" w:ascii="仿宋_GB2312" w:eastAsia="仿宋_GB2312"/>
          <w:sz w:val="32"/>
          <w:szCs w:val="32"/>
        </w:rPr>
        <w:t>，分别按20万元、15万元、5万元的标准给予资助；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对承担全国标准化专业技术委员会（TC）秘书处及其分技术委员会（SC）秘书处和工作组（WG）工作的</w:t>
      </w:r>
      <w:r>
        <w:rPr>
          <w:rFonts w:hint="eastAsia" w:ascii="仿宋_GB2312" w:eastAsia="仿宋_GB2312"/>
          <w:sz w:val="32"/>
          <w:szCs w:val="32"/>
          <w:lang w:eastAsia="zh-CN"/>
        </w:rPr>
        <w:t>单位</w:t>
      </w:r>
      <w:r>
        <w:rPr>
          <w:rFonts w:hint="eastAsia" w:ascii="仿宋_GB2312" w:eastAsia="仿宋_GB2312"/>
          <w:sz w:val="32"/>
          <w:szCs w:val="32"/>
        </w:rPr>
        <w:t>，分别按10万元、5万元、2.5万元的标准分给予资助；</w:t>
      </w:r>
    </w:p>
    <w:p>
      <w:pPr>
        <w:adjustRightInd w:val="0"/>
        <w:snapToGrid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对承担深圳市标准化专业技术委员会（TC）秘书处工作的</w:t>
      </w:r>
      <w:r>
        <w:rPr>
          <w:rFonts w:hint="eastAsia" w:ascii="仿宋_GB2312" w:eastAsia="仿宋_GB2312"/>
          <w:sz w:val="32"/>
          <w:szCs w:val="32"/>
          <w:lang w:eastAsia="zh-CN"/>
        </w:rPr>
        <w:t>单位</w:t>
      </w:r>
      <w:r>
        <w:rPr>
          <w:rFonts w:hint="eastAsia" w:ascii="仿宋_GB2312" w:eastAsia="仿宋_GB2312"/>
          <w:sz w:val="32"/>
          <w:szCs w:val="32"/>
        </w:rPr>
        <w:t>，</w:t>
      </w:r>
      <w:r>
        <w:rPr>
          <w:rFonts w:hint="eastAsia" w:ascii="仿宋_GB2312" w:eastAsia="仿宋_GB2312"/>
          <w:sz w:val="32"/>
          <w:szCs w:val="32"/>
          <w:lang w:eastAsia="zh-CN"/>
        </w:rPr>
        <w:t>按</w:t>
      </w:r>
      <w:r>
        <w:rPr>
          <w:rFonts w:hint="eastAsia" w:ascii="仿宋_GB2312" w:eastAsia="仿宋_GB2312"/>
          <w:sz w:val="32"/>
          <w:szCs w:val="32"/>
        </w:rPr>
        <w:t>5万元的标准给予资助；</w:t>
      </w:r>
    </w:p>
    <w:p>
      <w:pPr>
        <w:adjustRightInd w:val="0"/>
        <w:snapToGrid w:val="0"/>
        <w:spacing w:line="55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（四）对同时承担多个上述委员会工作的单位，按项目数分别给予资助。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对担任国际标准化专业技术委员会（TC）秘书处及其分技术委员会（SC）秘书处和工作组（WG）委员所在</w:t>
      </w:r>
      <w:r>
        <w:rPr>
          <w:rFonts w:hint="eastAsia" w:ascii="仿宋_GB2312" w:eastAsia="仿宋_GB2312"/>
          <w:sz w:val="32"/>
          <w:szCs w:val="32"/>
          <w:lang w:eastAsia="zh-CN"/>
        </w:rPr>
        <w:t>单位</w:t>
      </w:r>
      <w:r>
        <w:rPr>
          <w:rFonts w:hint="eastAsia" w:ascii="仿宋_GB2312" w:eastAsia="仿宋_GB2312"/>
          <w:sz w:val="32"/>
          <w:szCs w:val="32"/>
        </w:rPr>
        <w:t>，分别按每个委员给予2万元、1.5万元、5000元的资助；对担任全国标准化专业技术委员会（TC）秘书处及其分技术委员会（SC）秘书处和工作组（WG）委员所在</w:t>
      </w:r>
      <w:r>
        <w:rPr>
          <w:rFonts w:hint="eastAsia" w:ascii="仿宋_GB2312" w:eastAsia="仿宋_GB2312"/>
          <w:sz w:val="32"/>
          <w:szCs w:val="32"/>
          <w:lang w:eastAsia="zh-CN"/>
        </w:rPr>
        <w:t>单位</w:t>
      </w:r>
      <w:r>
        <w:rPr>
          <w:rFonts w:hint="eastAsia" w:ascii="仿宋_GB2312" w:eastAsia="仿宋_GB2312"/>
          <w:sz w:val="32"/>
          <w:szCs w:val="32"/>
        </w:rPr>
        <w:t>，分别按每个委员给予1万元、</w:t>
      </w:r>
      <w:r>
        <w:rPr>
          <w:rFonts w:hint="eastAsia" w:ascii="仿宋_GB2312" w:eastAsia="仿宋_GB2312"/>
          <w:sz w:val="32"/>
          <w:szCs w:val="32"/>
          <w:lang w:val="en-US" w:eastAsia="zh-CN"/>
        </w:rPr>
        <w:t>0.5万</w:t>
      </w:r>
      <w:r>
        <w:rPr>
          <w:rFonts w:hint="eastAsia" w:ascii="仿宋_GB2312" w:eastAsia="仿宋_GB2312"/>
          <w:sz w:val="32"/>
          <w:szCs w:val="32"/>
        </w:rPr>
        <w:t>元、</w:t>
      </w:r>
      <w:r>
        <w:rPr>
          <w:rFonts w:hint="eastAsia" w:ascii="仿宋_GB2312" w:eastAsia="仿宋_GB2312"/>
          <w:sz w:val="32"/>
          <w:szCs w:val="32"/>
          <w:lang w:val="en-US" w:eastAsia="zh-CN"/>
        </w:rPr>
        <w:t>0.25万</w:t>
      </w:r>
      <w:r>
        <w:rPr>
          <w:rFonts w:hint="eastAsia" w:ascii="仿宋_GB2312" w:eastAsia="仿宋_GB2312"/>
          <w:sz w:val="32"/>
          <w:szCs w:val="32"/>
        </w:rPr>
        <w:t>元的资助。已获得上述（一）、（二）项资助的</w:t>
      </w:r>
      <w:r>
        <w:rPr>
          <w:rFonts w:hint="eastAsia" w:ascii="仿宋_GB2312" w:eastAsia="仿宋_GB2312"/>
          <w:sz w:val="32"/>
          <w:szCs w:val="32"/>
          <w:lang w:eastAsia="zh-CN"/>
        </w:rPr>
        <w:t>单位</w:t>
      </w:r>
      <w:r>
        <w:rPr>
          <w:rFonts w:hint="eastAsia" w:ascii="仿宋_GB2312" w:eastAsia="仿宋_GB2312"/>
          <w:sz w:val="32"/>
          <w:szCs w:val="32"/>
        </w:rPr>
        <w:t>除外。</w:t>
      </w:r>
    </w:p>
    <w:p>
      <w:pPr>
        <w:adjustRightInd w:val="0"/>
        <w:snapToGrid w:val="0"/>
        <w:spacing w:line="550" w:lineRule="exact"/>
        <w:ind w:firstLine="640" w:firstLineChars="200"/>
        <w:rPr>
          <w:rFonts w:ascii="仿宋_GB2312" w:eastAsia="仿宋_GB2312"/>
          <w:sz w:val="32"/>
          <w:szCs w:val="32"/>
        </w:rPr>
      </w:pPr>
      <w:r>
        <w:rPr>
          <w:rFonts w:hint="eastAsia" w:ascii="楷体_GB2312" w:hAnsi="楷体" w:eastAsia="楷体_GB2312"/>
          <w:sz w:val="32"/>
          <w:szCs w:val="32"/>
        </w:rPr>
        <w:t>第</w:t>
      </w:r>
      <w:r>
        <w:rPr>
          <w:rFonts w:hint="eastAsia" w:ascii="楷体_GB2312" w:hAnsi="楷体" w:eastAsia="楷体_GB2312"/>
          <w:color w:val="000000" w:themeColor="text1"/>
          <w:sz w:val="32"/>
          <w:szCs w:val="32"/>
          <w:lang w:eastAsia="zh-CN"/>
          <w14:textFill>
            <w14:solidFill>
              <w14:schemeClr w14:val="tx1"/>
            </w14:solidFill>
          </w14:textFill>
        </w:rPr>
        <w:t>十八</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鼓励单</w:t>
      </w:r>
      <w:r>
        <w:rPr>
          <w:rFonts w:hint="eastAsia" w:ascii="仿宋_GB2312" w:eastAsia="仿宋_GB2312"/>
          <w:sz w:val="32"/>
          <w:szCs w:val="32"/>
        </w:rPr>
        <w:t>位积极参与或主导标准制定。对已完成的标准研制项目按以下标准给予资助：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国际标准</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主导国际标准制定的，按项目给予25万元的资助；主导国际标准修订的，按项目给予10万元的资助。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国家标准</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主导国家标准制定的，按项目给予15万元的资助；主导国家标准修订的，按项目给予5万元的资助。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行业标准</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主导行业标准制定的，按项目给予7.5万元的资助；主导行业标准修订的，按项目给予2.5万元的资助。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广东省地方标准</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主导广东省地方标准制定的，按项目给予7.5万元的资助；主导广东省地方标准修订的，按项目给予2.5万元的资助。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深圳市技术标准（包括深圳经济特区技术规范、深圳市标准化指导性技术文件和深圳市农业地方标准等）</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主导深圳经济特区技术规范、深圳市标准化指导性技术文件、深圳市农业地方标准制定的，按项目分别给予5万元、3万元、2万元的资助；主导深圳经济特区技术规范、深圳市标准化指导性技术文件、深圳市农业地方标准修订的，按项目分别给予2.5万元、1.5万元、1万元的资助。</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深圳市团体标准</w:t>
      </w:r>
    </w:p>
    <w:p>
      <w:pPr>
        <w:adjustRightInd w:val="0"/>
        <w:snapToGrid w:val="0"/>
        <w:spacing w:line="550" w:lineRule="exact"/>
        <w:ind w:firstLine="640" w:firstLineChars="200"/>
        <w:rPr>
          <w:rFonts w:ascii="仿宋_GB2312" w:eastAsia="仿宋_GB2312"/>
          <w:sz w:val="32"/>
          <w:szCs w:val="32"/>
        </w:rPr>
      </w:pPr>
      <w:r>
        <w:rPr>
          <w:rFonts w:hint="eastAsia" w:ascii="仿宋_GB2312" w:hAnsi="Segoe UI" w:eastAsia="仿宋_GB2312" w:cs="Segoe UI"/>
          <w:color w:val="000000"/>
          <w:sz w:val="32"/>
          <w:szCs w:val="32"/>
        </w:rPr>
        <w:t>主导深圳市团体标准制定的，且该团体标准由社会团体或产业联盟发布、有效实施一年以上并已在深圳市标准信息平台上自我声明公开，经专家评审通过后按项目给予5万元的资助。</w:t>
      </w:r>
      <w:r>
        <w:rPr>
          <w:rFonts w:ascii="Segoe UI" w:hAnsi="Segoe UI" w:cs="Segoe UI"/>
          <w:color w:val="000000"/>
          <w:sz w:val="20"/>
          <w:szCs w:val="20"/>
        </w:rPr>
        <w:t> </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企业产品标准</w:t>
      </w:r>
    </w:p>
    <w:p>
      <w:pPr>
        <w:adjustRightInd w:val="0"/>
        <w:snapToGrid w:val="0"/>
        <w:spacing w:line="550" w:lineRule="exact"/>
        <w:ind w:firstLine="640" w:firstLineChars="200"/>
        <w:rPr>
          <w:rFonts w:ascii="仿宋_GB2312" w:eastAsia="仿宋_GB2312"/>
          <w:sz w:val="32"/>
          <w:szCs w:val="32"/>
        </w:rPr>
      </w:pPr>
      <w:r>
        <w:rPr>
          <w:rFonts w:hint="eastAsia" w:ascii="仿宋_GB2312" w:eastAsia="仿宋_GB2312"/>
          <w:sz w:val="32"/>
          <w:szCs w:val="32"/>
        </w:rPr>
        <w:t>每个由专利转化而成的企业产品标准</w:t>
      </w:r>
      <w:r>
        <w:rPr>
          <w:rFonts w:hint="eastAsia" w:ascii="仿宋_GB2312" w:eastAsia="仿宋_GB2312"/>
          <w:sz w:val="32"/>
          <w:szCs w:val="32"/>
          <w:lang w:eastAsia="zh-CN"/>
        </w:rPr>
        <w:t>，</w:t>
      </w:r>
      <w:r>
        <w:rPr>
          <w:rFonts w:hint="eastAsia" w:ascii="仿宋_GB2312" w:eastAsia="仿宋_GB2312"/>
          <w:sz w:val="32"/>
          <w:szCs w:val="32"/>
        </w:rPr>
        <w:t>给予</w:t>
      </w:r>
      <w:r>
        <w:rPr>
          <w:rFonts w:hint="eastAsia" w:ascii="仿宋_GB2312" w:eastAsia="仿宋_GB2312"/>
          <w:sz w:val="32"/>
          <w:szCs w:val="32"/>
          <w:lang w:val="en-US" w:eastAsia="zh-CN"/>
        </w:rPr>
        <w:t>0.5万</w:t>
      </w:r>
      <w:r>
        <w:rPr>
          <w:rFonts w:hint="eastAsia" w:ascii="仿宋_GB2312" w:eastAsia="仿宋_GB2312"/>
          <w:sz w:val="32"/>
          <w:szCs w:val="32"/>
        </w:rPr>
        <w:t>元的资助，单个企业总资助额度不超过5万元。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对参与标准制定、修订的，按照上述主导制定、修订资助额度的50％对项目进行资助。如果同一项目有多个单位共同参与制定、修订的，资助资金由各参与单位协商分配</w:t>
      </w:r>
      <w:r>
        <w:rPr>
          <w:rFonts w:hint="eastAsia" w:ascii="仿宋_GB2312" w:eastAsia="仿宋_GB2312"/>
          <w:sz w:val="32"/>
          <w:szCs w:val="32"/>
          <w:lang w:eastAsia="zh-CN"/>
        </w:rPr>
        <w:t>，达成一致后给予资助</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对已完成的</w:t>
      </w:r>
      <w:r>
        <w:rPr>
          <w:rFonts w:hint="eastAsia" w:ascii="仿宋_GB2312" w:eastAsia="仿宋_GB2312"/>
          <w:sz w:val="32"/>
          <w:szCs w:val="32"/>
          <w:lang w:eastAsia="zh-CN"/>
        </w:rPr>
        <w:t>上述各类</w:t>
      </w:r>
      <w:r>
        <w:rPr>
          <w:rFonts w:hint="eastAsia" w:ascii="仿宋_GB2312" w:eastAsia="仿宋_GB2312"/>
          <w:sz w:val="32"/>
          <w:szCs w:val="32"/>
        </w:rPr>
        <w:t>标准研制项目，同一家单位每年度的资助金额不超过100万元。</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十九</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鼓励</w:t>
      </w:r>
      <w:r>
        <w:rPr>
          <w:rFonts w:hint="eastAsia" w:ascii="仿宋_GB2312" w:eastAsia="仿宋_GB2312"/>
          <w:sz w:val="32"/>
          <w:szCs w:val="32"/>
        </w:rPr>
        <w:t>单位和个人在龙华区承办国际标准化组织年会和学术研讨会及重大国际标准化学术活动。经</w:t>
      </w:r>
      <w:r>
        <w:rPr>
          <w:rFonts w:hint="eastAsia" w:ascii="仿宋_GB2312" w:eastAsia="仿宋_GB2312"/>
          <w:sz w:val="32"/>
          <w:szCs w:val="32"/>
          <w:lang w:eastAsia="zh-CN"/>
        </w:rPr>
        <w:t>区标准化行政</w:t>
      </w:r>
      <w:r>
        <w:rPr>
          <w:rFonts w:hint="eastAsia" w:ascii="仿宋_GB2312" w:eastAsia="仿宋_GB2312"/>
          <w:sz w:val="32"/>
          <w:szCs w:val="32"/>
        </w:rPr>
        <w:t>主管部门批准，根据实际支出</w:t>
      </w:r>
      <w:r>
        <w:rPr>
          <w:rFonts w:hint="eastAsia" w:ascii="仿宋_GB2312" w:eastAsia="仿宋_GB2312"/>
          <w:sz w:val="32"/>
          <w:szCs w:val="32"/>
          <w:lang w:eastAsia="zh-CN"/>
        </w:rPr>
        <w:t>（含材料费、会议费、专家咨询费、宣传推广费及本项目所必须的其他费用开支，需列出明细类别）</w:t>
      </w:r>
      <w:r>
        <w:rPr>
          <w:rFonts w:hint="eastAsia" w:ascii="仿宋_GB2312" w:eastAsia="仿宋_GB2312"/>
          <w:sz w:val="32"/>
          <w:szCs w:val="32"/>
        </w:rPr>
        <w:t>等额给予资助，</w:t>
      </w:r>
      <w:r>
        <w:rPr>
          <w:rFonts w:hint="eastAsia" w:ascii="仿宋_GB2312" w:eastAsia="仿宋_GB2312"/>
          <w:sz w:val="32"/>
          <w:szCs w:val="32"/>
          <w:lang w:eastAsia="zh-CN"/>
        </w:rPr>
        <w:t>且</w:t>
      </w:r>
      <w:r>
        <w:rPr>
          <w:rFonts w:hint="eastAsia" w:ascii="仿宋_GB2312" w:eastAsia="仿宋_GB2312"/>
          <w:sz w:val="32"/>
          <w:szCs w:val="32"/>
        </w:rPr>
        <w:t>资助每次不超过5万元。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同一家单位在同一年度内承担多项学术活动的，经</w:t>
      </w:r>
      <w:r>
        <w:rPr>
          <w:rFonts w:hint="eastAsia" w:ascii="仿宋_GB2312" w:eastAsia="仿宋_GB2312"/>
          <w:sz w:val="32"/>
          <w:szCs w:val="32"/>
          <w:lang w:eastAsia="zh-CN"/>
        </w:rPr>
        <w:t>区标准化行政</w:t>
      </w:r>
      <w:r>
        <w:rPr>
          <w:rFonts w:hint="eastAsia" w:ascii="仿宋_GB2312" w:eastAsia="仿宋_GB2312"/>
          <w:sz w:val="32"/>
          <w:szCs w:val="32"/>
        </w:rPr>
        <w:t>主管部门批准后</w:t>
      </w:r>
      <w:r>
        <w:rPr>
          <w:rFonts w:hint="eastAsia" w:ascii="仿宋_GB2312" w:eastAsia="仿宋_GB2312"/>
          <w:sz w:val="32"/>
          <w:szCs w:val="32"/>
          <w:lang w:eastAsia="zh-CN"/>
        </w:rPr>
        <w:t>，第一项按前款资助，第二项起按</w:t>
      </w:r>
      <w:r>
        <w:rPr>
          <w:rFonts w:hint="eastAsia" w:ascii="仿宋_GB2312" w:eastAsia="仿宋_GB2312"/>
          <w:sz w:val="32"/>
          <w:szCs w:val="32"/>
        </w:rPr>
        <w:t>实际费用50%</w:t>
      </w:r>
      <w:r>
        <w:rPr>
          <w:rFonts w:hint="eastAsia" w:ascii="仿宋_GB2312" w:eastAsia="仿宋_GB2312"/>
          <w:sz w:val="32"/>
          <w:szCs w:val="32"/>
          <w:lang w:eastAsia="zh-CN"/>
        </w:rPr>
        <w:t>的标准</w:t>
      </w:r>
      <w:r>
        <w:rPr>
          <w:rFonts w:hint="eastAsia" w:ascii="仿宋_GB2312" w:eastAsia="仿宋_GB2312"/>
          <w:sz w:val="32"/>
          <w:szCs w:val="32"/>
        </w:rPr>
        <w:t>给予资助</w:t>
      </w:r>
      <w:r>
        <w:rPr>
          <w:rFonts w:hint="eastAsia" w:ascii="仿宋_GB2312" w:eastAsia="仿宋_GB2312"/>
          <w:sz w:val="32"/>
          <w:szCs w:val="32"/>
          <w:lang w:eastAsia="zh-CN"/>
        </w:rPr>
        <w:t>，且年度资助总额不超过</w:t>
      </w:r>
      <w:r>
        <w:rPr>
          <w:rFonts w:hint="eastAsia" w:ascii="仿宋_GB2312" w:eastAsia="仿宋_GB2312"/>
          <w:sz w:val="32"/>
          <w:szCs w:val="32"/>
        </w:rPr>
        <w:t>50万元。</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二十</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鼓励企业积</w:t>
      </w:r>
      <w:r>
        <w:rPr>
          <w:rFonts w:hint="eastAsia" w:ascii="仿宋_GB2312" w:eastAsia="仿宋_GB2312"/>
          <w:sz w:val="32"/>
          <w:szCs w:val="32"/>
        </w:rPr>
        <w:t>极开展标准化良好行为企业的创建。对获得标准化良好行为认定的企业予以资助的条件及标准如下：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对获得A、AA、AAA、AAAA认定的标准化良好行为企业分别给予1.5万元、3万元、6万元、12万元资助，每个企业从A类到AAAA类标准化良好行为的认定过程中，高类别资助应扣除低类别的资助，总资助额度不超过12万元。</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二十一</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鼓励企业</w:t>
      </w:r>
      <w:r>
        <w:rPr>
          <w:rFonts w:hint="eastAsia" w:ascii="仿宋_GB2312" w:eastAsia="仿宋_GB2312"/>
          <w:sz w:val="32"/>
          <w:szCs w:val="32"/>
        </w:rPr>
        <w:t>积极采用国际标准和国外先进标准。对已采用国际标准和国外先</w:t>
      </w:r>
      <w:bookmarkStart w:id="1" w:name="_GoBack"/>
      <w:bookmarkEnd w:id="1"/>
      <w:r>
        <w:rPr>
          <w:rFonts w:hint="eastAsia" w:ascii="仿宋_GB2312" w:eastAsia="仿宋_GB2312"/>
          <w:sz w:val="32"/>
          <w:szCs w:val="32"/>
        </w:rPr>
        <w:t>进标准的企业予以资助的条件及标准如下：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获得《广东省采用国际标准产品认可证书》的企业每张证书分别给</w:t>
      </w:r>
      <w:r>
        <w:rPr>
          <w:rFonts w:hint="eastAsia" w:ascii="仿宋_GB2312" w:eastAsia="仿宋_GB2312"/>
          <w:sz w:val="32"/>
          <w:szCs w:val="32"/>
          <w:lang w:val="en-US" w:eastAsia="zh-CN"/>
        </w:rPr>
        <w:t>0.5万</w:t>
      </w:r>
      <w:r>
        <w:rPr>
          <w:rFonts w:hint="eastAsia" w:ascii="仿宋_GB2312" w:eastAsia="仿宋_GB2312"/>
          <w:sz w:val="32"/>
          <w:szCs w:val="32"/>
        </w:rPr>
        <w:t>元的资助，每个企业总资助额度不超过5万元。</w:t>
      </w:r>
    </w:p>
    <w:p>
      <w:pPr>
        <w:adjustRightInd w:val="0"/>
        <w:snapToGrid w:val="0"/>
        <w:spacing w:line="550" w:lineRule="exact"/>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第七章  质量示范企业资助内容</w:t>
      </w:r>
    </w:p>
    <w:p>
      <w:pPr>
        <w:adjustRightInd w:val="0"/>
        <w:snapToGrid w:val="0"/>
        <w:spacing w:line="55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rPr>
        <w:t>实施</w:t>
      </w:r>
      <w:r>
        <w:rPr>
          <w:rFonts w:hint="eastAsia" w:ascii="黑体" w:hAnsi="黑体" w:eastAsia="黑体"/>
          <w:sz w:val="32"/>
          <w:szCs w:val="32"/>
          <w:lang w:eastAsia="zh-CN"/>
        </w:rPr>
        <w:t>质量示范企业资助</w:t>
      </w:r>
      <w:r>
        <w:rPr>
          <w:rFonts w:hint="eastAsia" w:ascii="黑体" w:hAnsi="黑体" w:eastAsia="黑体"/>
          <w:sz w:val="32"/>
          <w:szCs w:val="32"/>
        </w:rPr>
        <w:t>，促进企业提升</w:t>
      </w:r>
      <w:r>
        <w:rPr>
          <w:rFonts w:hint="eastAsia" w:ascii="黑体" w:hAnsi="黑体" w:eastAsia="黑体"/>
          <w:sz w:val="32"/>
          <w:szCs w:val="32"/>
          <w:lang w:eastAsia="zh-CN"/>
        </w:rPr>
        <w:t>质量水平</w:t>
      </w:r>
    </w:p>
    <w:p>
      <w:pPr>
        <w:adjustRightInd w:val="0"/>
        <w:snapToGrid w:val="0"/>
        <w:spacing w:line="560" w:lineRule="exact"/>
        <w:ind w:firstLine="640" w:firstLineChars="200"/>
        <w:rPr>
          <w:rFonts w:hint="eastAsia" w:ascii="仿宋_GB2312" w:eastAsia="仿宋_GB2312"/>
          <w:color w:val="auto"/>
          <w:sz w:val="32"/>
          <w:szCs w:val="32"/>
          <w:lang w:val="en-US" w:eastAsia="zh-CN"/>
        </w:rPr>
      </w:pPr>
      <w:r>
        <w:rPr>
          <w:rFonts w:hint="eastAsia" w:ascii="楷体_GB2312" w:hAnsi="楷体" w:eastAsia="楷体_GB2312"/>
          <w:color w:val="auto"/>
          <w:sz w:val="32"/>
          <w:szCs w:val="32"/>
          <w:lang w:eastAsia="zh-CN"/>
        </w:rPr>
        <w:t xml:space="preserve">第二十二条 </w:t>
      </w:r>
      <w:r>
        <w:rPr>
          <w:rFonts w:hint="eastAsia" w:ascii="楷体_GB2312" w:hAnsi="楷体" w:eastAsia="楷体_GB2312"/>
          <w:color w:val="auto"/>
          <w:sz w:val="32"/>
          <w:szCs w:val="32"/>
        </w:rPr>
        <w:t xml:space="preserve"> </w:t>
      </w:r>
      <w:r>
        <w:rPr>
          <w:rFonts w:hint="eastAsia" w:ascii="仿宋_GB2312" w:eastAsia="仿宋_GB2312"/>
          <w:color w:val="auto"/>
          <w:sz w:val="32"/>
          <w:szCs w:val="32"/>
          <w:lang w:val="en-US" w:eastAsia="zh-CN"/>
        </w:rPr>
        <w:t>龙华区</w:t>
      </w:r>
      <w:r>
        <w:rPr>
          <w:rFonts w:hint="eastAsia" w:ascii="仿宋_GB2312" w:eastAsia="仿宋_GB2312"/>
          <w:color w:val="auto"/>
          <w:sz w:val="32"/>
          <w:szCs w:val="32"/>
        </w:rPr>
        <w:t>质量示范企业</w:t>
      </w:r>
      <w:r>
        <w:rPr>
          <w:rFonts w:hint="eastAsia" w:ascii="仿宋_GB2312" w:eastAsia="仿宋_GB2312"/>
          <w:color w:val="auto"/>
          <w:sz w:val="32"/>
          <w:szCs w:val="32"/>
          <w:lang w:eastAsia="zh-CN"/>
        </w:rPr>
        <w:t>应符合以下条件</w:t>
      </w:r>
      <w:r>
        <w:rPr>
          <w:rFonts w:hint="eastAsia" w:ascii="仿宋_GB2312" w:eastAsia="仿宋_GB2312"/>
          <w:color w:val="auto"/>
          <w:sz w:val="32"/>
          <w:szCs w:val="32"/>
          <w:lang w:val="en-US" w:eastAsia="zh-CN"/>
        </w:rPr>
        <w:t>:</w:t>
      </w:r>
    </w:p>
    <w:p>
      <w:pPr>
        <w:numPr>
          <w:ilvl w:val="0"/>
          <w:numId w:val="1"/>
        </w:numPr>
        <w:adjustRightInd w:val="0"/>
        <w:snapToGrid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在深圳市</w:t>
      </w:r>
      <w:r>
        <w:rPr>
          <w:rFonts w:hint="eastAsia" w:ascii="仿宋_GB2312" w:eastAsia="仿宋_GB2312"/>
          <w:color w:val="auto"/>
          <w:sz w:val="32"/>
          <w:szCs w:val="32"/>
          <w:lang w:val="en-US" w:eastAsia="zh-CN"/>
        </w:rPr>
        <w:t>龙华行</w:t>
      </w:r>
      <w:r>
        <w:rPr>
          <w:rFonts w:hint="eastAsia" w:ascii="仿宋_GB2312" w:eastAsia="仿宋_GB2312"/>
          <w:color w:val="auto"/>
          <w:sz w:val="32"/>
          <w:szCs w:val="32"/>
          <w:lang w:eastAsia="zh-CN"/>
        </w:rPr>
        <w:t>政区域内登记注册3年以上；</w:t>
      </w:r>
    </w:p>
    <w:p>
      <w:pPr>
        <w:numPr>
          <w:ilvl w:val="0"/>
          <w:numId w:val="1"/>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产品质量管理先进</w:t>
      </w:r>
      <w:r>
        <w:rPr>
          <w:rFonts w:hint="eastAsia" w:ascii="仿宋_GB2312" w:eastAsia="仿宋_GB2312"/>
          <w:color w:val="auto"/>
          <w:sz w:val="32"/>
          <w:szCs w:val="32"/>
          <w:lang w:eastAsia="zh-CN"/>
        </w:rPr>
        <w:t>，</w:t>
      </w:r>
      <w:r>
        <w:rPr>
          <w:rFonts w:hint="eastAsia" w:ascii="仿宋_GB2312" w:eastAsia="仿宋_GB2312"/>
          <w:color w:val="auto"/>
          <w:sz w:val="32"/>
          <w:szCs w:val="32"/>
        </w:rPr>
        <w:t>产品质量达到国际先进水平</w:t>
      </w:r>
      <w:r>
        <w:rPr>
          <w:rFonts w:hint="eastAsia" w:ascii="仿宋_GB2312" w:eastAsia="仿宋_GB2312"/>
          <w:color w:val="auto"/>
          <w:sz w:val="32"/>
          <w:szCs w:val="32"/>
          <w:lang w:eastAsia="zh-CN"/>
        </w:rPr>
        <w:t>，</w:t>
      </w:r>
      <w:r>
        <w:rPr>
          <w:rFonts w:hint="eastAsia" w:ascii="仿宋_GB2312" w:eastAsia="仿宋_GB2312"/>
          <w:color w:val="auto"/>
          <w:sz w:val="32"/>
          <w:szCs w:val="32"/>
        </w:rPr>
        <w:t>具有突出的经营业绩或者社会贡献；</w:t>
      </w:r>
    </w:p>
    <w:p>
      <w:pPr>
        <w:numPr>
          <w:ilvl w:val="0"/>
          <w:numId w:val="1"/>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符合国家产业、环保、质量等政策，质量管理体系健全，近1年没有因违反行业政策法规、人力资源和社会保障法律法规受到行政处罚的不良记录，近3年没有安全生产较大及以上级别责任事故以及环保严重失信行为记录</w:t>
      </w:r>
      <w:r>
        <w:rPr>
          <w:rFonts w:hint="eastAsia" w:ascii="仿宋_GB2312" w:eastAsia="仿宋_GB2312"/>
          <w:color w:val="auto"/>
          <w:sz w:val="32"/>
          <w:szCs w:val="32"/>
          <w:lang w:eastAsia="zh-CN"/>
        </w:rPr>
        <w:t>。</w:t>
      </w:r>
      <w:r>
        <w:rPr>
          <w:rFonts w:hint="eastAsia" w:ascii="仿宋_GB2312" w:eastAsia="仿宋_GB2312"/>
          <w:color w:val="auto"/>
          <w:sz w:val="32"/>
          <w:szCs w:val="32"/>
        </w:rPr>
        <w:t>其中，营利性组织属于</w:t>
      </w:r>
      <w:r>
        <w:rPr>
          <w:rFonts w:hint="eastAsia" w:ascii="仿宋_GB2312" w:eastAsia="仿宋_GB2312"/>
          <w:color w:val="auto"/>
          <w:sz w:val="32"/>
          <w:szCs w:val="32"/>
          <w:lang w:val="en-US" w:eastAsia="zh-CN"/>
        </w:rPr>
        <w:t>深圳市</w:t>
      </w:r>
      <w:r>
        <w:rPr>
          <w:rFonts w:hint="eastAsia" w:ascii="仿宋_GB2312" w:eastAsia="仿宋_GB2312"/>
          <w:color w:val="auto"/>
          <w:sz w:val="32"/>
          <w:szCs w:val="32"/>
        </w:rPr>
        <w:t>战略性新兴产业、未来产业等政策扶持行业的，</w:t>
      </w:r>
      <w:r>
        <w:rPr>
          <w:rFonts w:hint="eastAsia" w:ascii="仿宋_GB2312" w:eastAsia="仿宋_GB2312"/>
          <w:color w:val="auto"/>
          <w:sz w:val="32"/>
          <w:szCs w:val="32"/>
          <w:lang w:val="en-US" w:eastAsia="zh-CN"/>
        </w:rPr>
        <w:t>应</w:t>
      </w:r>
      <w:r>
        <w:rPr>
          <w:rFonts w:hint="eastAsia" w:ascii="仿宋_GB2312" w:eastAsia="仿宋_GB2312"/>
          <w:color w:val="auto"/>
          <w:sz w:val="32"/>
          <w:szCs w:val="32"/>
        </w:rPr>
        <w:t>居于行业领先地位；属于其他行业的，其上年度营业收入、利润总额等主要经济效益指标位居</w:t>
      </w:r>
      <w:r>
        <w:rPr>
          <w:rFonts w:hint="eastAsia" w:ascii="仿宋_GB2312" w:eastAsia="仿宋_GB2312"/>
          <w:color w:val="auto"/>
          <w:sz w:val="32"/>
          <w:szCs w:val="32"/>
          <w:lang w:val="en-US" w:eastAsia="zh-CN"/>
        </w:rPr>
        <w:t>辖</w:t>
      </w:r>
      <w:r>
        <w:rPr>
          <w:rFonts w:hint="eastAsia" w:ascii="仿宋_GB2312" w:eastAsia="仿宋_GB2312"/>
          <w:color w:val="auto"/>
          <w:sz w:val="32"/>
          <w:szCs w:val="32"/>
        </w:rPr>
        <w:t>区内同行业前列</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且</w:t>
      </w:r>
      <w:r>
        <w:rPr>
          <w:rFonts w:hint="eastAsia" w:ascii="仿宋_GB2312" w:eastAsia="仿宋_GB2312"/>
          <w:color w:val="auto"/>
          <w:sz w:val="32"/>
          <w:szCs w:val="32"/>
          <w:lang w:eastAsia="zh-CN"/>
        </w:rPr>
        <w:t>最近3年未发生亏损</w:t>
      </w:r>
      <w:r>
        <w:rPr>
          <w:rFonts w:hint="eastAsia" w:ascii="仿宋_GB2312" w:eastAsia="仿宋_GB2312"/>
          <w:color w:val="auto"/>
          <w:sz w:val="32"/>
          <w:szCs w:val="32"/>
        </w:rPr>
        <w:t>；非营利性组织社会贡献突出并获业务主管（指导）部门或登记管理部门推荐。</w:t>
      </w:r>
    </w:p>
    <w:p>
      <w:pPr>
        <w:numPr>
          <w:numId w:val="0"/>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具体</w:t>
      </w:r>
      <w:r>
        <w:rPr>
          <w:rFonts w:hint="eastAsia" w:ascii="仿宋_GB2312" w:eastAsia="仿宋_GB2312"/>
          <w:color w:val="auto"/>
          <w:sz w:val="32"/>
          <w:szCs w:val="32"/>
          <w:lang w:eastAsia="zh-CN"/>
        </w:rPr>
        <w:t>评定标准</w:t>
      </w:r>
      <w:r>
        <w:rPr>
          <w:rFonts w:hint="eastAsia" w:ascii="仿宋_GB2312" w:eastAsia="仿宋_GB2312"/>
          <w:color w:val="auto"/>
          <w:sz w:val="32"/>
          <w:szCs w:val="32"/>
        </w:rPr>
        <w:t>参照深圳市市长质量奖评定标准</w:t>
      </w:r>
      <w:r>
        <w:rPr>
          <w:rFonts w:hint="eastAsia" w:ascii="仿宋_GB2312" w:eastAsia="仿宋_GB2312"/>
          <w:color w:val="auto"/>
          <w:sz w:val="32"/>
          <w:szCs w:val="32"/>
          <w:lang w:eastAsia="zh-CN"/>
        </w:rPr>
        <w:t>（经济类），</w:t>
      </w:r>
      <w:r>
        <w:rPr>
          <w:rFonts w:hint="eastAsia" w:ascii="仿宋_GB2312" w:eastAsia="仿宋_GB2312"/>
          <w:color w:val="auto"/>
          <w:sz w:val="32"/>
          <w:szCs w:val="32"/>
        </w:rPr>
        <w:t>获得资助的企业或组织其评分不得低于</w:t>
      </w:r>
      <w:r>
        <w:rPr>
          <w:rFonts w:hint="eastAsia" w:ascii="仿宋_GB2312" w:eastAsia="仿宋_GB2312"/>
          <w:color w:val="auto"/>
          <w:sz w:val="32"/>
          <w:szCs w:val="32"/>
          <w:lang w:val="en-US" w:eastAsia="zh-CN"/>
        </w:rPr>
        <w:t>400</w:t>
      </w:r>
      <w:r>
        <w:rPr>
          <w:rFonts w:hint="eastAsia" w:ascii="仿宋_GB2312" w:eastAsia="仿宋_GB2312"/>
          <w:color w:val="auto"/>
          <w:sz w:val="32"/>
          <w:szCs w:val="32"/>
        </w:rPr>
        <w:t>分。</w:t>
      </w:r>
    </w:p>
    <w:p>
      <w:pPr>
        <w:adjustRightInd w:val="0"/>
        <w:snapToGrid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第二十三条  为树立标杆和鼓励先进，对质量</w:t>
      </w:r>
      <w:r>
        <w:rPr>
          <w:rFonts w:hint="eastAsia" w:ascii="仿宋_GB2312" w:eastAsia="仿宋_GB2312"/>
          <w:color w:val="auto"/>
          <w:sz w:val="32"/>
          <w:szCs w:val="32"/>
          <w:lang w:eastAsia="zh-CN"/>
        </w:rPr>
        <w:t>示范</w:t>
      </w:r>
      <w:r>
        <w:rPr>
          <w:rFonts w:hint="eastAsia" w:ascii="仿宋_GB2312" w:eastAsia="仿宋_GB2312"/>
          <w:color w:val="auto"/>
          <w:sz w:val="32"/>
          <w:szCs w:val="32"/>
        </w:rPr>
        <w:t>企业给予奖励。</w:t>
      </w:r>
      <w:r>
        <w:rPr>
          <w:rFonts w:hint="eastAsia" w:ascii="仿宋_GB2312" w:eastAsia="仿宋_GB2312"/>
          <w:color w:val="auto"/>
          <w:sz w:val="32"/>
          <w:szCs w:val="32"/>
          <w:lang w:eastAsia="zh-CN"/>
        </w:rPr>
        <w:t>每年</w:t>
      </w:r>
      <w:r>
        <w:rPr>
          <w:rFonts w:hint="eastAsia" w:ascii="仿宋_GB2312" w:eastAsia="仿宋_GB2312"/>
          <w:color w:val="auto"/>
          <w:sz w:val="32"/>
          <w:szCs w:val="32"/>
        </w:rPr>
        <w:t>获得资助的企业不超过</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家，每家资助30万元。财政全额拨款的获奖单位，只授予奖项荣誉，不予奖金奖励</w:t>
      </w:r>
      <w:r>
        <w:rPr>
          <w:rFonts w:hint="eastAsia" w:ascii="仿宋_GB2312" w:eastAsia="仿宋_GB2312"/>
          <w:color w:val="auto"/>
          <w:sz w:val="32"/>
          <w:szCs w:val="32"/>
          <w:lang w:eastAsia="zh-CN"/>
        </w:rPr>
        <w:t>。</w:t>
      </w:r>
    </w:p>
    <w:p>
      <w:pPr>
        <w:adjustRightInd w:val="0"/>
        <w:snapToGrid w:val="0"/>
        <w:spacing w:line="560" w:lineRule="exact"/>
        <w:jc w:val="center"/>
        <w:rPr>
          <w:rFonts w:hint="eastAsia" w:ascii="黑体" w:hAnsi="黑体" w:eastAsia="黑体"/>
          <w:b/>
          <w:bCs/>
          <w:sz w:val="32"/>
          <w:szCs w:val="32"/>
          <w:lang w:val="en-US" w:eastAsia="zh-CN"/>
        </w:rPr>
      </w:pPr>
    </w:p>
    <w:p>
      <w:pPr>
        <w:adjustRightInd w:val="0"/>
        <w:snapToGrid w:val="0"/>
        <w:spacing w:line="560" w:lineRule="exact"/>
        <w:jc w:val="center"/>
        <w:rPr>
          <w:rFonts w:ascii="黑体" w:hAnsi="黑体" w:eastAsia="黑体"/>
          <w:b/>
          <w:bCs/>
          <w:sz w:val="32"/>
          <w:szCs w:val="32"/>
        </w:rPr>
      </w:pPr>
      <w:r>
        <w:rPr>
          <w:rFonts w:hint="eastAsia" w:ascii="黑体" w:hAnsi="黑体" w:eastAsia="黑体"/>
          <w:b/>
          <w:bCs/>
          <w:sz w:val="32"/>
          <w:szCs w:val="32"/>
          <w:lang w:val="en-US" w:eastAsia="zh-CN"/>
        </w:rPr>
        <w:t xml:space="preserve">第八章 </w:t>
      </w:r>
      <w:r>
        <w:rPr>
          <w:rFonts w:hint="eastAsia" w:ascii="黑体" w:hAnsi="黑体" w:eastAsia="黑体"/>
          <w:b/>
          <w:bCs/>
          <w:sz w:val="32"/>
          <w:szCs w:val="32"/>
        </w:rPr>
        <w:t>附则</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二十四</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本</w:t>
      </w:r>
      <w:r>
        <w:rPr>
          <w:rFonts w:hint="eastAsia" w:ascii="仿宋_GB2312" w:eastAsia="仿宋_GB2312"/>
          <w:color w:val="000000" w:themeColor="text1"/>
          <w:sz w:val="32"/>
          <w:szCs w:val="32"/>
          <w:lang w:eastAsia="zh-CN"/>
          <w14:textFill>
            <w14:solidFill>
              <w14:schemeClr w14:val="tx1"/>
            </w14:solidFill>
          </w14:textFill>
        </w:rPr>
        <w:t>措施</w:t>
      </w:r>
      <w:r>
        <w:rPr>
          <w:rFonts w:hint="eastAsia" w:ascii="仿宋_GB2312" w:eastAsia="仿宋_GB2312"/>
          <w:color w:val="000000" w:themeColor="text1"/>
          <w:sz w:val="32"/>
          <w:szCs w:val="32"/>
          <w14:textFill>
            <w14:solidFill>
              <w14:schemeClr w14:val="tx1"/>
            </w14:solidFill>
          </w14:textFill>
        </w:rPr>
        <w:t>所称以上，包括本数</w:t>
      </w:r>
      <w:r>
        <w:rPr>
          <w:rFonts w:hint="eastAsia" w:ascii="仿宋_GB2312" w:eastAsia="仿宋_GB2312"/>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二十五</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同一项目，适</w:t>
      </w:r>
      <w:r>
        <w:rPr>
          <w:rFonts w:hint="eastAsia" w:ascii="仿宋_GB2312" w:eastAsia="仿宋_GB2312"/>
          <w:sz w:val="32"/>
          <w:szCs w:val="32"/>
        </w:rPr>
        <w:t>用于本措施，同时又适用龙华区现行其他</w:t>
      </w:r>
      <w:r>
        <w:rPr>
          <w:rFonts w:hint="eastAsia" w:ascii="仿宋_GB2312" w:eastAsia="仿宋_GB2312"/>
          <w:sz w:val="32"/>
          <w:szCs w:val="32"/>
          <w:lang w:eastAsia="zh-CN"/>
        </w:rPr>
        <w:t>有关</w:t>
      </w:r>
      <w:r>
        <w:rPr>
          <w:rFonts w:hint="eastAsia" w:ascii="仿宋_GB2312" w:eastAsia="仿宋_GB2312"/>
          <w:color w:val="000000" w:themeColor="text1"/>
          <w:sz w:val="32"/>
          <w:szCs w:val="32"/>
          <w14:textFill>
            <w14:solidFill>
              <w14:schemeClr w14:val="tx1"/>
            </w14:solidFill>
          </w14:textFill>
        </w:rPr>
        <w:t>知识产权、品牌、标准化战略</w:t>
      </w:r>
      <w:r>
        <w:rPr>
          <w:rFonts w:hint="eastAsia" w:ascii="仿宋_GB2312" w:eastAsia="仿宋_GB2312"/>
          <w:color w:val="000000" w:themeColor="text1"/>
          <w:sz w:val="32"/>
          <w:szCs w:val="32"/>
          <w:lang w:eastAsia="zh-CN"/>
          <w14:textFill>
            <w14:solidFill>
              <w14:schemeClr w14:val="tx1"/>
            </w14:solidFill>
          </w14:textFill>
        </w:rPr>
        <w:t>相关</w:t>
      </w:r>
      <w:r>
        <w:rPr>
          <w:rFonts w:hint="eastAsia" w:ascii="仿宋_GB2312" w:eastAsia="仿宋_GB2312"/>
          <w:sz w:val="32"/>
          <w:szCs w:val="32"/>
        </w:rPr>
        <w:t>扶持政策，从高执行，不予重复扶持。</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二十六</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本措施</w:t>
      </w:r>
      <w:r>
        <w:rPr>
          <w:rFonts w:hint="eastAsia" w:ascii="仿宋_GB2312" w:eastAsia="仿宋_GB2312"/>
          <w:color w:val="000000" w:themeColor="text1"/>
          <w:sz w:val="32"/>
          <w:szCs w:val="32"/>
          <w:lang w:eastAsia="zh-CN"/>
          <w14:textFill>
            <w14:solidFill>
              <w14:schemeClr w14:val="tx1"/>
            </w14:solidFill>
          </w14:textFill>
        </w:rPr>
        <w:t>未经事宜</w:t>
      </w:r>
      <w:r>
        <w:rPr>
          <w:rFonts w:hint="eastAsia" w:ascii="仿宋_GB2312" w:eastAsia="仿宋_GB2312"/>
          <w:color w:val="000000" w:themeColor="text1"/>
          <w:sz w:val="32"/>
          <w:szCs w:val="32"/>
          <w14:textFill>
            <w14:solidFill>
              <w14:schemeClr w14:val="tx1"/>
            </w14:solidFill>
          </w14:textFill>
        </w:rPr>
        <w:t>由</w:t>
      </w:r>
      <w:r>
        <w:rPr>
          <w:rFonts w:hint="eastAsia" w:ascii="仿宋_GB2312" w:eastAsia="仿宋_GB2312"/>
          <w:color w:val="000000" w:themeColor="text1"/>
          <w:sz w:val="32"/>
          <w:szCs w:val="32"/>
          <w:lang w:eastAsia="zh-CN"/>
          <w14:textFill>
            <w14:solidFill>
              <w14:schemeClr w14:val="tx1"/>
            </w14:solidFill>
          </w14:textFill>
        </w:rPr>
        <w:t>深圳市市场监督管理局龙华监管局</w:t>
      </w:r>
      <w:r>
        <w:rPr>
          <w:rFonts w:hint="eastAsia" w:ascii="仿宋_GB2312" w:eastAsia="仿宋_GB2312"/>
          <w:sz w:val="32"/>
          <w:szCs w:val="32"/>
          <w:lang w:eastAsia="zh-CN"/>
        </w:rPr>
        <w:t>另行</w:t>
      </w:r>
      <w:r>
        <w:rPr>
          <w:rFonts w:hint="eastAsia" w:ascii="仿宋_GB2312" w:eastAsia="仿宋_GB2312"/>
          <w:sz w:val="32"/>
          <w:szCs w:val="32"/>
        </w:rPr>
        <w:t>制定操作规程</w:t>
      </w:r>
      <w:r>
        <w:rPr>
          <w:rFonts w:hint="eastAsia" w:ascii="仿宋_GB2312" w:eastAsia="仿宋_GB2312"/>
          <w:sz w:val="32"/>
          <w:szCs w:val="32"/>
          <w:lang w:eastAsia="zh-CN"/>
        </w:rPr>
        <w:t>。</w:t>
      </w:r>
    </w:p>
    <w:p>
      <w:pPr>
        <w:adjustRightInd w:val="0"/>
        <w:snapToGrid w:val="0"/>
        <w:spacing w:line="560" w:lineRule="exact"/>
        <w:ind w:firstLine="640" w:firstLineChars="200"/>
        <w:rPr>
          <w:rFonts w:hint="eastAsia" w:ascii="楷体_GB2312" w:hAnsi="楷体" w:eastAsia="楷体_GB2312"/>
          <w:color w:val="000000" w:themeColor="text1"/>
          <w:sz w:val="32"/>
          <w:szCs w:val="32"/>
          <w:lang w:val="en-US" w:eastAsia="zh-CN"/>
          <w14:textFill>
            <w14:solidFill>
              <w14:schemeClr w14:val="tx1"/>
            </w14:solidFill>
          </w14:textFill>
        </w:rPr>
      </w:pPr>
      <w:r>
        <w:rPr>
          <w:rFonts w:hint="eastAsia" w:ascii="楷体_GB2312" w:hAnsi="楷体" w:eastAsia="楷体_GB2312"/>
          <w:color w:val="000000" w:themeColor="text1"/>
          <w:sz w:val="32"/>
          <w:szCs w:val="32"/>
          <w:lang w:val="en-US" w:eastAsia="zh-CN"/>
          <w14:textFill>
            <w14:solidFill>
              <w14:schemeClr w14:val="tx1"/>
            </w14:solidFill>
          </w14:textFill>
        </w:rPr>
        <w:t xml:space="preserve">第二十七条 </w:t>
      </w:r>
      <w:r>
        <w:rPr>
          <w:rFonts w:hint="eastAsia" w:ascii="仿宋_GB2312" w:eastAsia="仿宋_GB2312"/>
          <w:color w:val="000000" w:themeColor="text1"/>
          <w:sz w:val="32"/>
          <w:szCs w:val="32"/>
          <w:lang w:val="en-US" w:eastAsia="zh-CN"/>
          <w14:textFill>
            <w14:solidFill>
              <w14:schemeClr w14:val="tx1"/>
            </w14:solidFill>
          </w14:textFill>
        </w:rPr>
        <w:t>本措施由深圳市市场监督管理局龙华监管局负责解释。</w:t>
      </w:r>
    </w:p>
    <w:p>
      <w:pPr>
        <w:spacing w:beforeLines="0" w:afterLines="0"/>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二十八</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本措施</w:t>
      </w:r>
      <w:r>
        <w:rPr>
          <w:rFonts w:hint="eastAsia" w:ascii="仿宋_GB2312" w:eastAsia="仿宋_GB2312"/>
          <w:sz w:val="32"/>
          <w:szCs w:val="32"/>
        </w:rPr>
        <w:t>自</w:t>
      </w:r>
      <w:r>
        <w:rPr>
          <w:rFonts w:hint="eastAsia" w:ascii="仿宋_GB2312" w:eastAsia="仿宋_GB2312"/>
          <w:sz w:val="32"/>
          <w:szCs w:val="32"/>
          <w:lang w:val="en-US" w:eastAsia="zh-CN"/>
        </w:rPr>
        <w:t xml:space="preserve">2019年 月 </w:t>
      </w:r>
      <w:r>
        <w:rPr>
          <w:rFonts w:hint="eastAsia" w:ascii="仿宋_GB2312" w:eastAsia="仿宋_GB2312"/>
          <w:color w:val="000000" w:themeColor="text1"/>
          <w:sz w:val="32"/>
          <w:szCs w:val="32"/>
          <w14:textFill>
            <w14:solidFill>
              <w14:schemeClr w14:val="tx1"/>
            </w14:solidFill>
          </w14:textFill>
        </w:rPr>
        <w:t>日起</w:t>
      </w:r>
      <w:r>
        <w:rPr>
          <w:rFonts w:hint="eastAsia" w:ascii="仿宋_GB2312" w:eastAsia="仿宋_GB2312"/>
          <w:sz w:val="32"/>
          <w:szCs w:val="32"/>
          <w:lang w:val="en-US" w:eastAsia="zh-CN"/>
        </w:rPr>
        <w:t>实施，有效期五年，2018年1月1日起获证（奖）的适用本措施。本措施实施后，《龙华新区实施知识产权、品牌、标准化战略的若干措施（2015年修订）》（深龙华办〔2015〕38号）自动废止。</w:t>
      </w:r>
    </w:p>
    <w:bookmarkEnd w:id="0"/>
    <w:p>
      <w:pPr>
        <w:spacing w:line="560" w:lineRule="exact"/>
      </w:pPr>
    </w:p>
    <w:sectPr>
      <w:footerReference r:id="rId3" w:type="default"/>
      <w:footerReference r:id="rId4" w:type="even"/>
      <w:pgSz w:w="11906" w:h="16838"/>
      <w:pgMar w:top="2211" w:right="141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
    <w:altName w:val="Times New Roman"/>
    <w:panose1 w:val="00000000000000000000"/>
    <w:charset w:val="00"/>
    <w:family w:val="auto"/>
    <w:pitch w:val="default"/>
    <w:sig w:usb0="00000000" w:usb1="00000000" w:usb2="00000000" w:usb3="00000000" w:csb0="00040001" w:csb1="00000000"/>
  </w:font>
  <w:font w:name="华光简小标宋">
    <w:altName w:val="宋体"/>
    <w:panose1 w:val="0201060900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00" w:usb2="00000000" w:usb3="00000000" w:csb0="2000009F" w:csb1="00000000"/>
  </w:font>
  <w:font w:name="仿宋_GB2312-WinCharSetFFFF-H">
    <w:altName w:val="仿宋"/>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Nff[8b">
    <w:altName w:val="Times New Roman"/>
    <w:panose1 w:val="00000000000000000000"/>
    <w:charset w:val="00"/>
    <w:family w:val="roman"/>
    <w:pitch w:val="default"/>
    <w:sig w:usb0="00000000"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方正姚体">
    <w:panose1 w:val="02010601030101010101"/>
    <w:charset w:val="86"/>
    <w:family w:val="auto"/>
    <w:pitch w:val="default"/>
    <w:sig w:usb0="00000003"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FangSong_GB2312">
    <w:altName w:val="仿宋_GB2312"/>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Gungsuh">
    <w:panose1 w:val="02030600000101010101"/>
    <w:charset w:val="81"/>
    <w:family w:val="roman"/>
    <w:pitch w:val="default"/>
    <w:sig w:usb0="B00002AF" w:usb1="69D77CFB" w:usb2="00000030" w:usb3="00000000" w:csb0="4008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_5b8b_4f53">
    <w:altName w:val="Times New Roman"/>
    <w:panose1 w:val="00000000000000000000"/>
    <w:charset w:val="00"/>
    <w:family w:val="auto"/>
    <w:pitch w:val="default"/>
    <w:sig w:usb0="00000000" w:usb1="00000000" w:usb2="00000000" w:usb3="00000000" w:csb0="00000000" w:csb1="00000000"/>
  </w:font>
  <w:font w:name="_4eff_5b8b_GB2312">
    <w:altName w:val="Latha"/>
    <w:panose1 w:val="00000000000000000000"/>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AdobeMingStd-Light-Acro">
    <w:altName w:val="PMingLiU"/>
    <w:panose1 w:val="00000000000000000000"/>
    <w:charset w:val="88"/>
    <w:family w:val="auto"/>
    <w:pitch w:val="default"/>
    <w:sig w:usb0="00000000" w:usb1="00000000" w:usb2="00000010" w:usb3="00000000" w:csb0="00100000"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webfontPreload">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swiss"/>
    <w:pitch w:val="default"/>
    <w:sig w:usb0="00000000" w:usb1="00000000" w:usb2="00000000" w:usb3="00000000" w:csb0="00000001" w:csb1="00000000"/>
  </w:font>
  <w:font w:name="FZXBSJW--GB1-0">
    <w:altName w:val="宋体"/>
    <w:panose1 w:val="00000000000000000000"/>
    <w:charset w:val="86"/>
    <w:family w:val="auto"/>
    <w:pitch w:val="default"/>
    <w:sig w:usb0="00000000" w:usb1="00000000" w:usb2="00000000" w:usb3="00000000" w:csb0="0004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im sun">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_GB2312-WinCharSetFFFF-H">
    <w:altName w:val="宋体"/>
    <w:panose1 w:val="00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3D1F9"/>
    <w:multiLevelType w:val="singleLevel"/>
    <w:tmpl w:val="5DA3D1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203"/>
    <w:rsid w:val="00075009"/>
    <w:rsid w:val="000B73EB"/>
    <w:rsid w:val="000D036A"/>
    <w:rsid w:val="0010246D"/>
    <w:rsid w:val="00121D43"/>
    <w:rsid w:val="001302C7"/>
    <w:rsid w:val="00141936"/>
    <w:rsid w:val="001605E1"/>
    <w:rsid w:val="00192425"/>
    <w:rsid w:val="00193CA8"/>
    <w:rsid w:val="001A4CEC"/>
    <w:rsid w:val="001B1237"/>
    <w:rsid w:val="001D6723"/>
    <w:rsid w:val="00236B9D"/>
    <w:rsid w:val="002405C3"/>
    <w:rsid w:val="002912CB"/>
    <w:rsid w:val="002A1163"/>
    <w:rsid w:val="002B4173"/>
    <w:rsid w:val="002C5498"/>
    <w:rsid w:val="002D7F83"/>
    <w:rsid w:val="002E721B"/>
    <w:rsid w:val="00387E82"/>
    <w:rsid w:val="0042472B"/>
    <w:rsid w:val="004543CD"/>
    <w:rsid w:val="00493D1E"/>
    <w:rsid w:val="004B2F38"/>
    <w:rsid w:val="004F6BDD"/>
    <w:rsid w:val="00521AA8"/>
    <w:rsid w:val="005717CD"/>
    <w:rsid w:val="005725A0"/>
    <w:rsid w:val="005C5647"/>
    <w:rsid w:val="00624C52"/>
    <w:rsid w:val="006B322F"/>
    <w:rsid w:val="006E7267"/>
    <w:rsid w:val="00700D08"/>
    <w:rsid w:val="0070416A"/>
    <w:rsid w:val="00724511"/>
    <w:rsid w:val="00732858"/>
    <w:rsid w:val="00784E88"/>
    <w:rsid w:val="007E18B3"/>
    <w:rsid w:val="008505FD"/>
    <w:rsid w:val="00867959"/>
    <w:rsid w:val="00891CF2"/>
    <w:rsid w:val="008E2D2F"/>
    <w:rsid w:val="008F1C1E"/>
    <w:rsid w:val="0092130C"/>
    <w:rsid w:val="00945B8A"/>
    <w:rsid w:val="009D1CEB"/>
    <w:rsid w:val="009E30F9"/>
    <w:rsid w:val="00A01169"/>
    <w:rsid w:val="00A12347"/>
    <w:rsid w:val="00A57223"/>
    <w:rsid w:val="00A57A8E"/>
    <w:rsid w:val="00A95EA0"/>
    <w:rsid w:val="00AA3D80"/>
    <w:rsid w:val="00AB0C46"/>
    <w:rsid w:val="00B277ED"/>
    <w:rsid w:val="00B53490"/>
    <w:rsid w:val="00B8387A"/>
    <w:rsid w:val="00B92205"/>
    <w:rsid w:val="00BE559A"/>
    <w:rsid w:val="00C20613"/>
    <w:rsid w:val="00C6252C"/>
    <w:rsid w:val="00C63674"/>
    <w:rsid w:val="00CD6D2B"/>
    <w:rsid w:val="00D065CA"/>
    <w:rsid w:val="00D31BE7"/>
    <w:rsid w:val="00D33B9E"/>
    <w:rsid w:val="00D40A7D"/>
    <w:rsid w:val="00D541DC"/>
    <w:rsid w:val="00D57D12"/>
    <w:rsid w:val="00D6517C"/>
    <w:rsid w:val="00DA029E"/>
    <w:rsid w:val="00DA4250"/>
    <w:rsid w:val="00DE1C02"/>
    <w:rsid w:val="00E527FF"/>
    <w:rsid w:val="00E95AB2"/>
    <w:rsid w:val="00ED6716"/>
    <w:rsid w:val="00F07BB3"/>
    <w:rsid w:val="00F20C1B"/>
    <w:rsid w:val="00F218A3"/>
    <w:rsid w:val="00F41F29"/>
    <w:rsid w:val="00F4457C"/>
    <w:rsid w:val="00F51AB9"/>
    <w:rsid w:val="00F9560E"/>
    <w:rsid w:val="01140B47"/>
    <w:rsid w:val="011A17FB"/>
    <w:rsid w:val="01601EA0"/>
    <w:rsid w:val="02AA6F51"/>
    <w:rsid w:val="03BA76DD"/>
    <w:rsid w:val="05306DCA"/>
    <w:rsid w:val="05BB6183"/>
    <w:rsid w:val="05C87BF4"/>
    <w:rsid w:val="07C249FD"/>
    <w:rsid w:val="080F7CEB"/>
    <w:rsid w:val="08142234"/>
    <w:rsid w:val="08386B86"/>
    <w:rsid w:val="08984537"/>
    <w:rsid w:val="099A01C0"/>
    <w:rsid w:val="0ACE4EAF"/>
    <w:rsid w:val="0C077CBB"/>
    <w:rsid w:val="0C826C83"/>
    <w:rsid w:val="0CB91791"/>
    <w:rsid w:val="0E683C30"/>
    <w:rsid w:val="0EA0229D"/>
    <w:rsid w:val="0F404174"/>
    <w:rsid w:val="103C6198"/>
    <w:rsid w:val="105E7E0A"/>
    <w:rsid w:val="1065194C"/>
    <w:rsid w:val="114547D4"/>
    <w:rsid w:val="11594B23"/>
    <w:rsid w:val="122B1A95"/>
    <w:rsid w:val="13B45F6C"/>
    <w:rsid w:val="143D353C"/>
    <w:rsid w:val="151F4F7B"/>
    <w:rsid w:val="1694684E"/>
    <w:rsid w:val="16F05B6F"/>
    <w:rsid w:val="1782728A"/>
    <w:rsid w:val="189C25F4"/>
    <w:rsid w:val="19322E5F"/>
    <w:rsid w:val="1B7B02DE"/>
    <w:rsid w:val="1BA026AF"/>
    <w:rsid w:val="1C20242B"/>
    <w:rsid w:val="1CC23B39"/>
    <w:rsid w:val="1D983182"/>
    <w:rsid w:val="222E1272"/>
    <w:rsid w:val="23171B70"/>
    <w:rsid w:val="2493422A"/>
    <w:rsid w:val="25CD5C03"/>
    <w:rsid w:val="26376F95"/>
    <w:rsid w:val="274129B1"/>
    <w:rsid w:val="27B54E47"/>
    <w:rsid w:val="284B45BD"/>
    <w:rsid w:val="28B7607A"/>
    <w:rsid w:val="29E944C5"/>
    <w:rsid w:val="2A354057"/>
    <w:rsid w:val="2B2D7317"/>
    <w:rsid w:val="2C465492"/>
    <w:rsid w:val="2D5C0277"/>
    <w:rsid w:val="2D7061B9"/>
    <w:rsid w:val="2F0D2190"/>
    <w:rsid w:val="323A65AC"/>
    <w:rsid w:val="33CF31C6"/>
    <w:rsid w:val="34A27FB6"/>
    <w:rsid w:val="359E04F7"/>
    <w:rsid w:val="36413052"/>
    <w:rsid w:val="38F6436B"/>
    <w:rsid w:val="394E7CD4"/>
    <w:rsid w:val="3B33764B"/>
    <w:rsid w:val="3B86128D"/>
    <w:rsid w:val="3BA019EA"/>
    <w:rsid w:val="3BB33D69"/>
    <w:rsid w:val="3C447A6D"/>
    <w:rsid w:val="3CCB0BEE"/>
    <w:rsid w:val="3D763C1D"/>
    <w:rsid w:val="3DB1744A"/>
    <w:rsid w:val="3E2F51A2"/>
    <w:rsid w:val="3EB71F70"/>
    <w:rsid w:val="3EE63F06"/>
    <w:rsid w:val="3F2E7453"/>
    <w:rsid w:val="42B369F1"/>
    <w:rsid w:val="42D06B06"/>
    <w:rsid w:val="432D68C5"/>
    <w:rsid w:val="43D97965"/>
    <w:rsid w:val="445F6B4D"/>
    <w:rsid w:val="459033FA"/>
    <w:rsid w:val="467510CB"/>
    <w:rsid w:val="4736156E"/>
    <w:rsid w:val="47BC1431"/>
    <w:rsid w:val="490949AA"/>
    <w:rsid w:val="49BC7654"/>
    <w:rsid w:val="4A3346BF"/>
    <w:rsid w:val="4B9A63FF"/>
    <w:rsid w:val="4DC4753F"/>
    <w:rsid w:val="4E326F0B"/>
    <w:rsid w:val="4EE07307"/>
    <w:rsid w:val="501858BD"/>
    <w:rsid w:val="50F37676"/>
    <w:rsid w:val="53582CD9"/>
    <w:rsid w:val="54070F87"/>
    <w:rsid w:val="561A2106"/>
    <w:rsid w:val="56953224"/>
    <w:rsid w:val="583E043F"/>
    <w:rsid w:val="59484DE3"/>
    <w:rsid w:val="5A2E40CD"/>
    <w:rsid w:val="5B6F4317"/>
    <w:rsid w:val="5C3D7982"/>
    <w:rsid w:val="5F2C33F9"/>
    <w:rsid w:val="60CB7D4B"/>
    <w:rsid w:val="60EF0BE0"/>
    <w:rsid w:val="62F703F5"/>
    <w:rsid w:val="645F4A27"/>
    <w:rsid w:val="67F55EB5"/>
    <w:rsid w:val="67FF43F6"/>
    <w:rsid w:val="68207E7C"/>
    <w:rsid w:val="68803E37"/>
    <w:rsid w:val="699C7F6F"/>
    <w:rsid w:val="6AA2744A"/>
    <w:rsid w:val="6AC0721B"/>
    <w:rsid w:val="6B9710A1"/>
    <w:rsid w:val="6BAF3F52"/>
    <w:rsid w:val="6D2B7417"/>
    <w:rsid w:val="6EF864CD"/>
    <w:rsid w:val="70C25BF6"/>
    <w:rsid w:val="71A924C1"/>
    <w:rsid w:val="727A4031"/>
    <w:rsid w:val="728E3775"/>
    <w:rsid w:val="73603ABB"/>
    <w:rsid w:val="73AD3AAA"/>
    <w:rsid w:val="7472130E"/>
    <w:rsid w:val="74F342F4"/>
    <w:rsid w:val="771B4C05"/>
    <w:rsid w:val="77AD7255"/>
    <w:rsid w:val="77F73A9E"/>
    <w:rsid w:val="790508B9"/>
    <w:rsid w:val="792871AB"/>
    <w:rsid w:val="794D7A57"/>
    <w:rsid w:val="7B5351D8"/>
    <w:rsid w:val="7B9039E5"/>
    <w:rsid w:val="7C1E06FD"/>
    <w:rsid w:val="7C3A5BAF"/>
    <w:rsid w:val="7CC564F9"/>
    <w:rsid w:val="7EB8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22"/>
  </w:style>
  <w:style w:type="character" w:styleId="7">
    <w:name w:val="FollowedHyperlink"/>
    <w:basedOn w:val="5"/>
    <w:unhideWhenUsed/>
    <w:qFormat/>
    <w:uiPriority w:val="99"/>
    <w:rPr>
      <w:color w:val="3F88BF"/>
      <w:u w:val="none"/>
    </w:rPr>
  </w:style>
  <w:style w:type="character" w:styleId="8">
    <w:name w:val="Emphasis"/>
    <w:basedOn w:val="5"/>
    <w:qFormat/>
    <w:uiPriority w:val="20"/>
    <w:rPr>
      <w:color w:val="3F88BF"/>
      <w:u w:val="none"/>
    </w:rPr>
  </w:style>
  <w:style w:type="character" w:styleId="9">
    <w:name w:val="HTML Definition"/>
    <w:basedOn w:val="5"/>
    <w:unhideWhenUsed/>
    <w:qFormat/>
    <w:uiPriority w:val="99"/>
  </w:style>
  <w:style w:type="character" w:styleId="10">
    <w:name w:val="HTML Variable"/>
    <w:basedOn w:val="5"/>
    <w:unhideWhenUsed/>
    <w:qFormat/>
    <w:uiPriority w:val="99"/>
    <w:rPr>
      <w:sz w:val="18"/>
      <w:szCs w:val="18"/>
    </w:rPr>
  </w:style>
  <w:style w:type="character" w:styleId="11">
    <w:name w:val="HTML Code"/>
    <w:basedOn w:val="5"/>
    <w:unhideWhenUsed/>
    <w:qFormat/>
    <w:uiPriority w:val="99"/>
    <w:rPr>
      <w:rFonts w:hint="eastAsia" w:ascii="微软雅黑" w:hAnsi="微软雅黑" w:eastAsia="微软雅黑" w:cs="微软雅黑"/>
      <w:sz w:val="20"/>
    </w:rPr>
  </w:style>
  <w:style w:type="character" w:styleId="12">
    <w:name w:val="HTML Cite"/>
    <w:basedOn w:val="5"/>
    <w:unhideWhenUsed/>
    <w:qFormat/>
    <w:uiPriority w:val="99"/>
  </w:style>
  <w:style w:type="character" w:styleId="13">
    <w:name w:val="HTML Keyboard"/>
    <w:basedOn w:val="5"/>
    <w:unhideWhenUsed/>
    <w:qFormat/>
    <w:uiPriority w:val="99"/>
    <w:rPr>
      <w:rFonts w:hint="eastAsia" w:ascii="微软雅黑" w:hAnsi="微软雅黑" w:eastAsia="微软雅黑" w:cs="微软雅黑"/>
      <w:sz w:val="20"/>
    </w:rPr>
  </w:style>
  <w:style w:type="character" w:styleId="14">
    <w:name w:val="HTML Sample"/>
    <w:basedOn w:val="5"/>
    <w:unhideWhenUsed/>
    <w:qFormat/>
    <w:uiPriority w:val="99"/>
    <w:rPr>
      <w:rFonts w:hint="eastAsia" w:ascii="微软雅黑" w:hAnsi="微软雅黑" w:eastAsia="微软雅黑" w:cs="微软雅黑"/>
    </w:rPr>
  </w:style>
  <w:style w:type="character" w:customStyle="1" w:styleId="16">
    <w:name w:val="页眉 Char"/>
    <w:basedOn w:val="5"/>
    <w:link w:val="3"/>
    <w:semiHidden/>
    <w:qFormat/>
    <w:uiPriority w:val="99"/>
    <w:rPr>
      <w:sz w:val="18"/>
      <w:szCs w:val="18"/>
    </w:rPr>
  </w:style>
  <w:style w:type="character" w:customStyle="1" w:styleId="17">
    <w:name w:val="页脚 Char"/>
    <w:basedOn w:val="5"/>
    <w:link w:val="2"/>
    <w:qFormat/>
    <w:uiPriority w:val="99"/>
    <w:rPr>
      <w:sz w:val="18"/>
      <w:szCs w:val="18"/>
    </w:rPr>
  </w:style>
  <w:style w:type="character" w:customStyle="1" w:styleId="18">
    <w:name w:val="num"/>
    <w:basedOn w:val="5"/>
    <w:qFormat/>
    <w:uiPriority w:val="0"/>
    <w:rPr>
      <w:b/>
      <w:color w:val="FF7800"/>
    </w:rPr>
  </w:style>
  <w:style w:type="character" w:customStyle="1" w:styleId="19">
    <w:name w:val="release-day"/>
    <w:basedOn w:val="5"/>
    <w:qFormat/>
    <w:uiPriority w:val="0"/>
    <w:rPr>
      <w:bdr w:val="single" w:color="BDEBB0" w:sz="6" w:space="0"/>
      <w:shd w:val="clear" w:fill="F5FFF1"/>
    </w:rPr>
  </w:style>
  <w:style w:type="character" w:customStyle="1" w:styleId="20">
    <w:name w:val="answer-title10"/>
    <w:basedOn w:val="5"/>
    <w:qFormat/>
    <w:uiPriority w:val="0"/>
  </w:style>
  <w:style w:type="paragraph" w:customStyle="1" w:styleId="21">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 w:type="character" w:customStyle="1" w:styleId="22">
    <w:name w:val="l-tab-strip-text"/>
    <w:basedOn w:val="5"/>
    <w:qFormat/>
    <w:uiPriority w:val="0"/>
    <w:rPr>
      <w:rFonts w:ascii="Tahoma" w:hAnsi="Tahoma" w:eastAsia="Tahoma" w:cs="Tahoma"/>
      <w:color w:val="416AA3"/>
      <w:sz w:val="18"/>
      <w:szCs w:val="18"/>
    </w:rPr>
  </w:style>
  <w:style w:type="character" w:customStyle="1" w:styleId="23">
    <w:name w:val="l-tab-strip-text1"/>
    <w:basedOn w:val="5"/>
    <w:qFormat/>
    <w:uiPriority w:val="0"/>
  </w:style>
  <w:style w:type="character" w:customStyle="1" w:styleId="24">
    <w:name w:val="l-tab-strip-text2"/>
    <w:basedOn w:val="5"/>
    <w:qFormat/>
    <w:uiPriority w:val="0"/>
  </w:style>
  <w:style w:type="character" w:customStyle="1" w:styleId="25">
    <w:name w:val="l-tab-strip-text3"/>
    <w:basedOn w:val="5"/>
    <w:qFormat/>
    <w:uiPriority w:val="0"/>
    <w:rPr>
      <w:color w:val="15428B"/>
    </w:rPr>
  </w:style>
  <w:style w:type="character" w:customStyle="1" w:styleId="26">
    <w:name w:val="l-tab-strip-text4"/>
    <w:basedOn w:val="5"/>
    <w:qFormat/>
    <w:uiPriority w:val="0"/>
    <w:rPr>
      <w:b/>
      <w:color w:val="15428B"/>
    </w:rPr>
  </w:style>
  <w:style w:type="character" w:customStyle="1" w:styleId="27">
    <w:name w:val="l-tab-strip-text5"/>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504</Words>
  <Characters>2876</Characters>
  <Lines>23</Lines>
  <Paragraphs>6</Paragraphs>
  <ScaleCrop>false</ScaleCrop>
  <LinksUpToDate>false</LinksUpToDate>
  <CharactersWithSpaces>3374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2017-07-05T07:55:00Z</dcterms:created>
  <dc:creator>彭金亮</dc:creator>
  <cp:lastModifiedBy>方清凤</cp:lastModifiedBy>
  <cp:lastPrinted>2018-08-08T07:11:00Z</cp:lastPrinted>
  <dcterms:modified xsi:type="dcterms:W3CDTF">2019-10-14T02:19:59Z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