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spacing w:line="560" w:lineRule="exact"/>
        <w:jc w:val="center"/>
        <w:rPr>
          <w:rFonts w:ascii="方正小标宋简体" w:hAnsi="方正小标宋简体" w:eastAsia="方正小标宋简体" w:cs="方正小标宋简体"/>
          <w:sz w:val="44"/>
          <w:szCs w:val="44"/>
          <w:rtl w:val="0"/>
          <w:lang w:val="zh-TW" w:eastAsia="zh-TW"/>
        </w:rPr>
      </w:pPr>
    </w:p>
    <w:p>
      <w:pPr>
        <w:framePr w:w="0" w:wrap="auto" w:vAnchor="margin" w:hAnchor="text" w:yAlign="inline"/>
        <w:spacing w:line="560" w:lineRule="exact"/>
        <w:jc w:val="center"/>
        <w:rPr>
          <w:rFonts w:ascii="方正小标宋简体" w:hAnsi="方正小标宋简体" w:eastAsia="方正小标宋简体" w:cs="方正小标宋简体"/>
          <w:sz w:val="44"/>
          <w:szCs w:val="44"/>
          <w:rtl w:val="0"/>
          <w:lang w:val="zh-TW" w:eastAsia="zh-TW"/>
        </w:rPr>
      </w:pPr>
    </w:p>
    <w:p>
      <w:pPr>
        <w:framePr w:w="0" w:wrap="auto" w:vAnchor="margin" w:hAnchor="text" w:yAlign="inline"/>
        <w:spacing w:line="560" w:lineRule="exact"/>
        <w:jc w:val="center"/>
        <w:rPr>
          <w:rFonts w:ascii="方正小标宋简体" w:hAnsi="方正小标宋简体" w:eastAsia="方正小标宋简体" w:cs="方正小标宋简体"/>
          <w:color w:val="000000"/>
          <w:sz w:val="44"/>
          <w:szCs w:val="44"/>
          <w:u w:color="000000"/>
          <w:rtl w:val="0"/>
          <w:lang w:val="zh-TW" w:eastAsia="zh-TW"/>
        </w:rPr>
      </w:pPr>
      <w:r>
        <w:rPr>
          <w:rFonts w:ascii="方正小标宋简体" w:hAnsi="方正小标宋简体" w:eastAsia="方正小标宋简体" w:cs="方正小标宋简体"/>
          <w:sz w:val="44"/>
          <w:szCs w:val="44"/>
          <w:rtl w:val="0"/>
          <w:lang w:val="zh-TW" w:eastAsia="zh-TW"/>
        </w:rPr>
        <w:t>深圳市</w:t>
      </w:r>
      <w:r>
        <w:rPr>
          <w:rFonts w:ascii="方正小标宋简体" w:hAnsi="方正小标宋简体" w:eastAsia="方正小标宋简体" w:cs="方正小标宋简体"/>
          <w:color w:val="000000"/>
          <w:sz w:val="44"/>
          <w:szCs w:val="44"/>
          <w:u w:color="000000"/>
          <w:rtl w:val="0"/>
          <w:lang w:val="zh-TW" w:eastAsia="zh-TW"/>
        </w:rPr>
        <w:t>龙华区</w:t>
      </w:r>
      <w:r>
        <w:rPr>
          <w:rFonts w:hint="eastAsia" w:ascii="方正小标宋简体" w:hAnsi="方正小标宋简体" w:eastAsia="方正小标宋简体" w:cs="方正小标宋简体"/>
          <w:color w:val="000000"/>
          <w:sz w:val="44"/>
          <w:szCs w:val="44"/>
          <w:u w:color="000000"/>
          <w:rtl w:val="0"/>
          <w:lang w:val="zh-TW" w:eastAsia="zh-CN"/>
        </w:rPr>
        <w:t>教育局关于《深圳市龙华区</w:t>
      </w:r>
      <w:r>
        <w:rPr>
          <w:rFonts w:ascii="方正小标宋简体" w:hAnsi="方正小标宋简体" w:eastAsia="方正小标宋简体" w:cs="方正小标宋简体"/>
          <w:color w:val="000000"/>
          <w:sz w:val="44"/>
          <w:szCs w:val="44"/>
          <w:u w:color="000000"/>
          <w:rtl w:val="0"/>
          <w:lang w:val="zh-TW" w:eastAsia="zh-TW"/>
        </w:rPr>
        <w:t>非学历教育培训机构</w:t>
      </w:r>
      <w:r>
        <w:rPr>
          <w:rFonts w:ascii="方正小标宋简体" w:hAnsi="方正小标宋简体" w:eastAsia="方正小标宋简体" w:cs="方正小标宋简体"/>
          <w:color w:val="000000"/>
          <w:sz w:val="44"/>
          <w:szCs w:val="44"/>
          <w:u w:color="000000"/>
          <w:rtl w:val="0"/>
          <w:lang w:val="en-US"/>
        </w:rPr>
        <w:t>2018</w:t>
      </w:r>
      <w:r>
        <w:rPr>
          <w:rFonts w:ascii="方正小标宋简体" w:hAnsi="方正小标宋简体" w:eastAsia="方正小标宋简体" w:cs="方正小标宋简体"/>
          <w:color w:val="000000"/>
          <w:sz w:val="44"/>
          <w:szCs w:val="44"/>
          <w:u w:color="000000"/>
          <w:rtl w:val="0"/>
          <w:lang w:val="zh-TW" w:eastAsia="zh-TW"/>
        </w:rPr>
        <w:t>年度</w:t>
      </w:r>
    </w:p>
    <w:p>
      <w:pPr>
        <w:framePr w:w="0" w:wrap="auto" w:vAnchor="margin" w:hAnchor="text" w:yAlign="inline"/>
        <w:spacing w:line="560" w:lineRule="exact"/>
        <w:jc w:val="center"/>
        <w:rPr>
          <w:rFonts w:hint="eastAsia" w:ascii="方正小标宋简体" w:hAnsi="方正小标宋简体" w:eastAsia="方正小标宋简体" w:cs="方正小标宋简体"/>
          <w:color w:val="000000"/>
          <w:sz w:val="44"/>
          <w:szCs w:val="44"/>
          <w:u w:color="000000"/>
          <w:lang w:val="en-US" w:eastAsia="zh-CN"/>
        </w:rPr>
      </w:pPr>
      <w:r>
        <w:rPr>
          <w:rFonts w:ascii="方正小标宋简体" w:hAnsi="方正小标宋简体" w:eastAsia="方正小标宋简体" w:cs="方正小标宋简体"/>
          <w:color w:val="000000"/>
          <w:sz w:val="44"/>
          <w:szCs w:val="44"/>
          <w:u w:color="000000"/>
          <w:rtl w:val="0"/>
          <w:lang w:val="zh-TW" w:eastAsia="zh-TW"/>
        </w:rPr>
        <w:t>年检</w:t>
      </w:r>
      <w:r>
        <w:rPr>
          <w:rFonts w:hint="eastAsia" w:ascii="方正小标宋简体" w:hAnsi="方正小标宋简体" w:eastAsia="方正小标宋简体" w:cs="方正小标宋简体"/>
          <w:color w:val="000000"/>
          <w:sz w:val="44"/>
          <w:szCs w:val="44"/>
          <w:u w:color="000000"/>
          <w:rtl w:val="0"/>
          <w:lang w:val="zh-TW" w:eastAsia="zh-CN"/>
        </w:rPr>
        <w:t>总结》的报告</w:t>
      </w:r>
      <w:bookmarkStart w:id="0" w:name="_GoBack"/>
      <w:bookmarkEnd w:id="0"/>
    </w:p>
    <w:p>
      <w:pPr>
        <w:framePr w:w="0" w:wrap="auto" w:vAnchor="margin" w:hAnchor="text" w:yAlign="inline"/>
        <w:spacing w:line="560" w:lineRule="exact"/>
        <w:jc w:val="center"/>
        <w:rPr>
          <w:rFonts w:ascii="仿宋_GB2312" w:hAnsi="仿宋_GB2312" w:eastAsia="仿宋_GB2312" w:cs="仿宋_GB2312"/>
          <w:sz w:val="32"/>
          <w:szCs w:val="32"/>
        </w:rPr>
      </w:pPr>
    </w:p>
    <w:p>
      <w:pPr>
        <w:framePr w:w="0" w:wrap="auto" w:vAnchor="margin" w:hAnchor="text" w:yAlign="inline"/>
        <w:spacing w:line="560" w:lineRule="exact"/>
        <w:ind w:firstLine="645"/>
        <w:rPr>
          <w:rFonts w:ascii="仿宋_GB2312" w:hAnsi="仿宋_GB2312" w:eastAsia="仿宋_GB2312" w:cs="仿宋_GB2312"/>
          <w:color w:val="000000"/>
          <w:kern w:val="0"/>
          <w:sz w:val="32"/>
          <w:szCs w:val="32"/>
          <w:u w:color="000000"/>
          <w:rtl w:val="0"/>
          <w:lang w:val="zh-TW" w:eastAsia="zh-TW"/>
        </w:rPr>
      </w:pPr>
      <w:r>
        <w:rPr>
          <w:rFonts w:ascii="仿宋_GB2312" w:hAnsi="仿宋_GB2312" w:eastAsia="仿宋_GB2312" w:cs="仿宋_GB2312"/>
          <w:kern w:val="0"/>
          <w:sz w:val="32"/>
          <w:szCs w:val="32"/>
          <w:rtl w:val="0"/>
          <w:lang w:val="zh-TW" w:eastAsia="zh-TW"/>
        </w:rPr>
        <w:t>为加强对我区教育培训机构的管理，促进民办教育的健康发展，根据《中华人民共和国民办教育促进法》、《深圳市民办教育管理若干规定》和《深圳市教育局开展教育培训机构</w:t>
      </w:r>
      <w:r>
        <w:rPr>
          <w:rFonts w:ascii="仿宋_GB2312" w:hAnsi="仿宋_GB2312" w:eastAsia="仿宋_GB2312" w:cs="仿宋_GB2312"/>
          <w:kern w:val="0"/>
          <w:sz w:val="32"/>
          <w:szCs w:val="32"/>
          <w:rtl w:val="0"/>
          <w:lang w:val="en-US"/>
        </w:rPr>
        <w:t>2018</w:t>
      </w:r>
      <w:r>
        <w:rPr>
          <w:rFonts w:ascii="仿宋_GB2312" w:hAnsi="仿宋_GB2312" w:eastAsia="仿宋_GB2312" w:cs="仿宋_GB2312"/>
          <w:kern w:val="0"/>
          <w:sz w:val="32"/>
          <w:szCs w:val="32"/>
          <w:rtl w:val="0"/>
          <w:lang w:val="zh-TW" w:eastAsia="zh-TW"/>
        </w:rPr>
        <w:t>年检工作的通知》</w:t>
      </w:r>
      <w:r>
        <w:rPr>
          <w:rFonts w:ascii="仿宋_GB2312" w:hAnsi="仿宋_GB2312" w:eastAsia="仿宋_GB2312" w:cs="仿宋_GB2312"/>
          <w:kern w:val="0"/>
          <w:sz w:val="32"/>
          <w:szCs w:val="32"/>
          <w:rtl w:val="0"/>
          <w:lang w:val="en-US"/>
        </w:rPr>
        <w:t>(</w:t>
      </w:r>
      <w:r>
        <w:rPr>
          <w:rFonts w:ascii="仿宋_GB2312" w:hAnsi="仿宋_GB2312" w:eastAsia="仿宋_GB2312" w:cs="仿宋_GB2312"/>
          <w:kern w:val="0"/>
          <w:sz w:val="32"/>
          <w:szCs w:val="32"/>
          <w:rtl w:val="0"/>
          <w:lang w:val="zh-TW" w:eastAsia="zh-TW"/>
        </w:rPr>
        <w:t>深教函〔</w:t>
      </w:r>
      <w:r>
        <w:rPr>
          <w:rFonts w:ascii="仿宋_GB2312" w:hAnsi="仿宋_GB2312" w:eastAsia="仿宋_GB2312" w:cs="仿宋_GB2312"/>
          <w:kern w:val="0"/>
          <w:sz w:val="32"/>
          <w:szCs w:val="32"/>
          <w:rtl w:val="0"/>
          <w:lang w:val="en-US"/>
        </w:rPr>
        <w:t>2019</w:t>
      </w:r>
      <w:r>
        <w:rPr>
          <w:rFonts w:ascii="仿宋_GB2312" w:hAnsi="仿宋_GB2312" w:eastAsia="仿宋_GB2312" w:cs="仿宋_GB2312"/>
          <w:kern w:val="0"/>
          <w:sz w:val="32"/>
          <w:szCs w:val="32"/>
          <w:rtl w:val="0"/>
          <w:lang w:val="zh-TW" w:eastAsia="zh-TW"/>
        </w:rPr>
        <w:t>〕</w:t>
      </w:r>
      <w:r>
        <w:rPr>
          <w:rFonts w:ascii="仿宋_GB2312" w:hAnsi="仿宋_GB2312" w:eastAsia="仿宋_GB2312" w:cs="仿宋_GB2312"/>
          <w:kern w:val="0"/>
          <w:sz w:val="32"/>
          <w:szCs w:val="32"/>
          <w:rtl w:val="0"/>
          <w:lang w:val="en-US"/>
        </w:rPr>
        <w:t>88</w:t>
      </w:r>
      <w:r>
        <w:rPr>
          <w:rFonts w:ascii="仿宋_GB2312" w:hAnsi="仿宋_GB2312" w:eastAsia="仿宋_GB2312" w:cs="仿宋_GB2312"/>
          <w:kern w:val="0"/>
          <w:sz w:val="32"/>
          <w:szCs w:val="32"/>
          <w:rtl w:val="0"/>
          <w:lang w:val="zh-TW" w:eastAsia="zh-TW"/>
        </w:rPr>
        <w:t>号</w:t>
      </w:r>
      <w:r>
        <w:rPr>
          <w:rFonts w:ascii="仿宋_GB2312" w:hAnsi="仿宋_GB2312" w:eastAsia="仿宋_GB2312" w:cs="仿宋_GB2312"/>
          <w:kern w:val="0"/>
          <w:sz w:val="32"/>
          <w:szCs w:val="32"/>
          <w:rtl w:val="0"/>
          <w:lang w:val="en-US"/>
        </w:rPr>
        <w:t>)</w:t>
      </w:r>
      <w:r>
        <w:rPr>
          <w:rFonts w:ascii="仿宋_GB2312" w:hAnsi="仿宋_GB2312" w:eastAsia="仿宋_GB2312" w:cs="仿宋_GB2312"/>
          <w:kern w:val="0"/>
          <w:sz w:val="32"/>
          <w:szCs w:val="32"/>
          <w:rtl w:val="0"/>
          <w:lang w:val="zh-TW" w:eastAsia="zh-TW"/>
        </w:rPr>
        <w:t>有关要求，</w:t>
      </w:r>
      <w:r>
        <w:rPr>
          <w:rFonts w:ascii="仿宋_GB2312" w:hAnsi="仿宋_GB2312" w:eastAsia="仿宋_GB2312" w:cs="仿宋_GB2312"/>
          <w:color w:val="000000"/>
          <w:kern w:val="0"/>
          <w:sz w:val="32"/>
          <w:szCs w:val="32"/>
          <w:u w:color="000000"/>
          <w:rtl w:val="0"/>
          <w:lang w:val="zh-TW" w:eastAsia="zh-TW"/>
        </w:rPr>
        <w:t>我局于</w:t>
      </w:r>
      <w:r>
        <w:rPr>
          <w:rFonts w:ascii="仿宋_GB2312" w:hAnsi="仿宋_GB2312" w:eastAsia="仿宋_GB2312" w:cs="仿宋_GB2312"/>
          <w:color w:val="000000"/>
          <w:kern w:val="0"/>
          <w:sz w:val="32"/>
          <w:szCs w:val="32"/>
          <w:u w:color="000000"/>
          <w:rtl w:val="0"/>
          <w:lang w:val="en-US"/>
        </w:rPr>
        <w:t>5</w:t>
      </w:r>
      <w:r>
        <w:rPr>
          <w:rFonts w:ascii="仿宋_GB2312" w:hAnsi="仿宋_GB2312" w:eastAsia="仿宋_GB2312" w:cs="仿宋_GB2312"/>
          <w:color w:val="000000"/>
          <w:kern w:val="0"/>
          <w:sz w:val="32"/>
          <w:szCs w:val="32"/>
          <w:u w:color="000000"/>
          <w:rtl w:val="0"/>
          <w:lang w:val="zh-TW" w:eastAsia="zh-TW"/>
        </w:rPr>
        <w:t>月</w:t>
      </w:r>
      <w:r>
        <w:rPr>
          <w:rFonts w:ascii="仿宋_GB2312" w:hAnsi="仿宋_GB2312" w:eastAsia="仿宋_GB2312" w:cs="仿宋_GB2312"/>
          <w:color w:val="000000"/>
          <w:kern w:val="0"/>
          <w:sz w:val="32"/>
          <w:szCs w:val="32"/>
          <w:u w:color="000000"/>
          <w:rtl w:val="0"/>
          <w:lang w:val="en-US"/>
        </w:rPr>
        <w:t>5-7</w:t>
      </w:r>
      <w:r>
        <w:rPr>
          <w:rFonts w:ascii="仿宋_GB2312" w:hAnsi="仿宋_GB2312" w:eastAsia="仿宋_GB2312" w:cs="仿宋_GB2312"/>
          <w:color w:val="000000"/>
          <w:kern w:val="0"/>
          <w:sz w:val="32"/>
          <w:szCs w:val="32"/>
          <w:u w:color="000000"/>
          <w:rtl w:val="0"/>
          <w:lang w:val="zh-TW" w:eastAsia="zh-TW"/>
        </w:rPr>
        <w:t>日对纳入区年检范围的</w:t>
      </w:r>
      <w:r>
        <w:rPr>
          <w:rFonts w:ascii="仿宋_GB2312" w:hAnsi="仿宋_GB2312" w:eastAsia="仿宋_GB2312" w:cs="仿宋_GB2312"/>
          <w:color w:val="000000"/>
          <w:kern w:val="0"/>
          <w:sz w:val="32"/>
          <w:szCs w:val="32"/>
          <w:u w:color="000000"/>
          <w:rtl w:val="0"/>
          <w:lang w:val="en-US"/>
        </w:rPr>
        <w:t>13</w:t>
      </w:r>
      <w:r>
        <w:rPr>
          <w:rFonts w:ascii="仿宋_GB2312" w:hAnsi="仿宋_GB2312" w:eastAsia="仿宋_GB2312" w:cs="仿宋_GB2312"/>
          <w:color w:val="000000"/>
          <w:kern w:val="0"/>
          <w:sz w:val="32"/>
          <w:szCs w:val="32"/>
          <w:u w:color="000000"/>
          <w:rtl w:val="0"/>
          <w:lang w:val="zh-TW" w:eastAsia="zh-TW"/>
        </w:rPr>
        <w:t>家非学历教育培训机构进行了</w:t>
      </w:r>
      <w:r>
        <w:rPr>
          <w:rFonts w:ascii="仿宋_GB2312" w:hAnsi="仿宋_GB2312" w:eastAsia="仿宋_GB2312" w:cs="仿宋_GB2312"/>
          <w:color w:val="000000"/>
          <w:kern w:val="0"/>
          <w:sz w:val="32"/>
          <w:szCs w:val="32"/>
          <w:u w:color="000000"/>
          <w:rtl w:val="0"/>
          <w:lang w:val="en-US"/>
        </w:rPr>
        <w:t>2018</w:t>
      </w:r>
      <w:r>
        <w:rPr>
          <w:rFonts w:ascii="仿宋_GB2312" w:hAnsi="仿宋_GB2312" w:eastAsia="仿宋_GB2312" w:cs="仿宋_GB2312"/>
          <w:color w:val="000000"/>
          <w:kern w:val="0"/>
          <w:sz w:val="32"/>
          <w:szCs w:val="32"/>
          <w:u w:color="000000"/>
          <w:rtl w:val="0"/>
          <w:lang w:val="zh-TW" w:eastAsia="zh-TW"/>
        </w:rPr>
        <w:t>年度工作检查。</w:t>
      </w:r>
      <w:r>
        <w:rPr>
          <w:rFonts w:hint="eastAsia" w:ascii="仿宋_GB2312" w:hAnsi="仿宋_GB2312" w:eastAsia="仿宋_GB2312" w:cs="仿宋_GB2312"/>
          <w:color w:val="000000"/>
          <w:kern w:val="0"/>
          <w:sz w:val="32"/>
          <w:szCs w:val="32"/>
          <w:u w:color="000000"/>
          <w:rtl w:val="0"/>
          <w:lang w:val="zh-TW" w:eastAsia="zh-CN"/>
        </w:rPr>
        <w:t>现将有关情况汇报如下：</w:t>
      </w:r>
    </w:p>
    <w:p>
      <w:pPr>
        <w:framePr w:w="0" w:wrap="auto" w:vAnchor="margin" w:hAnchor="text" w:yAlign="inline"/>
        <w:widowControl/>
        <w:spacing w:line="560" w:lineRule="exact"/>
        <w:ind w:firstLine="640"/>
        <w:jc w:val="left"/>
        <w:rPr>
          <w:rFonts w:hint="eastAsia" w:ascii="黑体" w:hAnsi="黑体" w:eastAsia="黑体" w:cs="黑体"/>
          <w:b w:val="0"/>
          <w:bCs w:val="0"/>
          <w:color w:val="000000"/>
          <w:kern w:val="0"/>
          <w:sz w:val="32"/>
          <w:szCs w:val="32"/>
          <w:u w:color="000000"/>
        </w:rPr>
      </w:pPr>
      <w:r>
        <w:rPr>
          <w:rFonts w:hint="eastAsia" w:ascii="黑体" w:hAnsi="黑体" w:eastAsia="黑体" w:cs="黑体"/>
          <w:b w:val="0"/>
          <w:bCs w:val="0"/>
          <w:color w:val="000000"/>
          <w:kern w:val="0"/>
          <w:sz w:val="32"/>
          <w:szCs w:val="32"/>
          <w:u w:color="000000"/>
          <w:rtl w:val="0"/>
          <w:lang w:val="zh-TW" w:eastAsia="zh-TW"/>
        </w:rPr>
        <w:t>一、整体情况</w:t>
      </w:r>
    </w:p>
    <w:p>
      <w:pPr>
        <w:framePr w:w="0" w:wrap="auto" w:vAnchor="margin" w:hAnchor="text" w:yAlign="inline"/>
        <w:spacing w:line="560" w:lineRule="exact"/>
        <w:ind w:firstLine="645"/>
        <w:rPr>
          <w:rFonts w:ascii="仿宋_GB2312" w:hAnsi="仿宋_GB2312" w:eastAsia="仿宋_GB2312" w:cs="仿宋_GB2312"/>
          <w:sz w:val="32"/>
          <w:szCs w:val="32"/>
        </w:rPr>
      </w:pPr>
      <w:r>
        <w:rPr>
          <w:rFonts w:ascii="仿宋_GB2312" w:hAnsi="仿宋_GB2312" w:eastAsia="仿宋_GB2312" w:cs="仿宋_GB2312"/>
          <w:color w:val="000000"/>
          <w:kern w:val="0"/>
          <w:sz w:val="32"/>
          <w:szCs w:val="32"/>
          <w:u w:color="000000"/>
          <w:rtl w:val="0"/>
          <w:lang w:val="zh-TW" w:eastAsia="zh-TW"/>
        </w:rPr>
        <w:t>根据培训机构自查和我局检查情况</w:t>
      </w:r>
      <w:r>
        <w:rPr>
          <w:rFonts w:ascii="仿宋_GB2312" w:hAnsi="仿宋_GB2312" w:eastAsia="仿宋_GB2312" w:cs="仿宋_GB2312"/>
          <w:color w:val="000000"/>
          <w:kern w:val="0"/>
          <w:sz w:val="32"/>
          <w:szCs w:val="32"/>
          <w:u w:color="000000"/>
          <w:rtl w:val="0"/>
          <w:lang w:val="en-US"/>
        </w:rPr>
        <w:t>,深圳市</w:t>
      </w:r>
      <w:r>
        <w:rPr>
          <w:rFonts w:ascii="仿宋_GB2312" w:hAnsi="仿宋_GB2312" w:eastAsia="仿宋_GB2312" w:cs="仿宋_GB2312"/>
          <w:sz w:val="32"/>
          <w:szCs w:val="32"/>
          <w:rtl w:val="0"/>
          <w:lang w:val="zh-TW" w:eastAsia="zh-TW"/>
        </w:rPr>
        <w:t>龙华区乔治亚培训中心等</w:t>
      </w:r>
      <w:r>
        <w:rPr>
          <w:rFonts w:ascii="仿宋_GB2312" w:hAnsi="仿宋_GB2312" w:eastAsia="仿宋_GB2312" w:cs="仿宋_GB2312"/>
          <w:sz w:val="32"/>
          <w:szCs w:val="32"/>
          <w:rtl w:val="0"/>
          <w:lang w:val="en-US"/>
        </w:rPr>
        <w:t>11</w:t>
      </w:r>
      <w:r>
        <w:rPr>
          <w:rFonts w:ascii="仿宋_GB2312" w:hAnsi="仿宋_GB2312" w:eastAsia="仿宋_GB2312" w:cs="仿宋_GB2312"/>
          <w:sz w:val="32"/>
          <w:szCs w:val="32"/>
          <w:rtl w:val="0"/>
          <w:lang w:val="zh-TW" w:eastAsia="zh-TW"/>
        </w:rPr>
        <w:t>家培训机构能遵守国家相关法律、法规和政策；办学场地面积、设备设施等能满足教学需求；能够做到四个公示：</w:t>
      </w:r>
      <w:r>
        <w:rPr>
          <w:rFonts w:ascii="仿宋_GB2312" w:hAnsi="仿宋_GB2312" w:eastAsia="仿宋_GB2312" w:cs="仿宋_GB2312"/>
          <w:color w:val="000000"/>
          <w:sz w:val="32"/>
          <w:szCs w:val="32"/>
          <w:u w:color="000000"/>
          <w:rtl w:val="0"/>
          <w:lang w:val="zh-TW" w:eastAsia="zh-TW"/>
        </w:rPr>
        <w:t>教师姓名、照片、任教班次及教师资格证号在培训场所显著位置公示，培训内容、班次、招生对象、进度、上课时间等向社会公示，招生简章、招生广告向社会公示，收费项目及标准向社会公示；</w:t>
      </w:r>
      <w:r>
        <w:rPr>
          <w:rFonts w:ascii="仿宋_GB2312" w:hAnsi="仿宋_GB2312" w:eastAsia="仿宋_GB2312" w:cs="仿宋_GB2312"/>
          <w:sz w:val="32"/>
          <w:szCs w:val="32"/>
          <w:rtl w:val="0"/>
          <w:lang w:val="zh-TW" w:eastAsia="zh-TW"/>
        </w:rPr>
        <w:t>教师队伍相对稳定；大部分培训机构无超范围办学情况；未发现乱收费和虚假宣传招生的现象；财务制度基本健全，财务报表基本规范；重视安全工作，安全制度完善，全年无安全事故发生。</w:t>
      </w:r>
    </w:p>
    <w:p>
      <w:pPr>
        <w:framePr w:w="0" w:wrap="auto" w:vAnchor="margin" w:hAnchor="text" w:yAlign="inline"/>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检查中也发现个别培训机构消防演练次数一年不足四次，后端监控储存时间不足</w:t>
      </w:r>
      <w:r>
        <w:rPr>
          <w:rFonts w:ascii="仿宋_GB2312" w:hAnsi="仿宋_GB2312" w:eastAsia="仿宋_GB2312" w:cs="仿宋_GB2312"/>
          <w:sz w:val="32"/>
          <w:szCs w:val="32"/>
          <w:rtl w:val="0"/>
          <w:lang w:val="en-US"/>
        </w:rPr>
        <w:t>30</w:t>
      </w:r>
      <w:r>
        <w:rPr>
          <w:rFonts w:ascii="仿宋_GB2312" w:hAnsi="仿宋_GB2312" w:eastAsia="仿宋_GB2312" w:cs="仿宋_GB2312"/>
          <w:sz w:val="32"/>
          <w:szCs w:val="32"/>
          <w:rtl w:val="0"/>
          <w:lang w:val="zh-TW" w:eastAsia="zh-TW"/>
        </w:rPr>
        <w:t>天，个别培训机构管理制度不完善等。以上问题均已要求限时整改，我局还将逐一复查。</w:t>
      </w:r>
    </w:p>
    <w:p>
      <w:pPr>
        <w:framePr w:w="0" w:wrap="auto" w:vAnchor="margin" w:hAnchor="text" w:yAlign="inline"/>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经我局审批设立的非学历教育培训机构整体呈</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南多北少、南强北弱</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之势，经过近两年治理整改，逐渐能够规范办学，成为学校教育的有益补充。</w:t>
      </w:r>
      <w:r>
        <w:rPr>
          <w:rFonts w:ascii="仿宋_GB2312" w:hAnsi="仿宋_GB2312" w:eastAsia="仿宋_GB2312" w:cs="仿宋_GB2312"/>
          <w:sz w:val="32"/>
          <w:szCs w:val="32"/>
          <w:rtl w:val="0"/>
          <w:lang w:val="en-US"/>
        </w:rPr>
        <w:t xml:space="preserve"> </w:t>
      </w:r>
    </w:p>
    <w:p>
      <w:pPr>
        <w:framePr w:w="0" w:wrap="auto" w:vAnchor="margin" w:hAnchor="text" w:yAlign="inline"/>
        <w:spacing w:line="560" w:lineRule="exact"/>
        <w:ind w:firstLine="645"/>
        <w:rPr>
          <w:rFonts w:hint="eastAsia" w:ascii="黑体" w:hAnsi="黑体" w:eastAsia="黑体" w:cs="黑体"/>
          <w:b w:val="0"/>
          <w:bCs w:val="0"/>
          <w:sz w:val="32"/>
          <w:szCs w:val="32"/>
        </w:rPr>
      </w:pPr>
      <w:r>
        <w:rPr>
          <w:rFonts w:hint="eastAsia" w:ascii="黑体" w:hAnsi="黑体" w:eastAsia="黑体" w:cs="黑体"/>
          <w:b w:val="0"/>
          <w:bCs w:val="0"/>
          <w:sz w:val="32"/>
          <w:szCs w:val="32"/>
          <w:rtl w:val="0"/>
          <w:lang w:val="zh-TW" w:eastAsia="zh-TW"/>
        </w:rPr>
        <w:t>二、</w:t>
      </w:r>
      <w:r>
        <w:rPr>
          <w:rFonts w:hint="eastAsia" w:ascii="黑体" w:hAnsi="黑体" w:eastAsia="黑体" w:cs="黑体"/>
          <w:b w:val="0"/>
          <w:bCs w:val="0"/>
          <w:sz w:val="32"/>
          <w:szCs w:val="32"/>
          <w:rtl w:val="0"/>
          <w:lang w:val="zh-TW" w:eastAsia="zh-CN"/>
        </w:rPr>
        <w:t>年检</w:t>
      </w:r>
      <w:r>
        <w:rPr>
          <w:rFonts w:hint="eastAsia" w:ascii="黑体" w:hAnsi="黑体" w:eastAsia="黑体" w:cs="黑体"/>
          <w:b w:val="0"/>
          <w:bCs w:val="0"/>
          <w:sz w:val="32"/>
          <w:szCs w:val="32"/>
          <w:rtl w:val="0"/>
          <w:lang w:val="zh-TW" w:eastAsia="zh-TW"/>
        </w:rPr>
        <w:t>结论</w:t>
      </w:r>
    </w:p>
    <w:p>
      <w:pPr>
        <w:framePr w:w="0" w:wrap="auto" w:vAnchor="margin" w:hAnchor="text" w:yAlign="inline"/>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根据评价指标和现场检查情况，经评定，年检结论如下：</w:t>
      </w:r>
    </w:p>
    <w:p>
      <w:pPr>
        <w:framePr w:w="0" w:wrap="auto" w:vAnchor="margin" w:hAnchor="text" w:yAlign="inline"/>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tl w:val="0"/>
          <w:lang w:val="zh-TW" w:eastAsia="zh-TW"/>
        </w:rPr>
        <w:t>（一）合格单位</w:t>
      </w:r>
    </w:p>
    <w:p>
      <w:pPr>
        <w:framePr w:w="0" w:wrap="auto" w:vAnchor="margin" w:hAnchor="text" w:yAlign="inline"/>
        <w:spacing w:line="560" w:lineRule="exact"/>
        <w:ind w:firstLine="640"/>
        <w:jc w:val="center"/>
        <w:rPr>
          <w:rFonts w:ascii="仿宋_GB2312" w:hAnsi="仿宋_GB2312" w:eastAsia="仿宋_GB2312" w:cs="仿宋_GB2312"/>
          <w:sz w:val="32"/>
          <w:szCs w:val="32"/>
          <w:rtl w:val="0"/>
          <w:lang w:val="zh-TW" w:eastAsia="zh-TW"/>
        </w:rPr>
      </w:pPr>
      <w:r>
        <w:rPr>
          <w:rFonts w:ascii="仿宋_GB2312" w:hAnsi="仿宋_GB2312" w:eastAsia="仿宋_GB2312" w:cs="仿宋_GB2312"/>
          <w:sz w:val="32"/>
          <w:szCs w:val="32"/>
          <w:rtl w:val="0"/>
          <w:lang w:val="zh-TW" w:eastAsia="zh-TW"/>
        </w:rPr>
        <w:t>深圳市龙华区乔治亚培训中心、深圳市龙华区爱卓教育培训中心、深圳市龙华区世尔教育培训中心、深圳市龙华区尚德培训中心、深圳市龙华区华信培训中心、深圳市龙华区悠山美地翔翎培训学校、深圳市龙华区智仁教育培训中心、深圳市龙华区东方培训中心、深圳市龙华区金博士培训中心、深圳市龙华区大狮人才培训中心、深圳市龙</w:t>
      </w:r>
    </w:p>
    <w:p>
      <w:pPr>
        <w:framePr w:w="0" w:wrap="auto" w:vAnchor="margin" w:hAnchor="text" w:yAlign="inline"/>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华区前程泽亮教育培训中心共</w:t>
      </w:r>
      <w:r>
        <w:rPr>
          <w:rFonts w:ascii="仿宋_GB2312" w:hAnsi="仿宋_GB2312" w:eastAsia="仿宋_GB2312" w:cs="仿宋_GB2312"/>
          <w:sz w:val="32"/>
          <w:szCs w:val="32"/>
          <w:rtl w:val="0"/>
          <w:lang w:val="en-US"/>
        </w:rPr>
        <w:t>11</w:t>
      </w:r>
      <w:r>
        <w:rPr>
          <w:rFonts w:ascii="仿宋_GB2312" w:hAnsi="仿宋_GB2312" w:eastAsia="仿宋_GB2312" w:cs="仿宋_GB2312"/>
          <w:sz w:val="32"/>
          <w:szCs w:val="32"/>
          <w:rtl w:val="0"/>
          <w:lang w:val="zh-TW" w:eastAsia="zh-TW"/>
        </w:rPr>
        <w:t>家培训机构年检结论为合格。</w:t>
      </w:r>
    </w:p>
    <w:p>
      <w:pPr>
        <w:framePr w:w="0" w:wrap="auto" w:vAnchor="margin" w:hAnchor="text" w:yAlign="inline"/>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tl w:val="0"/>
          <w:lang w:val="zh-TW" w:eastAsia="zh-TW"/>
        </w:rPr>
        <w:t>（二）不合格单位</w:t>
      </w:r>
    </w:p>
    <w:p>
      <w:pPr>
        <w:framePr w:w="0" w:wrap="auto" w:vAnchor="margin" w:hAnchor="text" w:yAlign="inline"/>
        <w:spacing w:line="560" w:lineRule="exact"/>
        <w:ind w:firstLine="645"/>
        <w:rPr>
          <w:rFonts w:ascii="仿宋_GB2312" w:hAnsi="仿宋_GB2312" w:eastAsia="仿宋_GB2312" w:cs="仿宋_GB2312"/>
          <w:b/>
          <w:bCs/>
          <w:sz w:val="32"/>
          <w:szCs w:val="32"/>
        </w:rPr>
      </w:pPr>
      <w:r>
        <w:rPr>
          <w:rFonts w:ascii="仿宋_GB2312" w:hAnsi="仿宋_GB2312" w:eastAsia="仿宋_GB2312" w:cs="仿宋_GB2312"/>
          <w:sz w:val="32"/>
          <w:szCs w:val="32"/>
          <w:rtl w:val="0"/>
          <w:lang w:val="en-US"/>
        </w:rPr>
        <w:t>深圳市</w:t>
      </w:r>
      <w:r>
        <w:rPr>
          <w:rFonts w:ascii="仿宋_GB2312" w:hAnsi="仿宋_GB2312" w:eastAsia="仿宋_GB2312" w:cs="仿宋_GB2312"/>
          <w:sz w:val="32"/>
          <w:szCs w:val="32"/>
          <w:rtl w:val="0"/>
          <w:lang w:val="zh-TW" w:eastAsia="zh-TW"/>
        </w:rPr>
        <w:t>龙华区青苗培训中心和深圳市龙华区圆梦教育培训中心均已停止办学，场所已作他用，无法年检，年检结论为不合格。</w:t>
      </w:r>
    </w:p>
    <w:p>
      <w:pPr>
        <w:framePr w:w="0" w:wrap="auto" w:vAnchor="margin" w:hAnchor="text" w:yAlign="inline"/>
        <w:spacing w:line="560" w:lineRule="exact"/>
        <w:ind w:firstLine="645"/>
        <w:rPr>
          <w:rFonts w:ascii="仿宋_GB2312" w:hAnsi="仿宋_GB2312" w:eastAsia="仿宋_GB2312" w:cs="仿宋_GB2312"/>
          <w:sz w:val="32"/>
          <w:szCs w:val="32"/>
        </w:rPr>
      </w:pPr>
    </w:p>
    <w:p>
      <w:pPr>
        <w:framePr w:w="0" w:wrap="auto" w:vAnchor="margin" w:hAnchor="text" w:yAlign="inline"/>
        <w:spacing w:line="560" w:lineRule="exact"/>
        <w:ind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 xml:space="preserve">              </w:t>
      </w:r>
      <w:r>
        <w:rPr>
          <w:rFonts w:ascii="仿宋_GB2312" w:hAnsi="仿宋_GB2312" w:eastAsia="仿宋_GB2312" w:cs="仿宋_GB2312"/>
          <w:sz w:val="32"/>
          <w:szCs w:val="32"/>
          <w:rtl w:val="0"/>
          <w:lang w:val="zh-TW" w:eastAsia="zh-TW"/>
        </w:rPr>
        <w:t>深圳市龙华区教育局</w:t>
      </w:r>
    </w:p>
    <w:p>
      <w:pPr>
        <w:framePr w:w="0" w:wrap="auto" w:vAnchor="margin" w:hAnchor="text" w:yAlign="inline"/>
        <w:spacing w:line="540" w:lineRule="exact"/>
        <w:ind w:right="640" w:firstLine="645"/>
        <w:jc w:val="center"/>
        <w:rPr>
          <w:rFonts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en-US" w:eastAsia="zh-CN"/>
        </w:rPr>
        <w:t xml:space="preserve">                  </w:t>
      </w:r>
      <w:r>
        <w:rPr>
          <w:rFonts w:ascii="仿宋_GB2312" w:hAnsi="仿宋_GB2312" w:eastAsia="仿宋_GB2312" w:cs="仿宋_GB2312"/>
          <w:sz w:val="32"/>
          <w:szCs w:val="32"/>
          <w:rtl w:val="0"/>
          <w:lang w:val="en-US"/>
        </w:rPr>
        <w:t>2019</w:t>
      </w:r>
      <w:r>
        <w:rPr>
          <w:rFonts w:ascii="仿宋_GB2312" w:hAnsi="仿宋_GB2312" w:eastAsia="仿宋_GB2312" w:cs="仿宋_GB2312"/>
          <w:sz w:val="32"/>
          <w:szCs w:val="32"/>
          <w:rtl w:val="0"/>
          <w:lang w:val="zh-TW" w:eastAsia="zh-TW"/>
        </w:rPr>
        <w:t>年</w:t>
      </w:r>
      <w:r>
        <w:rPr>
          <w:rFonts w:ascii="仿宋_GB2312" w:hAnsi="仿宋_GB2312" w:eastAsia="仿宋_GB2312" w:cs="仿宋_GB2312"/>
          <w:sz w:val="32"/>
          <w:szCs w:val="32"/>
          <w:rtl w:val="0"/>
          <w:lang w:val="en-US"/>
        </w:rPr>
        <w:t>5</w:t>
      </w:r>
      <w:r>
        <w:rPr>
          <w:rFonts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22</w:t>
      </w:r>
      <w:r>
        <w:rPr>
          <w:rFonts w:ascii="仿宋_GB2312" w:hAnsi="仿宋_GB2312" w:eastAsia="仿宋_GB2312" w:cs="仿宋_GB2312"/>
          <w:sz w:val="32"/>
          <w:szCs w:val="32"/>
          <w:rtl w:val="0"/>
          <w:lang w:val="zh-TW" w:eastAsia="zh-TW"/>
        </w:rPr>
        <w:t>日</w:t>
      </w:r>
    </w:p>
    <w:p>
      <w:pPr>
        <w:framePr w:w="0" w:wrap="auto" w:vAnchor="margin" w:hAnchor="text" w:yAlign="inline"/>
        <w:spacing w:line="540" w:lineRule="exact"/>
        <w:ind w:right="640" w:firstLine="645"/>
        <w:jc w:val="center"/>
        <w:rPr>
          <w:rFonts w:ascii="仿宋_GB2312" w:hAnsi="仿宋_GB2312" w:eastAsia="仿宋_GB2312" w:cs="仿宋_GB2312"/>
          <w:sz w:val="32"/>
          <w:szCs w:val="32"/>
          <w:rtl w:val="0"/>
          <w:lang w:val="zh-TW" w:eastAsia="zh-TW"/>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hd w:val="clear" w:color="auto" w:fill="auto"/>
        <w:spacing w:line="560" w:lineRule="exact"/>
        <w:ind w:firstLine="645"/>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（联系人：张林卫，电话：21046624）</w:t>
      </w: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p>
      <w:pPr>
        <w:framePr w:w="0" w:wrap="auto" w:vAnchor="margin" w:hAnchor="text" w:yAlign="inline"/>
        <w:spacing w:line="540" w:lineRule="exact"/>
        <w:ind w:right="640" w:firstLine="645"/>
        <w:jc w:val="both"/>
        <w:rPr>
          <w:rFonts w:hint="eastAsia" w:ascii="仿宋_GB2312" w:hAnsi="仿宋_GB2312" w:eastAsia="仿宋_GB2312" w:cs="仿宋_GB2312"/>
          <w:color w:val="FF2D21" w:themeColor="accent5"/>
          <w:sz w:val="32"/>
          <w:szCs w:val="32"/>
          <w:rtl w:val="0"/>
          <w:lang w:val="en-US" w:eastAsia="zh-CN"/>
          <w14:textFill>
            <w14:solidFill>
              <w14:schemeClr w14:val="accent5"/>
            </w14:solidFill>
          </w14:textFill>
        </w:rPr>
      </w:pPr>
    </w:p>
    <w:sectPr>
      <w:headerReference r:id="rId3" w:type="default"/>
      <w:footerReference r:id="rId4" w:type="default"/>
      <w:pgSz w:w="11900" w:h="16840"/>
      <w:pgMar w:top="1440" w:right="1800" w:bottom="1440" w:left="1800"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2"/>
                            <w:frameP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45pt;height:144pt;width:144pt;mso-position-horizontal:outside;mso-position-horizontal-relative:margin;mso-wrap-style:none;z-index:251658240;mso-width-relative:page;mso-height-relative:page;" filled="f" stroked="f" coordsize="21600,21600" o:gfxdata="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da8mdMAAAAGAQAADwAAAAAAAAABACAAAAAiAAAAZHJzL2Rvd25yZXYueG1sUEsBAhQAFAAAAAgA&#10;h07iQK76KUgqAgAAOgQAAA4AAAAAAAAAAQAgAAAAIgEAAGRycy9lMm9Eb2MueG1sUEsFBgAAAAAG&#10;AAYAWQEAAL4FAAAAAA==&#10;">
              <v:fill on="f" focussize="0,0"/>
              <v:stroke on="f" weight="1pt" miterlimit="4" joinstyle="miter"/>
              <v:imagedata o:title=""/>
              <o:lock v:ext="edit" aspectratio="f"/>
              <v:textbox inset="0mm,0mm,0mm,0mm" style="mso-fit-shape-to-text:t;">
                <w:txbxContent>
                  <w:p>
                    <w:pPr>
                      <w:pStyle w:val="2"/>
                      <w:frameP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35E02AD"/>
    <w:rsid w:val="092C334A"/>
    <w:rsid w:val="0D121474"/>
    <w:rsid w:val="13CC4134"/>
    <w:rsid w:val="18B7146D"/>
    <w:rsid w:val="1B400AAB"/>
    <w:rsid w:val="218D13D0"/>
    <w:rsid w:val="35DE2C4E"/>
    <w:rsid w:val="4D042344"/>
    <w:rsid w:val="4DD518F9"/>
    <w:rsid w:val="5B277FCD"/>
    <w:rsid w:val="5DC15271"/>
    <w:rsid w:val="6D082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eastAsia="en-US"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2019-05-17T01:54:00Z</dcterms:created>
  <dc:creator>noewsq</dc:creator>
  <cp:lastModifiedBy>NTKO</cp:lastModifiedBy>
  <cp:lastPrinted>2019-05-17T01:56:00Z</cp:lastPrinted>
  <dcterms:modified xsi:type="dcterms:W3CDTF">2019-07-18T08:08:20Z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