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0"/>
        </w:rPr>
      </w:pPr>
      <w:r>
        <w:rPr>
          <w:rFonts w:hint="eastAsia" w:ascii="黑体" w:eastAsia="黑体"/>
          <w:b/>
          <w:sz w:val="36"/>
          <w:szCs w:val="30"/>
        </w:rPr>
        <w:t>深圳标准先进性评价细则</w:t>
      </w:r>
    </w:p>
    <w:p>
      <w:pPr>
        <w:jc w:val="center"/>
        <w:rPr>
          <w:rFonts w:ascii="黑体" w:eastAsia="黑体"/>
          <w:b/>
          <w:sz w:val="36"/>
          <w:szCs w:val="30"/>
        </w:rPr>
      </w:pPr>
      <w:r>
        <w:rPr>
          <w:rFonts w:hint="eastAsia" w:ascii="黑体" w:eastAsia="黑体"/>
          <w:b/>
          <w:sz w:val="36"/>
          <w:szCs w:val="30"/>
        </w:rPr>
        <w:t>实木地板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为对实木地板产品标准进行深圳标准先进性评价，特制定本细则。本细则主要内容包括但不限于：主要技术指标确定程序、主要技术指标、先进性判定标准、先进性评价程序等。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具体如下：</w:t>
      </w:r>
    </w:p>
    <w:p>
      <w:pPr>
        <w:pStyle w:val="9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主要技术指标确定程序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主要技术指标的确定程序包括：</w:t>
      </w:r>
    </w:p>
    <w:p>
      <w:pPr>
        <w:pStyle w:val="9"/>
        <w:numPr>
          <w:ilvl w:val="0"/>
          <w:numId w:val="2"/>
        </w:numPr>
        <w:ind w:left="1134" w:hanging="534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梳理国内外相关标准，形成相关的标准集合；</w:t>
      </w:r>
    </w:p>
    <w:p>
      <w:pPr>
        <w:pStyle w:val="9"/>
        <w:numPr>
          <w:ilvl w:val="0"/>
          <w:numId w:val="2"/>
        </w:numPr>
        <w:ind w:left="1134" w:hanging="534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收集产品相关的认证项目和检测要求；</w:t>
      </w:r>
    </w:p>
    <w:p>
      <w:pPr>
        <w:pStyle w:val="9"/>
        <w:numPr>
          <w:ilvl w:val="0"/>
          <w:numId w:val="2"/>
        </w:numPr>
        <w:ind w:left="1134" w:hanging="534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基于行业现状和市场需求，按照指标项的类型、层次、作用进行划分，形成指标池；</w:t>
      </w:r>
    </w:p>
    <w:p>
      <w:pPr>
        <w:pStyle w:val="9"/>
        <w:numPr>
          <w:ilvl w:val="0"/>
          <w:numId w:val="2"/>
        </w:numPr>
        <w:ind w:left="1134" w:hanging="534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征求行业协会、</w:t>
      </w:r>
      <w:r>
        <w:rPr>
          <w:rFonts w:hint="eastAsia" w:ascii="Times New Roman" w:hAnsi="Times New Roman"/>
          <w:kern w:val="0"/>
          <w:sz w:val="30"/>
          <w:szCs w:val="30"/>
        </w:rPr>
        <w:t>专业技术机构</w:t>
      </w:r>
      <w:r>
        <w:rPr>
          <w:rFonts w:hint="eastAsia"/>
          <w:sz w:val="30"/>
          <w:szCs w:val="30"/>
        </w:rPr>
        <w:t>意见，召开专家评审会，在指标池中抽取核心指标，并确定核心指标基准线。</w:t>
      </w:r>
    </w:p>
    <w:p>
      <w:pPr>
        <w:pStyle w:val="9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实木地板产品标准评价</w:t>
      </w:r>
    </w:p>
    <w:p>
      <w:pPr>
        <w:pStyle w:val="9"/>
        <w:numPr>
          <w:ilvl w:val="0"/>
          <w:numId w:val="3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主要技术指标</w:t>
      </w:r>
    </w:p>
    <w:p>
      <w:pPr>
        <w:pStyle w:val="9"/>
        <w:ind w:firstLine="600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梳理实木地板指标项，</w:t>
      </w:r>
      <w:r>
        <w:rPr>
          <w:rFonts w:hint="eastAsia"/>
          <w:b/>
          <w:sz w:val="30"/>
          <w:szCs w:val="30"/>
        </w:rPr>
        <w:t xml:space="preserve">在满足国家标准GB/T </w:t>
      </w:r>
      <w:r>
        <w:rPr>
          <w:b/>
          <w:sz w:val="30"/>
          <w:szCs w:val="30"/>
        </w:rPr>
        <w:t>15036</w:t>
      </w:r>
      <w:r>
        <w:rPr>
          <w:rFonts w:hint="eastAsia"/>
          <w:b/>
          <w:sz w:val="30"/>
          <w:szCs w:val="30"/>
        </w:rPr>
        <w:t>.1</w:t>
      </w:r>
      <w:r>
        <w:rPr>
          <w:b/>
          <w:sz w:val="30"/>
          <w:szCs w:val="30"/>
        </w:rPr>
        <w:t>-2018</w:t>
      </w:r>
      <w:r>
        <w:rPr>
          <w:rFonts w:hint="eastAsia"/>
          <w:b/>
          <w:sz w:val="30"/>
          <w:szCs w:val="30"/>
        </w:rPr>
        <w:t>《实木地板 第1部分</w:t>
      </w:r>
      <w:r>
        <w:rPr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>技术</w:t>
      </w:r>
      <w:r>
        <w:rPr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》、GB/T 15036.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-2018《实木地板 第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部分：检验方法》的基础上，</w:t>
      </w:r>
      <w:r>
        <w:rPr>
          <w:rFonts w:hint="eastAsia"/>
          <w:sz w:val="30"/>
          <w:szCs w:val="30"/>
        </w:rPr>
        <w:t>对指标的国内外现状进行分析研究</w:t>
      </w:r>
      <w:r>
        <w:rPr>
          <w:rFonts w:hint="eastAsia" w:ascii="宋体" w:hAnsi="宋体"/>
          <w:sz w:val="30"/>
          <w:szCs w:val="30"/>
        </w:rPr>
        <w:t>，以国内领先、国际先进水平或者填补国内、国际空白为原则，从以下</w:t>
      </w:r>
      <w:r>
        <w:rPr>
          <w:rFonts w:hint="eastAsia" w:ascii="宋体" w:hAnsi="宋体"/>
          <w:color w:val="000000"/>
          <w:sz w:val="30"/>
          <w:szCs w:val="30"/>
        </w:rPr>
        <w:t>八类指标</w:t>
      </w:r>
      <w:r>
        <w:rPr>
          <w:rFonts w:hint="eastAsia" w:ascii="宋体" w:hAnsi="宋体"/>
          <w:sz w:val="30"/>
          <w:szCs w:val="30"/>
        </w:rPr>
        <w:t>性质提出影响产品质量的主要技术指标：</w:t>
      </w:r>
    </w:p>
    <w:p>
      <w:pPr>
        <w:pStyle w:val="9"/>
        <w:numPr>
          <w:ilvl w:val="0"/>
          <w:numId w:val="4"/>
        </w:numPr>
        <w:ind w:firstLineChars="0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产品创新，</w:t>
      </w:r>
      <w:r>
        <w:rPr>
          <w:rFonts w:hint="eastAsia" w:ascii="宋体" w:hAnsi="宋体"/>
          <w:sz w:val="30"/>
          <w:szCs w:val="30"/>
        </w:rPr>
        <w:t>能够进一步满足顾客需求，开辟新的市场；</w:t>
      </w:r>
    </w:p>
    <w:p>
      <w:pPr>
        <w:pStyle w:val="9"/>
        <w:numPr>
          <w:ilvl w:val="0"/>
          <w:numId w:val="4"/>
        </w:numPr>
        <w:ind w:firstLineChars="0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符合产业政策引导方向</w:t>
      </w:r>
      <w:r>
        <w:rPr>
          <w:rFonts w:hint="eastAsia" w:ascii="宋体" w:hAnsi="宋体"/>
          <w:sz w:val="30"/>
          <w:szCs w:val="30"/>
        </w:rPr>
        <w:t>；</w:t>
      </w:r>
    </w:p>
    <w:p>
      <w:pPr>
        <w:pStyle w:val="9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填补国内（国际）空白，</w:t>
      </w:r>
      <w:r>
        <w:rPr>
          <w:rFonts w:hint="eastAsia" w:ascii="宋体" w:hAnsi="宋体"/>
          <w:sz w:val="30"/>
          <w:szCs w:val="30"/>
        </w:rPr>
        <w:t>能够提升产品质量；</w:t>
      </w:r>
    </w:p>
    <w:p>
      <w:pPr>
        <w:pStyle w:val="9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严于国家行业标准，</w:t>
      </w:r>
      <w:r>
        <w:rPr>
          <w:rFonts w:hint="eastAsia" w:ascii="宋体" w:hAnsi="宋体"/>
          <w:sz w:val="30"/>
          <w:szCs w:val="30"/>
        </w:rPr>
        <w:t>质量提升明显；</w:t>
      </w:r>
    </w:p>
    <w:p>
      <w:pPr>
        <w:pStyle w:val="9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清洁生产，</w:t>
      </w:r>
      <w:r>
        <w:rPr>
          <w:rFonts w:hint="eastAsia" w:ascii="宋体" w:hAnsi="宋体"/>
          <w:sz w:val="30"/>
          <w:szCs w:val="30"/>
        </w:rPr>
        <w:t>材料选择、生产过程生态环保；</w:t>
      </w:r>
    </w:p>
    <w:p>
      <w:pPr>
        <w:pStyle w:val="9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产品安全健康环保，</w:t>
      </w:r>
      <w:r>
        <w:rPr>
          <w:rFonts w:hint="eastAsia" w:ascii="宋体" w:hAnsi="宋体"/>
          <w:sz w:val="30"/>
          <w:szCs w:val="30"/>
        </w:rPr>
        <w:t>维护人体安全，有利身体健康，加强环境保护；</w:t>
      </w:r>
    </w:p>
    <w:p>
      <w:pPr>
        <w:pStyle w:val="9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消费体验，</w:t>
      </w:r>
      <w:r>
        <w:rPr>
          <w:rFonts w:hint="eastAsia" w:ascii="宋体" w:hAnsi="宋体"/>
          <w:sz w:val="30"/>
          <w:szCs w:val="30"/>
        </w:rPr>
        <w:t>满足消费者实际需求，提升用户体验；</w:t>
      </w:r>
    </w:p>
    <w:p>
      <w:pPr>
        <w:pStyle w:val="9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行业特殊要求，</w:t>
      </w:r>
      <w:r>
        <w:rPr>
          <w:rFonts w:hint="eastAsia" w:ascii="宋体" w:hAnsi="宋体"/>
          <w:sz w:val="30"/>
          <w:szCs w:val="30"/>
        </w:rPr>
        <w:t>符合并高于产品所在行业的特殊要求，带动质量明显提升。</w:t>
      </w:r>
    </w:p>
    <w:p>
      <w:pPr>
        <w:pStyle w:val="9"/>
        <w:numPr>
          <w:ilvl w:val="0"/>
          <w:numId w:val="3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先进性判定标准</w:t>
      </w:r>
    </w:p>
    <w:p>
      <w:pPr>
        <w:ind w:firstLine="600" w:firstLineChars="200"/>
        <w:rPr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</w:rPr>
        <w:t>先进性判定标准见表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>
      <w:pPr>
        <w:ind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 xml:space="preserve">1  </w:t>
      </w:r>
      <w:r>
        <w:rPr>
          <w:rFonts w:hint="eastAsia"/>
          <w:sz w:val="24"/>
          <w:szCs w:val="24"/>
        </w:rPr>
        <w:t>实木地板产品先进性判定标准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323"/>
        <w:gridCol w:w="1161"/>
        <w:gridCol w:w="761"/>
        <w:gridCol w:w="1961"/>
        <w:gridCol w:w="2028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92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1323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指标性质</w:t>
            </w:r>
          </w:p>
        </w:tc>
        <w:tc>
          <w:tcPr>
            <w:tcW w:w="1922" w:type="dxa"/>
            <w:gridSpan w:val="2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关键指标项</w:t>
            </w:r>
          </w:p>
        </w:tc>
        <w:tc>
          <w:tcPr>
            <w:tcW w:w="1961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指标先进</w:t>
            </w:r>
            <w:r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  <w:t>值</w:t>
            </w:r>
          </w:p>
        </w:tc>
        <w:tc>
          <w:tcPr>
            <w:tcW w:w="2028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检测方法</w:t>
            </w:r>
          </w:p>
        </w:tc>
        <w:tc>
          <w:tcPr>
            <w:tcW w:w="1334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92" w:type="dxa"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23" w:type="dxa"/>
            <w:vMerge w:val="restart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严于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国家行业标准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消费体验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漆膜表面</w:t>
            </w:r>
            <w:r>
              <w:rPr>
                <w:rFonts w:asciiTheme="minorEastAsia" w:hAnsiTheme="minorEastAsia" w:eastAsiaTheme="minorEastAsia"/>
              </w:rPr>
              <w:t>耐磨/</w:t>
            </w:r>
            <w:r>
              <w:rPr>
                <w:rFonts w:hint="eastAsia" w:asciiTheme="minorEastAsia" w:hAnsiTheme="minorEastAsia" w:eastAsiaTheme="minorEastAsia"/>
              </w:rPr>
              <w:t>（g/100r）</w:t>
            </w:r>
            <w:r>
              <w:rPr>
                <w:rFonts w:asciiTheme="minorEastAsia" w:hAnsiTheme="minorEastAsia" w:eastAsiaTheme="minorEastAsia"/>
              </w:rPr>
              <w:t>≤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</w:rPr>
              <w:t>0.08</w:t>
            </w:r>
            <w:r>
              <w:rPr>
                <w:rFonts w:hint="eastAsia" w:asciiTheme="minorEastAsia" w:hAnsiTheme="minorEastAsia" w:eastAsiaTheme="minorEastAsia"/>
              </w:rPr>
              <w:t>，且漆膜未磨透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GB/T 15036.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-2018实木地板 第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部分：检验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方法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非平面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实木地板、未涂饰实木地板、油饰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实木地板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漆膜表面耐磨、漆膜附着力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不作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92" w:type="dxa"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漆膜附着力/（级）</w:t>
            </w:r>
            <w:r>
              <w:rPr>
                <w:rFonts w:asciiTheme="minorEastAsia" w:hAnsiTheme="minorEastAsia" w:eastAsiaTheme="minorEastAsia"/>
              </w:rPr>
              <w:t>≤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GB/T 15036.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-2018实木地板 第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部分：检验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方法</w:t>
            </w:r>
          </w:p>
        </w:tc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492" w:type="dxa"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可溶性重金属总含量</w:t>
            </w:r>
            <w:r>
              <w:rPr>
                <w:rFonts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</w:rPr>
              <w:t>板面</w:t>
            </w:r>
            <w:r>
              <w:rPr>
                <w:rFonts w:asciiTheme="minorEastAsia" w:hAnsiTheme="minorEastAsia" w:eastAsiaTheme="minorEastAsia"/>
              </w:rPr>
              <w:t>涂层）</w:t>
            </w:r>
            <w:r>
              <w:rPr>
                <w:rFonts w:hint="eastAsia" w:asciiTheme="minorEastAsia" w:hAnsiTheme="minorEastAsia" w:eastAsiaTheme="minorEastAsia"/>
              </w:rPr>
              <w:t>/（</w:t>
            </w:r>
            <w:r>
              <w:rPr>
                <w:rFonts w:asciiTheme="minorEastAsia" w:hAnsiTheme="minorEastAsia" w:eastAsiaTheme="minorEastAsia"/>
              </w:rPr>
              <w:t>mg/kg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  <w:r>
              <w:rPr>
                <w:rFonts w:asciiTheme="minorEastAsia" w:hAnsiTheme="minorEastAsia" w:eastAsiaTheme="minorEastAsia"/>
              </w:rPr>
              <w:t>≤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40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GB/T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33042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-201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木质地板饰面层中铅、、镉、铬、汞重金属元素含量测定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23" w:type="dxa"/>
            <w:vMerge w:val="restart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产品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安全健康环保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挥发性有机</w:t>
            </w:r>
            <w:r>
              <w:rPr>
                <w:rFonts w:asciiTheme="minorEastAsia" w:hAnsiTheme="minorEastAsia" w:eastAsiaTheme="minorEastAsia"/>
              </w:rPr>
              <w:t>化合物</w:t>
            </w:r>
            <w:r>
              <w:rPr>
                <w:rFonts w:hint="eastAsia" w:asciiTheme="minorEastAsia" w:hAnsiTheme="minorEastAsia" w:eastAsiaTheme="minorEastAsia"/>
              </w:rPr>
              <w:t>（72h）/（</w:t>
            </w:r>
            <w:r>
              <w:rPr>
                <w:rFonts w:asciiTheme="minorEastAsia" w:hAnsiTheme="minorEastAsia" w:eastAsiaTheme="minorEastAsia"/>
              </w:rPr>
              <w:t>ug/m³</w:t>
            </w:r>
            <w:r>
              <w:rPr>
                <w:rFonts w:hint="eastAsia" w:asciiTheme="minorEastAsia" w:hAnsiTheme="minorEastAsia" w:eastAsiaTheme="minorEastAsia"/>
              </w:rPr>
              <w:t>）≤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苯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GB/T 31106-2014家具中挥发性有机化合物的测定</w:t>
            </w:r>
          </w:p>
        </w:tc>
        <w:tc>
          <w:tcPr>
            <w:tcW w:w="2028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按照GB/T 31106-2014家具中挥发性有机化合物的测定中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的第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5章规定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执行。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</w:t>
            </w:r>
          </w:p>
        </w:tc>
        <w:tc>
          <w:tcPr>
            <w:tcW w:w="196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asciiTheme="minorEastAsia" w:hAnsiTheme="minorEastAsia" w:eastAsiaTheme="minorEastAsia"/>
                <w:szCs w:val="22"/>
              </w:rPr>
              <w:t>10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二甲苯</w:t>
            </w:r>
          </w:p>
        </w:tc>
        <w:tc>
          <w:tcPr>
            <w:tcW w:w="196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asciiTheme="minorEastAsia" w:hAnsiTheme="minorEastAsia" w:eastAsiaTheme="minorEastAsia"/>
                <w:szCs w:val="22"/>
              </w:rPr>
              <w:t>10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黑体"/>
          <w:szCs w:val="20"/>
        </w:rPr>
        <w:sectPr>
          <w:headerReference r:id="rId7" w:type="default"/>
          <w:pgSz w:w="11906" w:h="16838"/>
          <w:pgMar w:top="1418" w:right="1531" w:bottom="1418" w:left="1531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>
        <w:rPr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先进性评价程序</w:t>
      </w:r>
    </w:p>
    <w:p>
      <w:pPr>
        <w:jc w:val="center"/>
      </w:pPr>
      <w:r>
        <w:drawing>
          <wp:inline distT="0" distB="0" distL="0" distR="0">
            <wp:extent cx="4452620" cy="539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9"/>
        <w:numPr>
          <w:ilvl w:val="0"/>
          <w:numId w:val="7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实施日期</w:t>
      </w:r>
    </w:p>
    <w:p>
      <w:pPr>
        <w:ind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本细则</w:t>
      </w:r>
      <w:r>
        <w:rPr>
          <w:rFonts w:ascii="宋体" w:hAnsi="宋体"/>
          <w:sz w:val="30"/>
          <w:szCs w:val="30"/>
        </w:rPr>
        <w:t>自</w:t>
      </w:r>
      <w:r>
        <w:rPr>
          <w:rFonts w:hint="eastAsia" w:ascii="宋体" w:hAnsi="宋体"/>
          <w:sz w:val="30"/>
          <w:szCs w:val="30"/>
        </w:rPr>
        <w:t>20</w:t>
      </w:r>
      <w:r>
        <w:rPr>
          <w:rFonts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日起</w:t>
      </w:r>
      <w:r>
        <w:rPr>
          <w:rFonts w:ascii="宋体" w:hAnsi="宋体"/>
          <w:sz w:val="30"/>
          <w:szCs w:val="30"/>
        </w:rPr>
        <w:t>实施。</w:t>
      </w:r>
    </w:p>
    <w:p>
      <w:pPr>
        <w:pStyle w:val="9"/>
        <w:numPr>
          <w:ilvl w:val="0"/>
          <w:numId w:val="7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发布机构</w:t>
      </w:r>
    </w:p>
    <w:p>
      <w:pPr>
        <w:ind w:firstLine="450" w:firstLineChars="150"/>
        <w:rPr>
          <w:sz w:val="30"/>
          <w:szCs w:val="30"/>
          <w:highlight w:val="lightGray"/>
        </w:rPr>
      </w:pPr>
      <w:r>
        <w:rPr>
          <w:rFonts w:hint="eastAsia"/>
          <w:sz w:val="30"/>
          <w:szCs w:val="30"/>
        </w:rPr>
        <w:t>深圳市标准技术研究院。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left"/>
    </w:pPr>
    <w:r>
      <w:rPr>
        <w:szCs w:val="21"/>
      </w:rPr>
      <w:tab/>
    </w:r>
    <w:r>
      <w:rPr>
        <w:szCs w:val="21"/>
      </w:rPr>
      <w:tab/>
    </w:r>
    <w:r>
      <w:rPr>
        <w:rFonts w:hint="eastAsia"/>
        <w:szCs w:val="21"/>
      </w:rPr>
      <w:t xml:space="preserve">  </w:t>
    </w:r>
    <w:r>
      <w:rPr>
        <w:rFonts w:hint="eastAsia"/>
      </w:rPr>
      <w:t>编号：</w:t>
    </w:r>
    <w:r>
      <w:t>SSAE-A07-001</w:t>
    </w:r>
    <w:r>
      <w:rPr>
        <w:rFonts w:hint="eastAsia"/>
      </w:rPr>
      <w:t>:2020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sz w:val="21"/>
      </w:rPr>
    </w:pPr>
    <w:r>
      <w:rPr>
        <w:rFonts w:hint="eastAsia"/>
        <w:sz w:val="21"/>
      </w:rPr>
      <w:t>编号：</w:t>
    </w:r>
    <w:r>
      <w:rPr>
        <w:sz w:val="21"/>
      </w:rPr>
      <w:t>SSAE-A07-001</w:t>
    </w:r>
    <w:r>
      <w:rPr>
        <w:rFonts w:hint="eastAsia"/>
        <w:sz w:val="21"/>
      </w:rPr>
      <w:t>:2020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>
      <w:t>SSAE-A07-001:2020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90C"/>
    <w:multiLevelType w:val="multilevel"/>
    <w:tmpl w:val="0A7C590C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14A23E3D"/>
    <w:multiLevelType w:val="multilevel"/>
    <w:tmpl w:val="14A23E3D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1C71400C"/>
    <w:multiLevelType w:val="multilevel"/>
    <w:tmpl w:val="1C71400C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243F2CEE"/>
    <w:multiLevelType w:val="multilevel"/>
    <w:tmpl w:val="243F2CEE"/>
    <w:lvl w:ilvl="0" w:tentative="0">
      <w:start w:val="1"/>
      <w:numFmt w:val="chineseCountingThousand"/>
      <w:lvlText w:val="(%1)"/>
      <w:lvlJc w:val="left"/>
      <w:pPr>
        <w:ind w:left="1618" w:hanging="105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4">
    <w:nsid w:val="256A0CB0"/>
    <w:multiLevelType w:val="multilevel"/>
    <w:tmpl w:val="256A0CB0"/>
    <w:lvl w:ilvl="0" w:tentative="0">
      <w:start w:val="1"/>
      <w:numFmt w:val="japaneseCounting"/>
      <w:lvlText w:val="%1、"/>
      <w:lvlJc w:val="left"/>
      <w:pPr>
        <w:ind w:left="562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4FF5029"/>
    <w:multiLevelType w:val="multilevel"/>
    <w:tmpl w:val="34FF5029"/>
    <w:lvl w:ilvl="0" w:tentative="0">
      <w:start w:val="1"/>
      <w:numFmt w:val="bullet"/>
      <w:lvlText w:val="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5C0D3770"/>
    <w:multiLevelType w:val="multilevel"/>
    <w:tmpl w:val="5C0D3770"/>
    <w:lvl w:ilvl="0" w:tentative="0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B79"/>
    <w:rsid w:val="00006FC4"/>
    <w:rsid w:val="00007213"/>
    <w:rsid w:val="00014948"/>
    <w:rsid w:val="00052926"/>
    <w:rsid w:val="00060262"/>
    <w:rsid w:val="000651F0"/>
    <w:rsid w:val="00071D59"/>
    <w:rsid w:val="00076893"/>
    <w:rsid w:val="00080FC7"/>
    <w:rsid w:val="00084DDB"/>
    <w:rsid w:val="00094C60"/>
    <w:rsid w:val="00095B4C"/>
    <w:rsid w:val="000A04CE"/>
    <w:rsid w:val="000A4852"/>
    <w:rsid w:val="000A4E9A"/>
    <w:rsid w:val="000A5001"/>
    <w:rsid w:val="000A5EF6"/>
    <w:rsid w:val="000C054B"/>
    <w:rsid w:val="000C0BB2"/>
    <w:rsid w:val="000C0BEA"/>
    <w:rsid w:val="000C6654"/>
    <w:rsid w:val="000E7C6A"/>
    <w:rsid w:val="001013A1"/>
    <w:rsid w:val="00110A76"/>
    <w:rsid w:val="00112501"/>
    <w:rsid w:val="0011580B"/>
    <w:rsid w:val="0012301B"/>
    <w:rsid w:val="00124792"/>
    <w:rsid w:val="00130C77"/>
    <w:rsid w:val="00132114"/>
    <w:rsid w:val="00134BDC"/>
    <w:rsid w:val="001443E7"/>
    <w:rsid w:val="001616CC"/>
    <w:rsid w:val="00166E6A"/>
    <w:rsid w:val="00166EC1"/>
    <w:rsid w:val="00181DAD"/>
    <w:rsid w:val="001837D3"/>
    <w:rsid w:val="00186123"/>
    <w:rsid w:val="00193815"/>
    <w:rsid w:val="001D2F4C"/>
    <w:rsid w:val="001E1876"/>
    <w:rsid w:val="001E413D"/>
    <w:rsid w:val="001F1EE6"/>
    <w:rsid w:val="001F2430"/>
    <w:rsid w:val="001F3431"/>
    <w:rsid w:val="00201BDF"/>
    <w:rsid w:val="00212D6F"/>
    <w:rsid w:val="00214C92"/>
    <w:rsid w:val="002201E8"/>
    <w:rsid w:val="0023343B"/>
    <w:rsid w:val="00235951"/>
    <w:rsid w:val="00246FDF"/>
    <w:rsid w:val="002477BD"/>
    <w:rsid w:val="00261803"/>
    <w:rsid w:val="00265ABD"/>
    <w:rsid w:val="00270BD4"/>
    <w:rsid w:val="00274873"/>
    <w:rsid w:val="00283676"/>
    <w:rsid w:val="00283BBC"/>
    <w:rsid w:val="002A3891"/>
    <w:rsid w:val="002B1992"/>
    <w:rsid w:val="002B2106"/>
    <w:rsid w:val="002B2940"/>
    <w:rsid w:val="002C0826"/>
    <w:rsid w:val="002D3D88"/>
    <w:rsid w:val="002E03CF"/>
    <w:rsid w:val="002E2D59"/>
    <w:rsid w:val="002F14CC"/>
    <w:rsid w:val="002F746C"/>
    <w:rsid w:val="003022EE"/>
    <w:rsid w:val="00303227"/>
    <w:rsid w:val="00310CA0"/>
    <w:rsid w:val="00312291"/>
    <w:rsid w:val="00316519"/>
    <w:rsid w:val="00325105"/>
    <w:rsid w:val="00350AF6"/>
    <w:rsid w:val="003510E6"/>
    <w:rsid w:val="00354E8D"/>
    <w:rsid w:val="00365754"/>
    <w:rsid w:val="00381073"/>
    <w:rsid w:val="003904EF"/>
    <w:rsid w:val="00390E7E"/>
    <w:rsid w:val="003A16E3"/>
    <w:rsid w:val="003A27D2"/>
    <w:rsid w:val="003A42BD"/>
    <w:rsid w:val="003B1F61"/>
    <w:rsid w:val="003C2BF6"/>
    <w:rsid w:val="003C3516"/>
    <w:rsid w:val="003C5E6D"/>
    <w:rsid w:val="003D6B4D"/>
    <w:rsid w:val="003E0AEA"/>
    <w:rsid w:val="003F2C2D"/>
    <w:rsid w:val="003F4D87"/>
    <w:rsid w:val="004064AB"/>
    <w:rsid w:val="0040676A"/>
    <w:rsid w:val="00413578"/>
    <w:rsid w:val="0041702B"/>
    <w:rsid w:val="0042335B"/>
    <w:rsid w:val="004354A2"/>
    <w:rsid w:val="00440822"/>
    <w:rsid w:val="004474A3"/>
    <w:rsid w:val="00450351"/>
    <w:rsid w:val="00454AE4"/>
    <w:rsid w:val="004550A0"/>
    <w:rsid w:val="0046457F"/>
    <w:rsid w:val="00470D93"/>
    <w:rsid w:val="0047132F"/>
    <w:rsid w:val="00492DF5"/>
    <w:rsid w:val="004A35F8"/>
    <w:rsid w:val="004A73AB"/>
    <w:rsid w:val="004B1F0F"/>
    <w:rsid w:val="004B2F8B"/>
    <w:rsid w:val="004C2CA1"/>
    <w:rsid w:val="004C6060"/>
    <w:rsid w:val="004D5F12"/>
    <w:rsid w:val="004E51A4"/>
    <w:rsid w:val="004F0845"/>
    <w:rsid w:val="004F0D21"/>
    <w:rsid w:val="004F3AEA"/>
    <w:rsid w:val="0050347D"/>
    <w:rsid w:val="005143D5"/>
    <w:rsid w:val="005211E4"/>
    <w:rsid w:val="00527A7D"/>
    <w:rsid w:val="00534591"/>
    <w:rsid w:val="00556F4D"/>
    <w:rsid w:val="005659C4"/>
    <w:rsid w:val="00570894"/>
    <w:rsid w:val="00575E65"/>
    <w:rsid w:val="00584283"/>
    <w:rsid w:val="005852E6"/>
    <w:rsid w:val="005A619A"/>
    <w:rsid w:val="005B10BD"/>
    <w:rsid w:val="005B6C76"/>
    <w:rsid w:val="005C3869"/>
    <w:rsid w:val="005C77D7"/>
    <w:rsid w:val="005C7ED6"/>
    <w:rsid w:val="005D08EF"/>
    <w:rsid w:val="005D14DE"/>
    <w:rsid w:val="005D6E60"/>
    <w:rsid w:val="005E7E48"/>
    <w:rsid w:val="005F778D"/>
    <w:rsid w:val="00625B9A"/>
    <w:rsid w:val="00625E78"/>
    <w:rsid w:val="006433FB"/>
    <w:rsid w:val="006529DE"/>
    <w:rsid w:val="0065350C"/>
    <w:rsid w:val="00670554"/>
    <w:rsid w:val="00674606"/>
    <w:rsid w:val="006817D8"/>
    <w:rsid w:val="006A478C"/>
    <w:rsid w:val="006A701E"/>
    <w:rsid w:val="006B1237"/>
    <w:rsid w:val="006B1379"/>
    <w:rsid w:val="006B365A"/>
    <w:rsid w:val="006B72DB"/>
    <w:rsid w:val="006C3BA7"/>
    <w:rsid w:val="006C685C"/>
    <w:rsid w:val="006D1D2E"/>
    <w:rsid w:val="006D226B"/>
    <w:rsid w:val="006E11C3"/>
    <w:rsid w:val="006F16D0"/>
    <w:rsid w:val="007109FA"/>
    <w:rsid w:val="00715B34"/>
    <w:rsid w:val="00717621"/>
    <w:rsid w:val="00741978"/>
    <w:rsid w:val="00742B79"/>
    <w:rsid w:val="007471C1"/>
    <w:rsid w:val="00754F6C"/>
    <w:rsid w:val="00757C26"/>
    <w:rsid w:val="00770B14"/>
    <w:rsid w:val="00777871"/>
    <w:rsid w:val="0078007E"/>
    <w:rsid w:val="007858D1"/>
    <w:rsid w:val="007977D9"/>
    <w:rsid w:val="007A1AA4"/>
    <w:rsid w:val="007B04B5"/>
    <w:rsid w:val="007B37E6"/>
    <w:rsid w:val="007B4305"/>
    <w:rsid w:val="007B6407"/>
    <w:rsid w:val="007D3860"/>
    <w:rsid w:val="007E0E0D"/>
    <w:rsid w:val="007E1663"/>
    <w:rsid w:val="007E16BF"/>
    <w:rsid w:val="007E2679"/>
    <w:rsid w:val="007E5087"/>
    <w:rsid w:val="007E5980"/>
    <w:rsid w:val="007E6DA3"/>
    <w:rsid w:val="007F38AF"/>
    <w:rsid w:val="008047B5"/>
    <w:rsid w:val="00810475"/>
    <w:rsid w:val="0081380B"/>
    <w:rsid w:val="00815EF8"/>
    <w:rsid w:val="00817516"/>
    <w:rsid w:val="00822E3A"/>
    <w:rsid w:val="00824FFB"/>
    <w:rsid w:val="008365A4"/>
    <w:rsid w:val="00846D21"/>
    <w:rsid w:val="008640FA"/>
    <w:rsid w:val="008650F9"/>
    <w:rsid w:val="00865552"/>
    <w:rsid w:val="0087162A"/>
    <w:rsid w:val="00884B47"/>
    <w:rsid w:val="00895BEA"/>
    <w:rsid w:val="008A4B79"/>
    <w:rsid w:val="008A509F"/>
    <w:rsid w:val="008B7A6B"/>
    <w:rsid w:val="008B7AA4"/>
    <w:rsid w:val="008C4772"/>
    <w:rsid w:val="008C707B"/>
    <w:rsid w:val="008C7263"/>
    <w:rsid w:val="008D1076"/>
    <w:rsid w:val="008D3588"/>
    <w:rsid w:val="008F2D01"/>
    <w:rsid w:val="0090171C"/>
    <w:rsid w:val="009043CC"/>
    <w:rsid w:val="009048A2"/>
    <w:rsid w:val="00912861"/>
    <w:rsid w:val="009128C4"/>
    <w:rsid w:val="00913D56"/>
    <w:rsid w:val="00915AEB"/>
    <w:rsid w:val="0092057A"/>
    <w:rsid w:val="00937FE4"/>
    <w:rsid w:val="00941A2F"/>
    <w:rsid w:val="0094468F"/>
    <w:rsid w:val="00963388"/>
    <w:rsid w:val="00984B57"/>
    <w:rsid w:val="00984FF8"/>
    <w:rsid w:val="00996232"/>
    <w:rsid w:val="009B3470"/>
    <w:rsid w:val="009C7634"/>
    <w:rsid w:val="009D1FA6"/>
    <w:rsid w:val="009D332D"/>
    <w:rsid w:val="009E4198"/>
    <w:rsid w:val="009E43C7"/>
    <w:rsid w:val="009F7F88"/>
    <w:rsid w:val="00A0003A"/>
    <w:rsid w:val="00A07315"/>
    <w:rsid w:val="00A105FA"/>
    <w:rsid w:val="00A12D64"/>
    <w:rsid w:val="00A2114B"/>
    <w:rsid w:val="00A227EB"/>
    <w:rsid w:val="00A24120"/>
    <w:rsid w:val="00A27D74"/>
    <w:rsid w:val="00A313D1"/>
    <w:rsid w:val="00A50C54"/>
    <w:rsid w:val="00A62141"/>
    <w:rsid w:val="00A70BE2"/>
    <w:rsid w:val="00A7588B"/>
    <w:rsid w:val="00A77A9C"/>
    <w:rsid w:val="00A8290A"/>
    <w:rsid w:val="00A83A3F"/>
    <w:rsid w:val="00A860BD"/>
    <w:rsid w:val="00A8788D"/>
    <w:rsid w:val="00A91699"/>
    <w:rsid w:val="00A965F3"/>
    <w:rsid w:val="00AA1E46"/>
    <w:rsid w:val="00AA51BF"/>
    <w:rsid w:val="00AA5DEE"/>
    <w:rsid w:val="00AB7DB7"/>
    <w:rsid w:val="00AC5A7C"/>
    <w:rsid w:val="00AD2C84"/>
    <w:rsid w:val="00AD5119"/>
    <w:rsid w:val="00AF1058"/>
    <w:rsid w:val="00B10501"/>
    <w:rsid w:val="00B207BD"/>
    <w:rsid w:val="00B2185D"/>
    <w:rsid w:val="00B22C6B"/>
    <w:rsid w:val="00B31F4E"/>
    <w:rsid w:val="00B3689C"/>
    <w:rsid w:val="00B41B06"/>
    <w:rsid w:val="00B47E0D"/>
    <w:rsid w:val="00B51B35"/>
    <w:rsid w:val="00B53782"/>
    <w:rsid w:val="00B54D64"/>
    <w:rsid w:val="00B57BA5"/>
    <w:rsid w:val="00B7019F"/>
    <w:rsid w:val="00B70D89"/>
    <w:rsid w:val="00B72718"/>
    <w:rsid w:val="00B75DF9"/>
    <w:rsid w:val="00B8231E"/>
    <w:rsid w:val="00B84539"/>
    <w:rsid w:val="00B84F20"/>
    <w:rsid w:val="00B85AA6"/>
    <w:rsid w:val="00B91189"/>
    <w:rsid w:val="00B92D76"/>
    <w:rsid w:val="00BA3FE8"/>
    <w:rsid w:val="00BA4B3C"/>
    <w:rsid w:val="00BB149F"/>
    <w:rsid w:val="00BC0C8A"/>
    <w:rsid w:val="00BD0DB0"/>
    <w:rsid w:val="00BD58ED"/>
    <w:rsid w:val="00BE289E"/>
    <w:rsid w:val="00BE2F46"/>
    <w:rsid w:val="00BF1DEB"/>
    <w:rsid w:val="00C150C5"/>
    <w:rsid w:val="00C17F89"/>
    <w:rsid w:val="00C216FC"/>
    <w:rsid w:val="00C2399E"/>
    <w:rsid w:val="00C33EA8"/>
    <w:rsid w:val="00C345FD"/>
    <w:rsid w:val="00C351BF"/>
    <w:rsid w:val="00C37AB3"/>
    <w:rsid w:val="00C45E46"/>
    <w:rsid w:val="00C8051D"/>
    <w:rsid w:val="00C80F7A"/>
    <w:rsid w:val="00C879C1"/>
    <w:rsid w:val="00C90881"/>
    <w:rsid w:val="00C944BA"/>
    <w:rsid w:val="00CA009E"/>
    <w:rsid w:val="00CB7D0D"/>
    <w:rsid w:val="00CC0386"/>
    <w:rsid w:val="00CD3ED3"/>
    <w:rsid w:val="00CD6E6D"/>
    <w:rsid w:val="00CE111B"/>
    <w:rsid w:val="00CF31CF"/>
    <w:rsid w:val="00D00E8E"/>
    <w:rsid w:val="00D21B09"/>
    <w:rsid w:val="00D224F1"/>
    <w:rsid w:val="00D226D7"/>
    <w:rsid w:val="00D26306"/>
    <w:rsid w:val="00D33994"/>
    <w:rsid w:val="00D43BFC"/>
    <w:rsid w:val="00D613F2"/>
    <w:rsid w:val="00D65AA5"/>
    <w:rsid w:val="00D73ED4"/>
    <w:rsid w:val="00DA252D"/>
    <w:rsid w:val="00DA2A41"/>
    <w:rsid w:val="00DB0809"/>
    <w:rsid w:val="00DB6414"/>
    <w:rsid w:val="00DD3819"/>
    <w:rsid w:val="00DD50E2"/>
    <w:rsid w:val="00DD7B6A"/>
    <w:rsid w:val="00DE1B7E"/>
    <w:rsid w:val="00DE2A16"/>
    <w:rsid w:val="00DE3EDD"/>
    <w:rsid w:val="00DE6790"/>
    <w:rsid w:val="00DF11C7"/>
    <w:rsid w:val="00DF7B93"/>
    <w:rsid w:val="00E001E2"/>
    <w:rsid w:val="00E00C5F"/>
    <w:rsid w:val="00E00CAE"/>
    <w:rsid w:val="00E0634C"/>
    <w:rsid w:val="00E26027"/>
    <w:rsid w:val="00E26033"/>
    <w:rsid w:val="00E36CD8"/>
    <w:rsid w:val="00E618DE"/>
    <w:rsid w:val="00E66F4B"/>
    <w:rsid w:val="00E7014A"/>
    <w:rsid w:val="00E7388A"/>
    <w:rsid w:val="00E741CB"/>
    <w:rsid w:val="00E83DC7"/>
    <w:rsid w:val="00E846A6"/>
    <w:rsid w:val="00E879E8"/>
    <w:rsid w:val="00E971F2"/>
    <w:rsid w:val="00EB1F66"/>
    <w:rsid w:val="00EB67DA"/>
    <w:rsid w:val="00EC4E52"/>
    <w:rsid w:val="00EC6D67"/>
    <w:rsid w:val="00EC7CDE"/>
    <w:rsid w:val="00EE0A22"/>
    <w:rsid w:val="00EE0EAE"/>
    <w:rsid w:val="00EF63E0"/>
    <w:rsid w:val="00EF65D1"/>
    <w:rsid w:val="00F01FB3"/>
    <w:rsid w:val="00F02939"/>
    <w:rsid w:val="00F03760"/>
    <w:rsid w:val="00F10E5C"/>
    <w:rsid w:val="00F14C37"/>
    <w:rsid w:val="00F1640B"/>
    <w:rsid w:val="00F23E1F"/>
    <w:rsid w:val="00F259B5"/>
    <w:rsid w:val="00F33150"/>
    <w:rsid w:val="00F341EB"/>
    <w:rsid w:val="00F43FDB"/>
    <w:rsid w:val="00F44F6E"/>
    <w:rsid w:val="00F50BAC"/>
    <w:rsid w:val="00F5277D"/>
    <w:rsid w:val="00F57F11"/>
    <w:rsid w:val="00F60618"/>
    <w:rsid w:val="00F60A2E"/>
    <w:rsid w:val="00F618F4"/>
    <w:rsid w:val="00F64A14"/>
    <w:rsid w:val="00F768DD"/>
    <w:rsid w:val="00F8297B"/>
    <w:rsid w:val="00F85EDE"/>
    <w:rsid w:val="00F86AA3"/>
    <w:rsid w:val="00F921AE"/>
    <w:rsid w:val="00F96A00"/>
    <w:rsid w:val="00FA442B"/>
    <w:rsid w:val="00FB1905"/>
    <w:rsid w:val="00FB1C61"/>
    <w:rsid w:val="00FB22A5"/>
    <w:rsid w:val="00FB2CD5"/>
    <w:rsid w:val="00FB42D4"/>
    <w:rsid w:val="00FD444F"/>
    <w:rsid w:val="00FD7FE6"/>
    <w:rsid w:val="00FF11CB"/>
    <w:rsid w:val="38AB1ADE"/>
    <w:rsid w:val="5B2B2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6"/>
    <w:qFormat/>
    <w:uiPriority w:val="0"/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3F8796-1CC1-4520-9895-F751ADF138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165</Words>
  <Characters>946</Characters>
  <Lines>7</Lines>
  <Paragraphs>2</Paragraphs>
  <TotalTime>1841</TotalTime>
  <ScaleCrop>false</ScaleCrop>
  <LinksUpToDate>false</LinksUpToDate>
  <CharactersWithSpaces>1109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2019-04-16T04:38:00Z</dcterms:created>
  <dc:creator>王丽娟</dc:creator>
  <cp:lastModifiedBy>周云鹏</cp:lastModifiedBy>
  <cp:lastPrinted>2018-08-09T02:07:00Z</cp:lastPrinted>
  <dcterms:modified xsi:type="dcterms:W3CDTF">2020-04-26T01:25:29Z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